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2917BD" w14:textId="67FAC73A" w:rsidR="003B207D" w:rsidRDefault="00F86905">
      <w:pPr>
        <w:pStyle w:val="Body"/>
        <w:spacing w:line="276" w:lineRule="auto"/>
        <w:rPr>
          <w:b/>
          <w:bCs/>
          <w14:textOutline w14:w="12700" w14:cap="flat" w14:cmpd="sng" w14:algn="ctr">
            <w14:noFill/>
            <w14:prstDash w14:val="solid"/>
            <w14:miter w14:lim="400000"/>
          </w14:textOutline>
        </w:rPr>
      </w:pPr>
      <w:r>
        <w:rPr>
          <w:noProof/>
        </w:rPr>
        <w:drawing>
          <wp:anchor distT="0" distB="0" distL="114300" distR="114300" simplePos="0" relativeHeight="251658240" behindDoc="1" locked="0" layoutInCell="1" allowOverlap="1" wp14:anchorId="6ADD4201" wp14:editId="1AB9F5D5">
            <wp:simplePos x="0" y="0"/>
            <wp:positionH relativeFrom="margin">
              <wp:align>center</wp:align>
            </wp:positionH>
            <wp:positionV relativeFrom="paragraph">
              <wp:posOffset>7538</wp:posOffset>
            </wp:positionV>
            <wp:extent cx="4261485" cy="1503045"/>
            <wp:effectExtent l="0" t="0" r="5715" b="1905"/>
            <wp:wrapNone/>
            <wp:docPr id="1" name="image1.jpeg"/>
            <wp:cNvGraphicFramePr/>
            <a:graphic xmlns:a="http://schemas.openxmlformats.org/drawingml/2006/main">
              <a:graphicData uri="http://schemas.openxmlformats.org/drawingml/2006/picture">
                <pic:pic xmlns:pic="http://schemas.openxmlformats.org/drawingml/2006/picture">
                  <pic:nvPicPr>
                    <pic:cNvPr id="1" name="image1.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261485" cy="1503045"/>
                    </a:xfrm>
                    <a:prstGeom prst="rect">
                      <a:avLst/>
                    </a:prstGeom>
                  </pic:spPr>
                </pic:pic>
              </a:graphicData>
            </a:graphic>
            <wp14:sizeRelH relativeFrom="page">
              <wp14:pctWidth>0</wp14:pctWidth>
            </wp14:sizeRelH>
            <wp14:sizeRelV relativeFrom="page">
              <wp14:pctHeight>0</wp14:pctHeight>
            </wp14:sizeRelV>
          </wp:anchor>
        </w:drawing>
      </w:r>
    </w:p>
    <w:p w14:paraId="4DA50957" w14:textId="6026383D" w:rsidR="001B2C46" w:rsidRDefault="001B2C46">
      <w:pPr>
        <w:pStyle w:val="Body"/>
        <w:spacing w:line="276" w:lineRule="auto"/>
        <w:rPr>
          <w:b/>
          <w:bCs/>
          <w14:textOutline w14:w="12700" w14:cap="flat" w14:cmpd="sng" w14:algn="ctr">
            <w14:noFill/>
            <w14:prstDash w14:val="solid"/>
            <w14:miter w14:lim="400000"/>
          </w14:textOutline>
        </w:rPr>
      </w:pPr>
    </w:p>
    <w:p w14:paraId="503F9149" w14:textId="661F6780" w:rsidR="001B2C46" w:rsidRDefault="001B2C46">
      <w:pPr>
        <w:pStyle w:val="Body"/>
        <w:spacing w:line="276" w:lineRule="auto"/>
        <w:rPr>
          <w:b/>
          <w:bCs/>
          <w14:textOutline w14:w="12700" w14:cap="flat" w14:cmpd="sng" w14:algn="ctr">
            <w14:noFill/>
            <w14:prstDash w14:val="solid"/>
            <w14:miter w14:lim="400000"/>
          </w14:textOutline>
        </w:rPr>
      </w:pPr>
    </w:p>
    <w:p w14:paraId="189FC262" w14:textId="3F4C2A2D" w:rsidR="001B2C46" w:rsidRDefault="001B2C46">
      <w:pPr>
        <w:pStyle w:val="Body"/>
        <w:spacing w:line="276" w:lineRule="auto"/>
        <w:rPr>
          <w:b/>
          <w:bCs/>
          <w14:textOutline w14:w="12700" w14:cap="flat" w14:cmpd="sng" w14:algn="ctr">
            <w14:noFill/>
            <w14:prstDash w14:val="solid"/>
            <w14:miter w14:lim="400000"/>
          </w14:textOutline>
        </w:rPr>
      </w:pPr>
    </w:p>
    <w:p w14:paraId="0B7AAD23" w14:textId="7C50D8C0" w:rsidR="001B2C46" w:rsidRDefault="001B2C46">
      <w:pPr>
        <w:pStyle w:val="Body"/>
        <w:spacing w:line="276" w:lineRule="auto"/>
        <w:rPr>
          <w:b/>
          <w:bCs/>
          <w14:textOutline w14:w="12700" w14:cap="flat" w14:cmpd="sng" w14:algn="ctr">
            <w14:noFill/>
            <w14:prstDash w14:val="solid"/>
            <w14:miter w14:lim="400000"/>
          </w14:textOutline>
        </w:rPr>
      </w:pPr>
    </w:p>
    <w:p w14:paraId="44983111" w14:textId="1D9F21A2" w:rsidR="001B2C46" w:rsidRDefault="001B2C46">
      <w:pPr>
        <w:pStyle w:val="Body"/>
        <w:spacing w:line="276" w:lineRule="auto"/>
        <w:rPr>
          <w:b/>
          <w:bCs/>
          <w14:textOutline w14:w="12700" w14:cap="flat" w14:cmpd="sng" w14:algn="ctr">
            <w14:noFill/>
            <w14:prstDash w14:val="solid"/>
            <w14:miter w14:lim="400000"/>
          </w14:textOutline>
        </w:rPr>
      </w:pPr>
    </w:p>
    <w:p w14:paraId="7CDA1020" w14:textId="54A99861" w:rsidR="001B2C46" w:rsidRDefault="001B2C46">
      <w:pPr>
        <w:pStyle w:val="Body"/>
        <w:spacing w:line="276" w:lineRule="auto"/>
        <w:rPr>
          <w:b/>
          <w:bCs/>
          <w14:textOutline w14:w="12700" w14:cap="flat" w14:cmpd="sng" w14:algn="ctr">
            <w14:noFill/>
            <w14:prstDash w14:val="solid"/>
            <w14:miter w14:lim="400000"/>
          </w14:textOutline>
        </w:rPr>
      </w:pPr>
    </w:p>
    <w:p w14:paraId="0947ABB7" w14:textId="1D93433B" w:rsidR="001B2C46" w:rsidRDefault="001B2C46">
      <w:pPr>
        <w:pStyle w:val="Body"/>
        <w:spacing w:line="276" w:lineRule="auto"/>
        <w:rPr>
          <w:b/>
          <w:bCs/>
          <w14:textOutline w14:w="12700" w14:cap="flat" w14:cmpd="sng" w14:algn="ctr">
            <w14:noFill/>
            <w14:prstDash w14:val="solid"/>
            <w14:miter w14:lim="400000"/>
          </w14:textOutline>
        </w:rPr>
      </w:pPr>
    </w:p>
    <w:p w14:paraId="7F340F7C" w14:textId="2A348020" w:rsidR="001B2C46" w:rsidRDefault="00792BA0">
      <w:pPr>
        <w:pStyle w:val="Body"/>
        <w:spacing w:line="276" w:lineRule="auto"/>
        <w:rPr>
          <w:b/>
          <w:bCs/>
          <w14:textOutline w14:w="12700" w14:cap="flat" w14:cmpd="sng" w14:algn="ctr">
            <w14:noFill/>
            <w14:prstDash w14:val="solid"/>
            <w14:miter w14:lim="400000"/>
          </w14:textOutline>
        </w:rPr>
      </w:pPr>
      <w:r>
        <w:rPr>
          <w:b/>
          <w:bCs/>
          <w14:textOutline w14:w="12700" w14:cap="flat" w14:cmpd="sng" w14:algn="ctr">
            <w14:noFill/>
            <w14:prstDash w14:val="solid"/>
            <w14:miter w14:lim="400000"/>
          </w14:textOutline>
        </w:rPr>
        <w:t xml:space="preserve">                                          </w:t>
      </w:r>
      <w:r w:rsidR="00F86905">
        <w:rPr>
          <w:b/>
          <w:bCs/>
          <w14:textOutline w14:w="12700" w14:cap="flat" w14:cmpd="sng" w14:algn="ctr">
            <w14:noFill/>
            <w14:prstDash w14:val="solid"/>
            <w14:miter w14:lim="400000"/>
          </w14:textOutline>
        </w:rPr>
        <w:t xml:space="preserve"> </w:t>
      </w:r>
      <w:r>
        <w:rPr>
          <w:b/>
          <w:bCs/>
          <w14:textOutline w14:w="12700" w14:cap="flat" w14:cmpd="sng" w14:algn="ctr">
            <w14:noFill/>
            <w14:prstDash w14:val="solid"/>
            <w14:miter w14:lim="400000"/>
          </w14:textOutline>
        </w:rPr>
        <w:t xml:space="preserve"> </w:t>
      </w:r>
      <w:r w:rsidR="004A5D0A">
        <w:rPr>
          <w:b/>
          <w:bCs/>
          <w14:textOutline w14:w="12700" w14:cap="flat" w14:cmpd="sng" w14:algn="ctr">
            <w14:noFill/>
            <w14:prstDash w14:val="solid"/>
            <w14:miter w14:lim="400000"/>
          </w14:textOutline>
        </w:rPr>
        <w:t xml:space="preserve"> </w:t>
      </w:r>
      <w:r>
        <w:rPr>
          <w:b/>
          <w:bCs/>
          <w14:textOutline w14:w="12700" w14:cap="flat" w14:cmpd="sng" w14:algn="ctr">
            <w14:noFill/>
            <w14:prstDash w14:val="solid"/>
            <w14:miter w14:lim="400000"/>
          </w14:textOutline>
        </w:rPr>
        <w:t xml:space="preserve">  </w:t>
      </w:r>
      <w:r w:rsidRPr="00792BA0">
        <w:rPr>
          <w:b/>
          <w:bCs/>
          <w14:textOutline w14:w="12700" w14:cap="flat" w14:cmpd="sng" w14:algn="ctr">
            <w14:noFill/>
            <w14:prstDash w14:val="solid"/>
            <w14:miter w14:lim="400000"/>
          </w14:textOutline>
        </w:rPr>
        <w:t>GRIFFITH COLLEGE DUBLIN</w:t>
      </w:r>
    </w:p>
    <w:p w14:paraId="16FC2846" w14:textId="62A1C1E5" w:rsidR="00792BA0" w:rsidRDefault="00792BA0">
      <w:pPr>
        <w:pStyle w:val="Body"/>
        <w:spacing w:line="276" w:lineRule="auto"/>
        <w:rPr>
          <w:b/>
          <w:bCs/>
          <w14:textOutline w14:w="12700" w14:cap="flat" w14:cmpd="sng" w14:algn="ctr">
            <w14:noFill/>
            <w14:prstDash w14:val="solid"/>
            <w14:miter w14:lim="400000"/>
          </w14:textOutline>
        </w:rPr>
      </w:pPr>
    </w:p>
    <w:p w14:paraId="097DD94A" w14:textId="77777777" w:rsidR="0026134A" w:rsidRDefault="0026134A" w:rsidP="0026134A">
      <w:pPr>
        <w:pStyle w:val="Body"/>
        <w:spacing w:line="276" w:lineRule="auto"/>
        <w:jc w:val="both"/>
        <w:rPr>
          <w:b/>
          <w:bCs/>
          <w14:textOutline w14:w="12700" w14:cap="flat" w14:cmpd="sng" w14:algn="ctr">
            <w14:noFill/>
            <w14:prstDash w14:val="solid"/>
            <w14:miter w14:lim="400000"/>
          </w14:textOutline>
        </w:rPr>
      </w:pPr>
    </w:p>
    <w:p w14:paraId="3E289800" w14:textId="77777777" w:rsidR="00F26C81" w:rsidRDefault="00F26C81" w:rsidP="0026134A">
      <w:pPr>
        <w:pStyle w:val="Body"/>
        <w:spacing w:line="276" w:lineRule="auto"/>
        <w:jc w:val="both"/>
        <w:rPr>
          <w:b/>
          <w:bCs/>
          <w14:textOutline w14:w="12700" w14:cap="flat" w14:cmpd="sng" w14:algn="ctr">
            <w14:noFill/>
            <w14:prstDash w14:val="solid"/>
            <w14:miter w14:lim="400000"/>
          </w14:textOutline>
        </w:rPr>
      </w:pPr>
    </w:p>
    <w:p w14:paraId="72985E6E" w14:textId="6DEA168F" w:rsidR="00792BA0" w:rsidRDefault="0026134A" w:rsidP="006A43BB">
      <w:pPr>
        <w:pStyle w:val="Body"/>
        <w:spacing w:line="276" w:lineRule="auto"/>
        <w:jc w:val="center"/>
        <w:rPr>
          <w:b/>
          <w:bCs/>
          <w14:textOutline w14:w="12700" w14:cap="flat" w14:cmpd="sng" w14:algn="ctr">
            <w14:noFill/>
            <w14:prstDash w14:val="solid"/>
            <w14:miter w14:lim="400000"/>
          </w14:textOutline>
        </w:rPr>
      </w:pPr>
      <w:bookmarkStart w:id="0" w:name="_Hlk73198702"/>
      <w:r w:rsidRPr="0026134A">
        <w:rPr>
          <w:b/>
          <w:bCs/>
          <w14:textOutline w14:w="12700" w14:cap="flat" w14:cmpd="sng" w14:algn="ctr">
            <w14:noFill/>
            <w14:prstDash w14:val="solid"/>
            <w14:miter w14:lim="400000"/>
          </w14:textOutline>
        </w:rPr>
        <w:t>Sweeping in front of the own door: Is it possible to hold corporations accountable for human rights violations under modern international law in the context of binding Business and Human Rights Treaty?</w:t>
      </w:r>
    </w:p>
    <w:bookmarkEnd w:id="0"/>
    <w:p w14:paraId="48706DCD" w14:textId="6EA3CBB8" w:rsidR="009A2B55" w:rsidRDefault="009A2B55" w:rsidP="0026134A">
      <w:pPr>
        <w:pStyle w:val="Body"/>
        <w:spacing w:line="276" w:lineRule="auto"/>
        <w:jc w:val="both"/>
        <w:rPr>
          <w:b/>
          <w:bCs/>
          <w14:textOutline w14:w="12700" w14:cap="flat" w14:cmpd="sng" w14:algn="ctr">
            <w14:noFill/>
            <w14:prstDash w14:val="solid"/>
            <w14:miter w14:lim="400000"/>
          </w14:textOutline>
        </w:rPr>
      </w:pPr>
    </w:p>
    <w:p w14:paraId="1CCB367A" w14:textId="3AF597B3" w:rsidR="00B5754D" w:rsidRDefault="00B5754D" w:rsidP="0026134A">
      <w:pPr>
        <w:pStyle w:val="Body"/>
        <w:spacing w:line="276" w:lineRule="auto"/>
        <w:jc w:val="both"/>
        <w:rPr>
          <w:b/>
          <w:bCs/>
          <w14:textOutline w14:w="12700" w14:cap="flat" w14:cmpd="sng" w14:algn="ctr">
            <w14:noFill/>
            <w14:prstDash w14:val="solid"/>
            <w14:miter w14:lim="400000"/>
          </w14:textOutline>
        </w:rPr>
      </w:pPr>
    </w:p>
    <w:p w14:paraId="7AC97C66" w14:textId="77777777" w:rsidR="00B5754D" w:rsidRDefault="00B5754D" w:rsidP="006A43BB">
      <w:pPr>
        <w:pStyle w:val="Body"/>
        <w:spacing w:line="276" w:lineRule="auto"/>
        <w:jc w:val="both"/>
        <w:rPr>
          <w:b/>
          <w:bCs/>
          <w14:textOutline w14:w="12700" w14:cap="flat" w14:cmpd="sng" w14:algn="ctr">
            <w14:noFill/>
            <w14:prstDash w14:val="solid"/>
            <w14:miter w14:lim="400000"/>
          </w14:textOutline>
        </w:rPr>
      </w:pPr>
    </w:p>
    <w:p w14:paraId="256F7346" w14:textId="3FA5FEB9" w:rsidR="001B2C46" w:rsidRDefault="001B2C46">
      <w:pPr>
        <w:pStyle w:val="Body"/>
        <w:spacing w:line="276" w:lineRule="auto"/>
        <w:rPr>
          <w:b/>
          <w:bCs/>
          <w14:textOutline w14:w="12700" w14:cap="flat" w14:cmpd="sng" w14:algn="ctr">
            <w14:noFill/>
            <w14:prstDash w14:val="solid"/>
            <w14:miter w14:lim="400000"/>
          </w14:textOutline>
        </w:rPr>
      </w:pPr>
    </w:p>
    <w:p w14:paraId="5E29E52F" w14:textId="084A1E16" w:rsidR="001B2C46" w:rsidRDefault="001B2C46">
      <w:pPr>
        <w:pStyle w:val="Body"/>
        <w:spacing w:line="276" w:lineRule="auto"/>
        <w:rPr>
          <w:b/>
          <w:bCs/>
          <w14:textOutline w14:w="12700" w14:cap="flat" w14:cmpd="sng" w14:algn="ctr">
            <w14:noFill/>
            <w14:prstDash w14:val="solid"/>
            <w14:miter w14:lim="400000"/>
          </w14:textOutline>
        </w:rPr>
      </w:pPr>
    </w:p>
    <w:p w14:paraId="0194D75B" w14:textId="214AF507" w:rsidR="00D61AE9" w:rsidRPr="006A43BB" w:rsidRDefault="00D61AE9" w:rsidP="006A43BB">
      <w:pPr>
        <w:pStyle w:val="Body"/>
        <w:spacing w:line="276" w:lineRule="auto"/>
        <w:jc w:val="center"/>
        <w:rPr>
          <w14:textOutline w14:w="12700" w14:cap="flat" w14:cmpd="sng" w14:algn="ctr">
            <w14:noFill/>
            <w14:prstDash w14:val="solid"/>
            <w14:miter w14:lim="400000"/>
          </w14:textOutline>
        </w:rPr>
      </w:pPr>
      <w:r w:rsidRPr="006A43BB">
        <w:rPr>
          <w14:textOutline w14:w="12700" w14:cap="flat" w14:cmpd="sng" w14:algn="ctr">
            <w14:noFill/>
            <w14:prstDash w14:val="solid"/>
            <w14:miter w14:lim="400000"/>
          </w14:textOutline>
        </w:rPr>
        <w:t xml:space="preserve">Research dissertation presented in partial fulfilment of the requirements for the degree of MSc in </w:t>
      </w:r>
      <w:r w:rsidR="00F26C81">
        <w:rPr>
          <w14:textOutline w14:w="12700" w14:cap="flat" w14:cmpd="sng" w14:algn="ctr">
            <w14:noFill/>
            <w14:prstDash w14:val="solid"/>
            <w14:miter w14:lim="400000"/>
          </w14:textOutline>
        </w:rPr>
        <w:t>International Business and Law</w:t>
      </w:r>
    </w:p>
    <w:p w14:paraId="1E70D596" w14:textId="220B80D3" w:rsidR="001B2C46" w:rsidRDefault="009A2B55" w:rsidP="00D61AE9">
      <w:pPr>
        <w:pStyle w:val="Body"/>
        <w:spacing w:line="276" w:lineRule="auto"/>
        <w:rPr>
          <w14:textOutline w14:w="12700" w14:cap="flat" w14:cmpd="sng" w14:algn="ctr">
            <w14:noFill/>
            <w14:prstDash w14:val="solid"/>
            <w14:miter w14:lim="400000"/>
          </w14:textOutline>
        </w:rPr>
      </w:pPr>
      <w:r>
        <w:rPr>
          <w14:textOutline w14:w="12700" w14:cap="flat" w14:cmpd="sng" w14:algn="ctr">
            <w14:noFill/>
            <w14:prstDash w14:val="solid"/>
            <w14:miter w14:lim="400000"/>
          </w14:textOutline>
        </w:rPr>
        <w:t xml:space="preserve">                                                         </w:t>
      </w:r>
      <w:r w:rsidR="00D61AE9" w:rsidRPr="006A43BB">
        <w:rPr>
          <w14:textOutline w14:w="12700" w14:cap="flat" w14:cmpd="sng" w14:algn="ctr">
            <w14:noFill/>
            <w14:prstDash w14:val="solid"/>
            <w14:miter w14:lim="400000"/>
          </w14:textOutline>
        </w:rPr>
        <w:t>Griffith College Dublin</w:t>
      </w:r>
    </w:p>
    <w:p w14:paraId="2E59DFB1" w14:textId="48E761C1" w:rsidR="00711619" w:rsidRDefault="00711619" w:rsidP="00D61AE9">
      <w:pPr>
        <w:pStyle w:val="Body"/>
        <w:spacing w:line="276" w:lineRule="auto"/>
        <w:rPr>
          <w14:textOutline w14:w="12700" w14:cap="flat" w14:cmpd="sng" w14:algn="ctr">
            <w14:noFill/>
            <w14:prstDash w14:val="solid"/>
            <w14:miter w14:lim="400000"/>
          </w14:textOutline>
        </w:rPr>
      </w:pPr>
    </w:p>
    <w:p w14:paraId="6F9E0024" w14:textId="1B785121" w:rsidR="00711619" w:rsidRDefault="00711619" w:rsidP="00D61AE9">
      <w:pPr>
        <w:pStyle w:val="Body"/>
        <w:spacing w:line="276" w:lineRule="auto"/>
        <w:rPr>
          <w14:textOutline w14:w="12700" w14:cap="flat" w14:cmpd="sng" w14:algn="ctr">
            <w14:noFill/>
            <w14:prstDash w14:val="solid"/>
            <w14:miter w14:lim="400000"/>
          </w14:textOutline>
        </w:rPr>
      </w:pPr>
    </w:p>
    <w:p w14:paraId="71CD0FC4" w14:textId="62E2B58E" w:rsidR="00711619" w:rsidRDefault="00711619" w:rsidP="00D61AE9">
      <w:pPr>
        <w:pStyle w:val="Body"/>
        <w:spacing w:line="276" w:lineRule="auto"/>
        <w:rPr>
          <w14:textOutline w14:w="12700" w14:cap="flat" w14:cmpd="sng" w14:algn="ctr">
            <w14:noFill/>
            <w14:prstDash w14:val="solid"/>
            <w14:miter w14:lim="400000"/>
          </w14:textOutline>
        </w:rPr>
      </w:pPr>
    </w:p>
    <w:p w14:paraId="2E5C0365" w14:textId="1AFB085E" w:rsidR="00711619" w:rsidRDefault="00711619" w:rsidP="00D61AE9">
      <w:pPr>
        <w:pStyle w:val="Body"/>
        <w:spacing w:line="276" w:lineRule="auto"/>
        <w:rPr>
          <w14:textOutline w14:w="12700" w14:cap="flat" w14:cmpd="sng" w14:algn="ctr">
            <w14:noFill/>
            <w14:prstDash w14:val="solid"/>
            <w14:miter w14:lim="400000"/>
          </w14:textOutline>
        </w:rPr>
      </w:pPr>
    </w:p>
    <w:p w14:paraId="2B7CCD59" w14:textId="6DDEA8F2" w:rsidR="00711619" w:rsidRDefault="00711619" w:rsidP="00D61AE9">
      <w:pPr>
        <w:pStyle w:val="Body"/>
        <w:spacing w:line="276" w:lineRule="auto"/>
        <w:rPr>
          <w14:textOutline w14:w="12700" w14:cap="flat" w14:cmpd="sng" w14:algn="ctr">
            <w14:noFill/>
            <w14:prstDash w14:val="solid"/>
            <w14:miter w14:lim="400000"/>
          </w14:textOutline>
        </w:rPr>
      </w:pPr>
    </w:p>
    <w:p w14:paraId="23F152D0" w14:textId="77777777" w:rsidR="00711619" w:rsidRDefault="00711619" w:rsidP="00D61AE9">
      <w:pPr>
        <w:pStyle w:val="Body"/>
        <w:spacing w:line="276" w:lineRule="auto"/>
        <w:rPr>
          <w14:textOutline w14:w="12700" w14:cap="flat" w14:cmpd="sng" w14:algn="ctr">
            <w14:noFill/>
            <w14:prstDash w14:val="solid"/>
            <w14:miter w14:lim="400000"/>
          </w14:textOutline>
        </w:rPr>
      </w:pPr>
      <w:r>
        <w:rPr>
          <w14:textOutline w14:w="12700" w14:cap="flat" w14:cmpd="sng" w14:algn="ctr">
            <w14:noFill/>
            <w14:prstDash w14:val="solid"/>
            <w14:miter w14:lim="400000"/>
          </w14:textOutline>
        </w:rPr>
        <w:t xml:space="preserve">                   </w:t>
      </w:r>
    </w:p>
    <w:p w14:paraId="1248DAB0" w14:textId="77777777" w:rsidR="00711619" w:rsidRDefault="00711619" w:rsidP="00D61AE9">
      <w:pPr>
        <w:pStyle w:val="Body"/>
        <w:spacing w:line="276" w:lineRule="auto"/>
        <w:rPr>
          <w14:textOutline w14:w="12700" w14:cap="flat" w14:cmpd="sng" w14:algn="ctr">
            <w14:noFill/>
            <w14:prstDash w14:val="solid"/>
            <w14:miter w14:lim="400000"/>
          </w14:textOutline>
        </w:rPr>
      </w:pPr>
    </w:p>
    <w:p w14:paraId="12042F0C" w14:textId="144F20EA" w:rsidR="00711619" w:rsidRDefault="00711619" w:rsidP="00D61AE9">
      <w:pPr>
        <w:pStyle w:val="Body"/>
        <w:spacing w:line="276" w:lineRule="auto"/>
        <w:rPr>
          <w14:textOutline w14:w="12700" w14:cap="flat" w14:cmpd="sng" w14:algn="ctr">
            <w14:noFill/>
            <w14:prstDash w14:val="solid"/>
            <w14:miter w14:lim="400000"/>
          </w14:textOutline>
        </w:rPr>
      </w:pPr>
      <w:r>
        <w:rPr>
          <w14:textOutline w14:w="12700" w14:cap="flat" w14:cmpd="sng" w14:algn="ctr">
            <w14:noFill/>
            <w14:prstDash w14:val="solid"/>
            <w14:miter w14:lim="400000"/>
          </w14:textOutline>
        </w:rPr>
        <w:t xml:space="preserve">                       </w:t>
      </w:r>
      <w:r w:rsidRPr="00711619">
        <w:rPr>
          <w14:textOutline w14:w="12700" w14:cap="flat" w14:cmpd="sng" w14:algn="ctr">
            <w14:noFill/>
            <w14:prstDash w14:val="solid"/>
            <w14:miter w14:lim="400000"/>
          </w14:textOutline>
        </w:rPr>
        <w:t>Dissertation Supervisor</w:t>
      </w:r>
      <w:r>
        <w:rPr>
          <w14:textOutline w14:w="12700" w14:cap="flat" w14:cmpd="sng" w14:algn="ctr">
            <w14:noFill/>
            <w14:prstDash w14:val="solid"/>
            <w14:miter w14:lim="400000"/>
          </w14:textOutline>
        </w:rPr>
        <w:t xml:space="preserve">: </w:t>
      </w:r>
      <w:bookmarkStart w:id="1" w:name="_Hlk73276097"/>
      <w:proofErr w:type="spellStart"/>
      <w:r w:rsidRPr="00711619">
        <w:rPr>
          <w14:textOutline w14:w="12700" w14:cap="flat" w14:cmpd="sng" w14:algn="ctr">
            <w14:noFill/>
            <w14:prstDash w14:val="solid"/>
            <w14:miter w14:lim="400000"/>
          </w14:textOutline>
        </w:rPr>
        <w:t>Dr.</w:t>
      </w:r>
      <w:proofErr w:type="spellEnd"/>
      <w:r w:rsidRPr="00711619">
        <w:rPr>
          <w14:textOutline w14:w="12700" w14:cap="flat" w14:cmpd="sng" w14:algn="ctr">
            <w14:noFill/>
            <w14:prstDash w14:val="solid"/>
            <w14:miter w14:lim="400000"/>
          </w14:textOutline>
        </w:rPr>
        <w:t xml:space="preserve"> </w:t>
      </w:r>
      <w:proofErr w:type="spellStart"/>
      <w:r w:rsidRPr="00711619">
        <w:rPr>
          <w14:textOutline w14:w="12700" w14:cap="flat" w14:cmpd="sng" w14:algn="ctr">
            <w14:noFill/>
            <w14:prstDash w14:val="solid"/>
            <w14:miter w14:lim="400000"/>
          </w14:textOutline>
        </w:rPr>
        <w:t>Thamil</w:t>
      </w:r>
      <w:proofErr w:type="spellEnd"/>
      <w:r w:rsidRPr="00711619">
        <w:rPr>
          <w14:textOutline w14:w="12700" w14:cap="flat" w14:cmpd="sng" w14:algn="ctr">
            <w14:noFill/>
            <w14:prstDash w14:val="solid"/>
            <w14:miter w14:lim="400000"/>
          </w14:textOutline>
        </w:rPr>
        <w:t xml:space="preserve"> </w:t>
      </w:r>
      <w:proofErr w:type="spellStart"/>
      <w:r w:rsidRPr="00711619">
        <w:rPr>
          <w14:textOutline w14:w="12700" w14:cap="flat" w14:cmpd="sng" w14:algn="ctr">
            <w14:noFill/>
            <w14:prstDash w14:val="solid"/>
            <w14:miter w14:lim="400000"/>
          </w14:textOutline>
        </w:rPr>
        <w:t>Venthan</w:t>
      </w:r>
      <w:proofErr w:type="spellEnd"/>
      <w:r w:rsidRPr="00711619">
        <w:rPr>
          <w14:textOutline w14:w="12700" w14:cap="flat" w14:cmpd="sng" w14:algn="ctr">
            <w14:noFill/>
            <w14:prstDash w14:val="solid"/>
            <w14:miter w14:lim="400000"/>
          </w14:textOutline>
        </w:rPr>
        <w:t xml:space="preserve"> </w:t>
      </w:r>
      <w:proofErr w:type="spellStart"/>
      <w:r w:rsidRPr="00711619">
        <w:rPr>
          <w14:textOutline w14:w="12700" w14:cap="flat" w14:cmpd="sng" w14:algn="ctr">
            <w14:noFill/>
            <w14:prstDash w14:val="solid"/>
            <w14:miter w14:lim="400000"/>
          </w14:textOutline>
        </w:rPr>
        <w:t>Ananthavinayagan</w:t>
      </w:r>
      <w:bookmarkEnd w:id="1"/>
      <w:proofErr w:type="spellEnd"/>
    </w:p>
    <w:p w14:paraId="3AAE6B61" w14:textId="505A2ED2" w:rsidR="00711619" w:rsidRDefault="00711619" w:rsidP="00D61AE9">
      <w:pPr>
        <w:pStyle w:val="Body"/>
        <w:spacing w:line="276" w:lineRule="auto"/>
        <w:rPr>
          <w14:textOutline w14:w="12700" w14:cap="flat" w14:cmpd="sng" w14:algn="ctr">
            <w14:noFill/>
            <w14:prstDash w14:val="solid"/>
            <w14:miter w14:lim="400000"/>
          </w14:textOutline>
        </w:rPr>
      </w:pPr>
    </w:p>
    <w:p w14:paraId="2EC30C2D" w14:textId="0BB6E4AE" w:rsidR="00711619" w:rsidRDefault="00711619" w:rsidP="00D61AE9">
      <w:pPr>
        <w:pStyle w:val="Body"/>
        <w:spacing w:line="276" w:lineRule="auto"/>
        <w:rPr>
          <w14:textOutline w14:w="12700" w14:cap="flat" w14:cmpd="sng" w14:algn="ctr">
            <w14:noFill/>
            <w14:prstDash w14:val="solid"/>
            <w14:miter w14:lim="400000"/>
          </w14:textOutline>
        </w:rPr>
      </w:pPr>
    </w:p>
    <w:p w14:paraId="026FA1E2" w14:textId="0FA21733" w:rsidR="00711619" w:rsidRDefault="00711619" w:rsidP="00D61AE9">
      <w:pPr>
        <w:pStyle w:val="Body"/>
        <w:spacing w:line="276" w:lineRule="auto"/>
        <w:rPr>
          <w14:textOutline w14:w="12700" w14:cap="flat" w14:cmpd="sng" w14:algn="ctr">
            <w14:noFill/>
            <w14:prstDash w14:val="solid"/>
            <w14:miter w14:lim="400000"/>
          </w14:textOutline>
        </w:rPr>
      </w:pPr>
    </w:p>
    <w:p w14:paraId="5860A691" w14:textId="0EE2EB82" w:rsidR="00711619" w:rsidRDefault="00711619" w:rsidP="00D61AE9">
      <w:pPr>
        <w:pStyle w:val="Body"/>
        <w:spacing w:line="276" w:lineRule="auto"/>
        <w:rPr>
          <w14:textOutline w14:w="12700" w14:cap="flat" w14:cmpd="sng" w14:algn="ctr">
            <w14:noFill/>
            <w14:prstDash w14:val="solid"/>
            <w14:miter w14:lim="400000"/>
          </w14:textOutline>
        </w:rPr>
      </w:pPr>
    </w:p>
    <w:p w14:paraId="3271A41B" w14:textId="4CB17D65" w:rsidR="00711619" w:rsidRDefault="00711619" w:rsidP="00D61AE9">
      <w:pPr>
        <w:pStyle w:val="Body"/>
        <w:spacing w:line="276" w:lineRule="auto"/>
        <w:rPr>
          <w14:textOutline w14:w="12700" w14:cap="flat" w14:cmpd="sng" w14:algn="ctr">
            <w14:noFill/>
            <w14:prstDash w14:val="solid"/>
            <w14:miter w14:lim="400000"/>
          </w14:textOutline>
        </w:rPr>
      </w:pPr>
    </w:p>
    <w:p w14:paraId="50246082" w14:textId="4D6E7840" w:rsidR="00711619" w:rsidRDefault="00711619" w:rsidP="00D61AE9">
      <w:pPr>
        <w:pStyle w:val="Body"/>
        <w:spacing w:line="276" w:lineRule="auto"/>
        <w:rPr>
          <w14:textOutline w14:w="12700" w14:cap="flat" w14:cmpd="sng" w14:algn="ctr">
            <w14:noFill/>
            <w14:prstDash w14:val="solid"/>
            <w14:miter w14:lim="400000"/>
          </w14:textOutline>
        </w:rPr>
      </w:pPr>
      <w:r>
        <w:rPr>
          <w14:textOutline w14:w="12700" w14:cap="flat" w14:cmpd="sng" w14:algn="ctr">
            <w14:noFill/>
            <w14:prstDash w14:val="solid"/>
            <w14:miter w14:lim="400000"/>
          </w14:textOutline>
        </w:rPr>
        <w:t xml:space="preserve">                                       </w:t>
      </w:r>
      <w:r w:rsidR="00A5345D">
        <w:rPr>
          <w14:textOutline w14:w="12700" w14:cap="flat" w14:cmpd="sng" w14:algn="ctr">
            <w14:noFill/>
            <w14:prstDash w14:val="solid"/>
            <w14:miter w14:lim="400000"/>
          </w14:textOutline>
        </w:rPr>
        <w:t xml:space="preserve">                      </w:t>
      </w:r>
      <w:r>
        <w:rPr>
          <w14:textOutline w14:w="12700" w14:cap="flat" w14:cmpd="sng" w14:algn="ctr">
            <w14:noFill/>
            <w14:prstDash w14:val="solid"/>
            <w14:miter w14:lim="400000"/>
          </w14:textOutline>
        </w:rPr>
        <w:t xml:space="preserve">Karina Savchuk </w:t>
      </w:r>
    </w:p>
    <w:p w14:paraId="22081EBF" w14:textId="57DA8BDD" w:rsidR="00D81BE7" w:rsidRDefault="00E8041D" w:rsidP="00D61AE9">
      <w:pPr>
        <w:pStyle w:val="Body"/>
        <w:spacing w:line="276" w:lineRule="auto"/>
        <w:rPr>
          <w14:textOutline w14:w="12700" w14:cap="flat" w14:cmpd="sng" w14:algn="ctr">
            <w14:noFill/>
            <w14:prstDash w14:val="solid"/>
            <w14:miter w14:lim="400000"/>
          </w14:textOutline>
        </w:rPr>
      </w:pPr>
      <w:r>
        <w:rPr>
          <w14:textOutline w14:w="12700" w14:cap="flat" w14:cmpd="sng" w14:algn="ctr">
            <w14:noFill/>
            <w14:prstDash w14:val="solid"/>
            <w14:miter w14:lim="400000"/>
          </w14:textOutline>
        </w:rPr>
        <w:t xml:space="preserve">                                                        Student ID </w:t>
      </w:r>
      <w:r w:rsidRPr="00E8041D">
        <w:rPr>
          <w14:textOutline w14:w="12700" w14:cap="flat" w14:cmpd="sng" w14:algn="ctr">
            <w14:noFill/>
            <w14:prstDash w14:val="solid"/>
            <w14:miter w14:lim="400000"/>
          </w14:textOutline>
        </w:rPr>
        <w:t>3011990</w:t>
      </w:r>
    </w:p>
    <w:p w14:paraId="35803556" w14:textId="77777777" w:rsidR="00D81BE7" w:rsidRDefault="00D81BE7" w:rsidP="00D61AE9">
      <w:pPr>
        <w:pStyle w:val="Body"/>
        <w:spacing w:line="276" w:lineRule="auto"/>
        <w:rPr>
          <w14:textOutline w14:w="12700" w14:cap="flat" w14:cmpd="sng" w14:algn="ctr">
            <w14:noFill/>
            <w14:prstDash w14:val="solid"/>
            <w14:miter w14:lim="400000"/>
          </w14:textOutline>
        </w:rPr>
      </w:pPr>
    </w:p>
    <w:p w14:paraId="276FF21D" w14:textId="207E8A1E" w:rsidR="00A5345D" w:rsidRDefault="00A5345D" w:rsidP="00D61AE9">
      <w:pPr>
        <w:pStyle w:val="Body"/>
        <w:spacing w:line="276" w:lineRule="auto"/>
        <w:rPr>
          <w14:textOutline w14:w="12700" w14:cap="flat" w14:cmpd="sng" w14:algn="ctr">
            <w14:noFill/>
            <w14:prstDash w14:val="solid"/>
            <w14:miter w14:lim="400000"/>
          </w14:textOutline>
        </w:rPr>
      </w:pPr>
      <w:r>
        <w:rPr>
          <w14:textOutline w14:w="12700" w14:cap="flat" w14:cmpd="sng" w14:algn="ctr">
            <w14:noFill/>
            <w14:prstDash w14:val="solid"/>
            <w14:miter w14:lim="400000"/>
          </w14:textOutline>
        </w:rPr>
        <w:t xml:space="preserve">                                     </w:t>
      </w:r>
      <w:r w:rsidR="00D81BE7">
        <w:rPr>
          <w14:textOutline w14:w="12700" w14:cap="flat" w14:cmpd="sng" w14:algn="ctr">
            <w14:noFill/>
            <w14:prstDash w14:val="solid"/>
            <w14:miter w14:lim="400000"/>
          </w14:textOutline>
        </w:rPr>
        <w:t xml:space="preserve">          </w:t>
      </w:r>
      <w:r>
        <w:rPr>
          <w14:textOutline w14:w="12700" w14:cap="flat" w14:cmpd="sng" w14:algn="ctr">
            <w14:noFill/>
            <w14:prstDash w14:val="solid"/>
            <w14:miter w14:lim="400000"/>
          </w14:textOutline>
        </w:rPr>
        <w:t xml:space="preserve">               </w:t>
      </w:r>
      <w:r w:rsidR="002722B8">
        <w:rPr>
          <w14:textOutline w14:w="12700" w14:cap="flat" w14:cmpd="sng" w14:algn="ctr">
            <w14:noFill/>
            <w14:prstDash w14:val="solid"/>
            <w14:miter w14:lim="400000"/>
          </w14:textOutline>
        </w:rPr>
        <w:t xml:space="preserve"> </w:t>
      </w:r>
      <w:r w:rsidR="004A5D0A">
        <w:rPr>
          <w14:textOutline w14:w="12700" w14:cap="flat" w14:cmpd="sng" w14:algn="ctr">
            <w14:noFill/>
            <w14:prstDash w14:val="solid"/>
            <w14:miter w14:lim="400000"/>
          </w14:textOutline>
        </w:rPr>
        <w:t>1 June</w:t>
      </w:r>
      <w:r w:rsidR="00D81BE7">
        <w:rPr>
          <w14:textOutline w14:w="12700" w14:cap="flat" w14:cmpd="sng" w14:algn="ctr">
            <w14:noFill/>
            <w14:prstDash w14:val="solid"/>
            <w14:miter w14:lim="400000"/>
          </w14:textOutline>
        </w:rPr>
        <w:t xml:space="preserve"> 2021</w:t>
      </w:r>
    </w:p>
    <w:p w14:paraId="32990D23" w14:textId="6BD25777" w:rsidR="00D81BE7" w:rsidRPr="006A43BB" w:rsidRDefault="00D81BE7" w:rsidP="00D61AE9">
      <w:pPr>
        <w:pStyle w:val="Body"/>
        <w:spacing w:line="276" w:lineRule="auto"/>
        <w:rPr>
          <w14:textOutline w14:w="12700" w14:cap="flat" w14:cmpd="sng" w14:algn="ctr">
            <w14:noFill/>
            <w14:prstDash w14:val="solid"/>
            <w14:miter w14:lim="400000"/>
          </w14:textOutline>
        </w:rPr>
      </w:pPr>
      <w:r>
        <w:rPr>
          <w14:textOutline w14:w="12700" w14:cap="flat" w14:cmpd="sng" w14:algn="ctr">
            <w14:noFill/>
            <w14:prstDash w14:val="solid"/>
            <w14:miter w14:lim="400000"/>
          </w14:textOutline>
        </w:rPr>
        <w:t xml:space="preserve">                                                             Dublin, Ireland </w:t>
      </w:r>
    </w:p>
    <w:p w14:paraId="501A9F45" w14:textId="285D0BF6" w:rsidR="001B2C46" w:rsidRDefault="001B2C46">
      <w:pPr>
        <w:pStyle w:val="Body"/>
        <w:spacing w:line="276" w:lineRule="auto"/>
        <w:rPr>
          <w:b/>
          <w:bCs/>
          <w14:textOutline w14:w="12700" w14:cap="flat" w14:cmpd="sng" w14:algn="ctr">
            <w14:noFill/>
            <w14:prstDash w14:val="solid"/>
            <w14:miter w14:lim="400000"/>
          </w14:textOutline>
        </w:rPr>
      </w:pPr>
    </w:p>
    <w:p w14:paraId="14A09371" w14:textId="6F451CEE" w:rsidR="001B2C46" w:rsidRDefault="001B2C46">
      <w:pPr>
        <w:pStyle w:val="Body"/>
        <w:spacing w:line="276" w:lineRule="auto"/>
        <w:rPr>
          <w:b/>
          <w:bCs/>
          <w14:textOutline w14:w="12700" w14:cap="flat" w14:cmpd="sng" w14:algn="ctr">
            <w14:noFill/>
            <w14:prstDash w14:val="solid"/>
            <w14:miter w14:lim="400000"/>
          </w14:textOutline>
        </w:rPr>
      </w:pPr>
    </w:p>
    <w:p w14:paraId="4973D038" w14:textId="7B07D4A0" w:rsidR="001B2C46" w:rsidRDefault="001B2C46">
      <w:pPr>
        <w:pStyle w:val="Body"/>
        <w:spacing w:line="276" w:lineRule="auto"/>
        <w:rPr>
          <w:b/>
          <w:bCs/>
          <w14:textOutline w14:w="12700" w14:cap="flat" w14:cmpd="sng" w14:algn="ctr">
            <w14:noFill/>
            <w14:prstDash w14:val="solid"/>
            <w14:miter w14:lim="400000"/>
          </w14:textOutline>
        </w:rPr>
      </w:pPr>
    </w:p>
    <w:p w14:paraId="6B0DD146" w14:textId="7DD6E98E" w:rsidR="00F74313" w:rsidRPr="00F74313" w:rsidRDefault="007D58B4" w:rsidP="00F74313">
      <w:pPr>
        <w:pStyle w:val="Body"/>
        <w:spacing w:line="276" w:lineRule="auto"/>
        <w:rPr>
          <w:b/>
          <w:bCs/>
          <w14:textOutline w14:w="12700" w14:cap="flat" w14:cmpd="sng" w14:algn="ctr">
            <w14:noFill/>
            <w14:prstDash w14:val="solid"/>
            <w14:miter w14:lim="400000"/>
          </w14:textOutline>
        </w:rPr>
      </w:pPr>
      <w:r>
        <w:rPr>
          <w:b/>
          <w:bCs/>
          <w:noProof/>
          <w14:textOutline w14:w="0" w14:cap="rnd" w14:cmpd="sng" w14:algn="ctr">
            <w14:noFill/>
            <w14:prstDash w14:val="solid"/>
            <w14:bevel/>
          </w14:textOutline>
        </w:rPr>
        <w:lastRenderedPageBreak/>
        <mc:AlternateContent>
          <mc:Choice Requires="wpi">
            <w:drawing>
              <wp:anchor distT="0" distB="0" distL="114300" distR="114300" simplePos="0" relativeHeight="251660288" behindDoc="0" locked="0" layoutInCell="1" allowOverlap="1" wp14:anchorId="38CADABB" wp14:editId="5AB2C617">
                <wp:simplePos x="0" y="0"/>
                <wp:positionH relativeFrom="column">
                  <wp:posOffset>-3093245</wp:posOffset>
                </wp:positionH>
                <wp:positionV relativeFrom="paragraph">
                  <wp:posOffset>-238743</wp:posOffset>
                </wp:positionV>
                <wp:extent cx="3600" cy="360"/>
                <wp:effectExtent l="57150" t="38100" r="53975" b="57150"/>
                <wp:wrapNone/>
                <wp:docPr id="12" name="Ink 12"/>
                <wp:cNvGraphicFramePr/>
                <a:graphic xmlns:a="http://schemas.openxmlformats.org/drawingml/2006/main">
                  <a:graphicData uri="http://schemas.microsoft.com/office/word/2010/wordprocessingInk">
                    <w14:contentPart bwMode="auto" r:id="rId9">
                      <w14:nvContentPartPr>
                        <w14:cNvContentPartPr/>
                      </w14:nvContentPartPr>
                      <w14:xfrm>
                        <a:off x="0" y="0"/>
                        <a:ext cx="3600" cy="360"/>
                      </w14:xfrm>
                    </w14:contentPart>
                  </a:graphicData>
                </a:graphic>
              </wp:anchor>
            </w:drawing>
          </mc:Choice>
          <mc:Fallback>
            <w:pict>
              <v:shapetype w14:anchorId="592C56C5"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2" o:spid="_x0000_s1026" type="#_x0000_t75" style="position:absolute;margin-left:-244.25pt;margin-top:-19.5pt;width:1.7pt;height:1.4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">
                <v:imagedata r:id="rId10" o:title=""/>
              </v:shape>
            </w:pict>
          </mc:Fallback>
        </mc:AlternateContent>
      </w:r>
      <w:r w:rsidR="00E23070">
        <w:rPr>
          <w:b/>
          <w:bCs/>
          <w14:textOutline w14:w="12700" w14:cap="flat" w14:cmpd="sng" w14:algn="ctr">
            <w14:noFill/>
            <w14:prstDash w14:val="solid"/>
            <w14:miter w14:lim="400000"/>
          </w14:textOutline>
        </w:rPr>
        <w:t xml:space="preserve">                                                          </w:t>
      </w:r>
      <w:r w:rsidR="00F74313" w:rsidRPr="00F74313">
        <w:rPr>
          <w:b/>
          <w:bCs/>
          <w14:textOutline w14:w="12700" w14:cap="flat" w14:cmpd="sng" w14:algn="ctr">
            <w14:noFill/>
            <w14:prstDash w14:val="solid"/>
            <w14:miter w14:lim="400000"/>
          </w14:textOutline>
        </w:rPr>
        <w:t>Candidate Declaration</w:t>
      </w:r>
    </w:p>
    <w:p w14:paraId="0C2265B1" w14:textId="77777777" w:rsidR="00F74313" w:rsidRPr="00F74313" w:rsidRDefault="00F74313" w:rsidP="00F74313">
      <w:pPr>
        <w:pStyle w:val="Body"/>
        <w:spacing w:line="276" w:lineRule="auto"/>
        <w:rPr>
          <w:b/>
          <w:bCs/>
          <w14:textOutline w14:w="12700" w14:cap="flat" w14:cmpd="sng" w14:algn="ctr">
            <w14:noFill/>
            <w14:prstDash w14:val="solid"/>
            <w14:miter w14:lim="400000"/>
          </w14:textOutline>
        </w:rPr>
      </w:pPr>
    </w:p>
    <w:p w14:paraId="5C28C8E1" w14:textId="77777777" w:rsidR="00E23070" w:rsidRDefault="00E23070" w:rsidP="00F74313">
      <w:pPr>
        <w:pStyle w:val="Body"/>
        <w:spacing w:line="276" w:lineRule="auto"/>
        <w:rPr>
          <w14:textOutline w14:w="12700" w14:cap="flat" w14:cmpd="sng" w14:algn="ctr">
            <w14:noFill/>
            <w14:prstDash w14:val="solid"/>
            <w14:miter w14:lim="400000"/>
          </w14:textOutline>
        </w:rPr>
      </w:pPr>
    </w:p>
    <w:p w14:paraId="155A67C4" w14:textId="77777777" w:rsidR="00E23070" w:rsidRDefault="00E23070" w:rsidP="00F74313">
      <w:pPr>
        <w:pStyle w:val="Body"/>
        <w:spacing w:line="276" w:lineRule="auto"/>
        <w:rPr>
          <w14:textOutline w14:w="12700" w14:cap="flat" w14:cmpd="sng" w14:algn="ctr">
            <w14:noFill/>
            <w14:prstDash w14:val="solid"/>
            <w14:miter w14:lim="400000"/>
          </w14:textOutline>
        </w:rPr>
      </w:pPr>
    </w:p>
    <w:p w14:paraId="046954CF" w14:textId="7B9297A6" w:rsidR="00F74313" w:rsidRPr="006A43BB" w:rsidRDefault="00F74313" w:rsidP="006A43BB">
      <w:pPr>
        <w:pStyle w:val="Body"/>
        <w:spacing w:line="276" w:lineRule="auto"/>
        <w:jc w:val="both"/>
        <w:rPr>
          <w14:textOutline w14:w="12700" w14:cap="flat" w14:cmpd="sng" w14:algn="ctr">
            <w14:noFill/>
            <w14:prstDash w14:val="solid"/>
            <w14:miter w14:lim="400000"/>
          </w14:textOutline>
        </w:rPr>
      </w:pPr>
      <w:r w:rsidRPr="006A43BB">
        <w:rPr>
          <w14:textOutline w14:w="12700" w14:cap="flat" w14:cmpd="sng" w14:algn="ctr">
            <w14:noFill/>
            <w14:prstDash w14:val="solid"/>
            <w14:miter w14:lim="400000"/>
          </w14:textOutline>
        </w:rPr>
        <w:t>Candidate Name:</w:t>
      </w:r>
      <w:r w:rsidR="00E23070">
        <w:rPr>
          <w14:textOutline w14:w="12700" w14:cap="flat" w14:cmpd="sng" w14:algn="ctr">
            <w14:noFill/>
            <w14:prstDash w14:val="solid"/>
            <w14:miter w14:lim="400000"/>
          </w14:textOutline>
        </w:rPr>
        <w:t xml:space="preserve"> Karina Savchuk </w:t>
      </w:r>
      <w:r w:rsidRPr="006A43BB">
        <w:rPr>
          <w14:textOutline w14:w="12700" w14:cap="flat" w14:cmpd="sng" w14:algn="ctr">
            <w14:noFill/>
            <w14:prstDash w14:val="solid"/>
            <w14:miter w14:lim="400000"/>
          </w14:textOutline>
        </w:rPr>
        <w:tab/>
      </w:r>
    </w:p>
    <w:p w14:paraId="57E73C86" w14:textId="77777777" w:rsidR="00F74313" w:rsidRPr="006A43BB" w:rsidRDefault="00F74313" w:rsidP="006A43BB">
      <w:pPr>
        <w:pStyle w:val="Body"/>
        <w:spacing w:line="276" w:lineRule="auto"/>
        <w:jc w:val="both"/>
        <w:rPr>
          <w14:textOutline w14:w="12700" w14:cap="flat" w14:cmpd="sng" w14:algn="ctr">
            <w14:noFill/>
            <w14:prstDash w14:val="solid"/>
            <w14:miter w14:lim="400000"/>
          </w14:textOutline>
        </w:rPr>
      </w:pPr>
    </w:p>
    <w:p w14:paraId="5D09CAC7" w14:textId="0EA24C67" w:rsidR="00F74313" w:rsidRPr="006A43BB" w:rsidRDefault="00F74313" w:rsidP="006A43BB">
      <w:pPr>
        <w:pStyle w:val="Body"/>
        <w:spacing w:line="276" w:lineRule="auto"/>
        <w:jc w:val="both"/>
        <w:rPr>
          <w14:textOutline w14:w="12700" w14:cap="flat" w14:cmpd="sng" w14:algn="ctr">
            <w14:noFill/>
            <w14:prstDash w14:val="solid"/>
            <w14:miter w14:lim="400000"/>
          </w14:textOutline>
        </w:rPr>
      </w:pPr>
      <w:r w:rsidRPr="006A43BB">
        <w:rPr>
          <w14:textOutline w14:w="12700" w14:cap="flat" w14:cmpd="sng" w14:algn="ctr">
            <w14:noFill/>
            <w14:prstDash w14:val="solid"/>
            <w14:miter w14:lim="400000"/>
          </w14:textOutline>
        </w:rPr>
        <w:t>I certify that the dissertation entitled:</w:t>
      </w:r>
      <w:r w:rsidR="00E23070" w:rsidRPr="00E23070">
        <w:t xml:space="preserve"> </w:t>
      </w:r>
      <w:r w:rsidR="00E23070">
        <w:t>‘</w:t>
      </w:r>
      <w:r w:rsidR="00E23070" w:rsidRPr="00E23070">
        <w:rPr>
          <w14:textOutline w14:w="12700" w14:cap="flat" w14:cmpd="sng" w14:algn="ctr">
            <w14:noFill/>
            <w14:prstDash w14:val="solid"/>
            <w14:miter w14:lim="400000"/>
          </w14:textOutline>
        </w:rPr>
        <w:t>Sweeping in front of the own door: Is it possible to hold corporations accountable for human rights violations under modern international law in the context of binding Business and Human Rights Treaty?</w:t>
      </w:r>
      <w:r w:rsidR="00E23070">
        <w:rPr>
          <w14:textOutline w14:w="12700" w14:cap="flat" w14:cmpd="sng" w14:algn="ctr">
            <w14:noFill/>
            <w14:prstDash w14:val="solid"/>
            <w14:miter w14:lim="400000"/>
          </w14:textOutline>
        </w:rPr>
        <w:t>’</w:t>
      </w:r>
    </w:p>
    <w:p w14:paraId="5BB515EC" w14:textId="77777777" w:rsidR="00F74313" w:rsidRPr="006A43BB" w:rsidRDefault="00F74313" w:rsidP="006A43BB">
      <w:pPr>
        <w:pStyle w:val="Body"/>
        <w:spacing w:line="276" w:lineRule="auto"/>
        <w:jc w:val="both"/>
        <w:rPr>
          <w14:textOutline w14:w="12700" w14:cap="flat" w14:cmpd="sng" w14:algn="ctr">
            <w14:noFill/>
            <w14:prstDash w14:val="solid"/>
            <w14:miter w14:lim="400000"/>
          </w14:textOutline>
        </w:rPr>
      </w:pPr>
    </w:p>
    <w:p w14:paraId="4D16F293" w14:textId="2381921E" w:rsidR="00F74313" w:rsidRPr="006A43BB" w:rsidRDefault="00E23070" w:rsidP="006A43BB">
      <w:pPr>
        <w:pStyle w:val="Body"/>
        <w:spacing w:line="276" w:lineRule="auto"/>
        <w:jc w:val="both"/>
        <w:rPr>
          <w14:textOutline w14:w="12700" w14:cap="flat" w14:cmpd="sng" w14:algn="ctr">
            <w14:noFill/>
            <w14:prstDash w14:val="solid"/>
            <w14:miter w14:lim="400000"/>
          </w14:textOutline>
        </w:rPr>
      </w:pPr>
      <w:r>
        <w:rPr>
          <w14:textOutline w14:w="12700" w14:cap="flat" w14:cmpd="sng" w14:algn="ctr">
            <w14:noFill/>
            <w14:prstDash w14:val="solid"/>
            <w14:miter w14:lim="400000"/>
          </w14:textOutline>
        </w:rPr>
        <w:t>S</w:t>
      </w:r>
      <w:r w:rsidR="00F74313" w:rsidRPr="006A43BB">
        <w:rPr>
          <w14:textOutline w14:w="12700" w14:cap="flat" w14:cmpd="sng" w14:algn="ctr">
            <w14:noFill/>
            <w14:prstDash w14:val="solid"/>
            <w14:miter w14:lim="400000"/>
          </w14:textOutline>
        </w:rPr>
        <w:t xml:space="preserve">ubmitted for the degree of: MSc in </w:t>
      </w:r>
      <w:r>
        <w:rPr>
          <w14:textOutline w14:w="12700" w14:cap="flat" w14:cmpd="sng" w14:algn="ctr">
            <w14:noFill/>
            <w14:prstDash w14:val="solid"/>
            <w14:miter w14:lim="400000"/>
          </w14:textOutline>
        </w:rPr>
        <w:t xml:space="preserve">International Business and Law </w:t>
      </w:r>
      <w:r w:rsidR="00F74313" w:rsidRPr="006A43BB">
        <w:rPr>
          <w14:textOutline w14:w="12700" w14:cap="flat" w14:cmpd="sng" w14:algn="ctr">
            <w14:noFill/>
            <w14:prstDash w14:val="solid"/>
            <w14:miter w14:lim="400000"/>
          </w14:textOutline>
        </w:rPr>
        <w:t>is the result of the my own work and that where reference is made to the work of others, due acknowledgment is given.</w:t>
      </w:r>
    </w:p>
    <w:p w14:paraId="0464C434" w14:textId="19AA3AC4" w:rsidR="00F74313" w:rsidRPr="006A43BB" w:rsidRDefault="006E5222" w:rsidP="00F74313">
      <w:pPr>
        <w:pStyle w:val="Body"/>
        <w:spacing w:line="276" w:lineRule="auto"/>
        <w:rPr>
          <w14:textOutline w14:w="12700" w14:cap="flat" w14:cmpd="sng" w14:algn="ctr">
            <w14:noFill/>
            <w14:prstDash w14:val="solid"/>
            <w14:miter w14:lim="400000"/>
          </w14:textOutline>
        </w:rPr>
      </w:pPr>
      <w:r>
        <w:rPr>
          <w:noProof/>
        </w:rPr>
        <w:drawing>
          <wp:anchor distT="0" distB="0" distL="114300" distR="114300" simplePos="0" relativeHeight="251661312" behindDoc="1" locked="0" layoutInCell="1" allowOverlap="1" wp14:anchorId="48359F3E" wp14:editId="5EE78104">
            <wp:simplePos x="0" y="0"/>
            <wp:positionH relativeFrom="column">
              <wp:posOffset>1033504</wp:posOffset>
            </wp:positionH>
            <wp:positionV relativeFrom="paragraph">
              <wp:posOffset>6653</wp:posOffset>
            </wp:positionV>
            <wp:extent cx="1327867" cy="782987"/>
            <wp:effectExtent l="0" t="0" r="5715"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flipV="1">
                      <a:off x="0" y="0"/>
                      <a:ext cx="1327867" cy="78298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C7A75B" w14:textId="3C6F6CB5" w:rsidR="00F74313" w:rsidRPr="006A43BB" w:rsidRDefault="00F74313" w:rsidP="00F74313">
      <w:pPr>
        <w:pStyle w:val="Body"/>
        <w:spacing w:line="276" w:lineRule="auto"/>
        <w:rPr>
          <w14:textOutline w14:w="12700" w14:cap="flat" w14:cmpd="sng" w14:algn="ctr">
            <w14:noFill/>
            <w14:prstDash w14:val="solid"/>
            <w14:miter w14:lim="400000"/>
          </w14:textOutline>
        </w:rPr>
      </w:pPr>
      <w:r w:rsidRPr="006A43BB">
        <w:rPr>
          <w14:textOutline w14:w="12700" w14:cap="flat" w14:cmpd="sng" w14:algn="ctr">
            <w14:noFill/>
            <w14:prstDash w14:val="solid"/>
            <w14:miter w14:lim="400000"/>
          </w14:textOutline>
        </w:rPr>
        <w:t>Candidate signature:</w:t>
      </w:r>
      <w:r w:rsidR="00E23070">
        <w:rPr>
          <w14:textOutline w14:w="12700" w14:cap="flat" w14:cmpd="sng" w14:algn="ctr">
            <w14:noFill/>
            <w14:prstDash w14:val="solid"/>
            <w14:miter w14:lim="400000"/>
          </w14:textOutline>
        </w:rPr>
        <w:t xml:space="preserve"> </w:t>
      </w:r>
      <w:r w:rsidRPr="006A43BB">
        <w:rPr>
          <w14:textOutline w14:w="12700" w14:cap="flat" w14:cmpd="sng" w14:algn="ctr">
            <w14:noFill/>
            <w14:prstDash w14:val="solid"/>
            <w14:miter w14:lim="400000"/>
          </w14:textOutline>
        </w:rPr>
        <w:tab/>
      </w:r>
      <w:r w:rsidRPr="006A43BB">
        <w:rPr>
          <w14:textOutline w14:w="12700" w14:cap="flat" w14:cmpd="sng" w14:algn="ctr">
            <w14:noFill/>
            <w14:prstDash w14:val="solid"/>
            <w14:miter w14:lim="400000"/>
          </w14:textOutline>
        </w:rPr>
        <w:tab/>
      </w:r>
    </w:p>
    <w:p w14:paraId="0E6C04D6" w14:textId="77777777" w:rsidR="00F74313" w:rsidRPr="006A43BB" w:rsidRDefault="00F74313" w:rsidP="00F74313">
      <w:pPr>
        <w:pStyle w:val="Body"/>
        <w:spacing w:line="276" w:lineRule="auto"/>
        <w:rPr>
          <w14:textOutline w14:w="12700" w14:cap="flat" w14:cmpd="sng" w14:algn="ctr">
            <w14:noFill/>
            <w14:prstDash w14:val="solid"/>
            <w14:miter w14:lim="400000"/>
          </w14:textOutline>
        </w:rPr>
      </w:pPr>
    </w:p>
    <w:p w14:paraId="610230C0" w14:textId="0E5BA7F4" w:rsidR="00F74313" w:rsidRPr="006A43BB" w:rsidRDefault="00F74313" w:rsidP="00F74313">
      <w:pPr>
        <w:pStyle w:val="Body"/>
        <w:spacing w:line="276" w:lineRule="auto"/>
        <w:rPr>
          <w14:textOutline w14:w="12700" w14:cap="flat" w14:cmpd="sng" w14:algn="ctr">
            <w14:noFill/>
            <w14:prstDash w14:val="solid"/>
            <w14:miter w14:lim="400000"/>
          </w14:textOutline>
        </w:rPr>
      </w:pPr>
      <w:r w:rsidRPr="006A43BB">
        <w:rPr>
          <w14:textOutline w14:w="12700" w14:cap="flat" w14:cmpd="sng" w14:algn="ctr">
            <w14:noFill/>
            <w14:prstDash w14:val="solid"/>
            <w14:miter w14:lim="400000"/>
          </w14:textOutline>
        </w:rPr>
        <w:t>Date:</w:t>
      </w:r>
      <w:r w:rsidRPr="006A43BB">
        <w:rPr>
          <w14:textOutline w14:w="12700" w14:cap="flat" w14:cmpd="sng" w14:algn="ctr">
            <w14:noFill/>
            <w14:prstDash w14:val="solid"/>
            <w14:miter w14:lim="400000"/>
          </w14:textOutline>
        </w:rPr>
        <w:tab/>
      </w:r>
      <w:r w:rsidR="004A5D0A">
        <w:rPr>
          <w14:textOutline w14:w="12700" w14:cap="flat" w14:cmpd="sng" w14:algn="ctr">
            <w14:noFill/>
            <w14:prstDash w14:val="solid"/>
            <w14:miter w14:lim="400000"/>
          </w14:textOutline>
        </w:rPr>
        <w:t>01</w:t>
      </w:r>
      <w:r w:rsidR="008E02CF">
        <w:rPr>
          <w14:textOutline w14:w="12700" w14:cap="flat" w14:cmpd="sng" w14:algn="ctr">
            <w14:noFill/>
            <w14:prstDash w14:val="solid"/>
            <w14:miter w14:lim="400000"/>
          </w14:textOutline>
        </w:rPr>
        <w:t>/</w:t>
      </w:r>
      <w:r w:rsidR="00586D96">
        <w:rPr>
          <w14:textOutline w14:w="12700" w14:cap="flat" w14:cmpd="sng" w14:algn="ctr">
            <w14:noFill/>
            <w14:prstDash w14:val="solid"/>
            <w14:miter w14:lim="400000"/>
          </w14:textOutline>
        </w:rPr>
        <w:t>0</w:t>
      </w:r>
      <w:r w:rsidR="004A5D0A">
        <w:rPr>
          <w14:textOutline w14:w="12700" w14:cap="flat" w14:cmpd="sng" w14:algn="ctr">
            <w14:noFill/>
            <w14:prstDash w14:val="solid"/>
            <w14:miter w14:lim="400000"/>
          </w14:textOutline>
        </w:rPr>
        <w:t>6</w:t>
      </w:r>
      <w:r w:rsidR="00586D96">
        <w:rPr>
          <w14:textOutline w14:w="12700" w14:cap="flat" w14:cmpd="sng" w14:algn="ctr">
            <w14:noFill/>
            <w14:prstDash w14:val="solid"/>
            <w14:miter w14:lim="400000"/>
          </w14:textOutline>
        </w:rPr>
        <w:t>/2021</w:t>
      </w:r>
      <w:r w:rsidRPr="006A43BB">
        <w:rPr>
          <w14:textOutline w14:w="12700" w14:cap="flat" w14:cmpd="sng" w14:algn="ctr">
            <w14:noFill/>
            <w14:prstDash w14:val="solid"/>
            <w14:miter w14:lim="400000"/>
          </w14:textOutline>
        </w:rPr>
        <w:tab/>
      </w:r>
      <w:r w:rsidRPr="006A43BB">
        <w:rPr>
          <w14:textOutline w14:w="12700" w14:cap="flat" w14:cmpd="sng" w14:algn="ctr">
            <w14:noFill/>
            <w14:prstDash w14:val="solid"/>
            <w14:miter w14:lim="400000"/>
          </w14:textOutline>
        </w:rPr>
        <w:tab/>
      </w:r>
      <w:r w:rsidRPr="006A43BB">
        <w:rPr>
          <w14:textOutline w14:w="12700" w14:cap="flat" w14:cmpd="sng" w14:algn="ctr">
            <w14:noFill/>
            <w14:prstDash w14:val="solid"/>
            <w14:miter w14:lim="400000"/>
          </w14:textOutline>
        </w:rPr>
        <w:tab/>
      </w:r>
      <w:r w:rsidRPr="006A43BB">
        <w:rPr>
          <w14:textOutline w14:w="12700" w14:cap="flat" w14:cmpd="sng" w14:algn="ctr">
            <w14:noFill/>
            <w14:prstDash w14:val="solid"/>
            <w14:miter w14:lim="400000"/>
          </w14:textOutline>
        </w:rPr>
        <w:tab/>
      </w:r>
    </w:p>
    <w:p w14:paraId="2C1519A2" w14:textId="77777777" w:rsidR="00F74313" w:rsidRPr="006A43BB" w:rsidRDefault="00F74313" w:rsidP="00F74313">
      <w:pPr>
        <w:pStyle w:val="Body"/>
        <w:spacing w:line="276" w:lineRule="auto"/>
        <w:rPr>
          <w14:textOutline w14:w="12700" w14:cap="flat" w14:cmpd="sng" w14:algn="ctr">
            <w14:noFill/>
            <w14:prstDash w14:val="solid"/>
            <w14:miter w14:lim="400000"/>
          </w14:textOutline>
        </w:rPr>
      </w:pPr>
    </w:p>
    <w:p w14:paraId="40851433" w14:textId="640B9D3D" w:rsidR="00F74313" w:rsidRPr="006A43BB" w:rsidRDefault="00F74313" w:rsidP="00F74313">
      <w:pPr>
        <w:pStyle w:val="Body"/>
        <w:spacing w:line="276" w:lineRule="auto"/>
        <w:rPr>
          <w14:textOutline w14:w="12700" w14:cap="flat" w14:cmpd="sng" w14:algn="ctr">
            <w14:noFill/>
            <w14:prstDash w14:val="solid"/>
            <w14:miter w14:lim="400000"/>
          </w14:textOutline>
        </w:rPr>
      </w:pPr>
      <w:r w:rsidRPr="006A43BB">
        <w:rPr>
          <w14:textOutline w14:w="12700" w14:cap="flat" w14:cmpd="sng" w14:algn="ctr">
            <w14:noFill/>
            <w14:prstDash w14:val="solid"/>
            <w14:miter w14:lim="400000"/>
          </w14:textOutline>
        </w:rPr>
        <w:t>Supervisor Name:</w:t>
      </w:r>
      <w:r w:rsidRPr="006A43BB">
        <w:rPr>
          <w14:textOutline w14:w="12700" w14:cap="flat" w14:cmpd="sng" w14:algn="ctr">
            <w14:noFill/>
            <w14:prstDash w14:val="solid"/>
            <w14:miter w14:lim="400000"/>
          </w14:textOutline>
        </w:rPr>
        <w:tab/>
      </w:r>
      <w:proofErr w:type="spellStart"/>
      <w:r w:rsidR="00AB13F7" w:rsidRPr="00AB13F7">
        <w:rPr>
          <w14:textOutline w14:w="12700" w14:cap="flat" w14:cmpd="sng" w14:algn="ctr">
            <w14:noFill/>
            <w14:prstDash w14:val="solid"/>
            <w14:miter w14:lim="400000"/>
          </w14:textOutline>
        </w:rPr>
        <w:t>Dr.</w:t>
      </w:r>
      <w:proofErr w:type="spellEnd"/>
      <w:r w:rsidR="00AB13F7" w:rsidRPr="00AB13F7">
        <w:rPr>
          <w14:textOutline w14:w="12700" w14:cap="flat" w14:cmpd="sng" w14:algn="ctr">
            <w14:noFill/>
            <w14:prstDash w14:val="solid"/>
            <w14:miter w14:lim="400000"/>
          </w14:textOutline>
        </w:rPr>
        <w:t xml:space="preserve"> </w:t>
      </w:r>
      <w:proofErr w:type="spellStart"/>
      <w:r w:rsidR="00AB13F7" w:rsidRPr="00AB13F7">
        <w:rPr>
          <w14:textOutline w14:w="12700" w14:cap="flat" w14:cmpd="sng" w14:algn="ctr">
            <w14:noFill/>
            <w14:prstDash w14:val="solid"/>
            <w14:miter w14:lim="400000"/>
          </w14:textOutline>
        </w:rPr>
        <w:t>Thamil</w:t>
      </w:r>
      <w:proofErr w:type="spellEnd"/>
      <w:r w:rsidR="00AB13F7" w:rsidRPr="00AB13F7">
        <w:rPr>
          <w14:textOutline w14:w="12700" w14:cap="flat" w14:cmpd="sng" w14:algn="ctr">
            <w14:noFill/>
            <w14:prstDash w14:val="solid"/>
            <w14:miter w14:lim="400000"/>
          </w14:textOutline>
        </w:rPr>
        <w:t xml:space="preserve"> </w:t>
      </w:r>
      <w:proofErr w:type="spellStart"/>
      <w:r w:rsidR="00AB13F7" w:rsidRPr="00AB13F7">
        <w:rPr>
          <w14:textOutline w14:w="12700" w14:cap="flat" w14:cmpd="sng" w14:algn="ctr">
            <w14:noFill/>
            <w14:prstDash w14:val="solid"/>
            <w14:miter w14:lim="400000"/>
          </w14:textOutline>
        </w:rPr>
        <w:t>Venthan</w:t>
      </w:r>
      <w:proofErr w:type="spellEnd"/>
      <w:r w:rsidR="00AB13F7" w:rsidRPr="00AB13F7">
        <w:rPr>
          <w14:textOutline w14:w="12700" w14:cap="flat" w14:cmpd="sng" w14:algn="ctr">
            <w14:noFill/>
            <w14:prstDash w14:val="solid"/>
            <w14:miter w14:lim="400000"/>
          </w14:textOutline>
        </w:rPr>
        <w:t xml:space="preserve"> </w:t>
      </w:r>
      <w:proofErr w:type="spellStart"/>
      <w:r w:rsidR="00AB13F7" w:rsidRPr="00AB13F7">
        <w:rPr>
          <w14:textOutline w14:w="12700" w14:cap="flat" w14:cmpd="sng" w14:algn="ctr">
            <w14:noFill/>
            <w14:prstDash w14:val="solid"/>
            <w14:miter w14:lim="400000"/>
          </w14:textOutline>
        </w:rPr>
        <w:t>Ananthavinayagan</w:t>
      </w:r>
      <w:proofErr w:type="spellEnd"/>
      <w:r w:rsidRPr="006A43BB">
        <w:rPr>
          <w14:textOutline w14:w="12700" w14:cap="flat" w14:cmpd="sng" w14:algn="ctr">
            <w14:noFill/>
            <w14:prstDash w14:val="solid"/>
            <w14:miter w14:lim="400000"/>
          </w14:textOutline>
        </w:rPr>
        <w:tab/>
      </w:r>
      <w:r w:rsidRPr="006A43BB">
        <w:rPr>
          <w14:textOutline w14:w="12700" w14:cap="flat" w14:cmpd="sng" w14:algn="ctr">
            <w14:noFill/>
            <w14:prstDash w14:val="solid"/>
            <w14:miter w14:lim="400000"/>
          </w14:textOutline>
        </w:rPr>
        <w:tab/>
      </w:r>
    </w:p>
    <w:p w14:paraId="4C64B2C8" w14:textId="557AD6DB" w:rsidR="00F74313" w:rsidRPr="006A43BB" w:rsidRDefault="004A5D0A" w:rsidP="00F74313">
      <w:pPr>
        <w:pStyle w:val="Body"/>
        <w:spacing w:line="276" w:lineRule="auto"/>
        <w:rPr>
          <w14:textOutline w14:w="12700" w14:cap="flat" w14:cmpd="sng" w14:algn="ctr">
            <w14:noFill/>
            <w14:prstDash w14:val="solid"/>
            <w14:miter w14:lim="400000"/>
          </w14:textOutline>
        </w:rPr>
      </w:pPr>
      <w:r>
        <w:rPr>
          <w:noProof/>
        </w:rPr>
        <w:drawing>
          <wp:anchor distT="0" distB="0" distL="114300" distR="114300" simplePos="0" relativeHeight="251659264" behindDoc="1" locked="0" layoutInCell="1" allowOverlap="1" wp14:anchorId="1B102641" wp14:editId="2051BC97">
            <wp:simplePos x="0" y="0"/>
            <wp:positionH relativeFrom="margin">
              <wp:posOffset>1463040</wp:posOffset>
            </wp:positionH>
            <wp:positionV relativeFrom="paragraph">
              <wp:posOffset>137905</wp:posOffset>
            </wp:positionV>
            <wp:extent cx="1232452" cy="507738"/>
            <wp:effectExtent l="0" t="0" r="6350" b="698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32452" cy="50773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2B7CB8" w14:textId="39CC2649" w:rsidR="00F74313" w:rsidRPr="006A43BB" w:rsidRDefault="00F74313" w:rsidP="00F74313">
      <w:pPr>
        <w:pStyle w:val="Body"/>
        <w:spacing w:line="276" w:lineRule="auto"/>
        <w:rPr>
          <w14:textOutline w14:w="12700" w14:cap="flat" w14:cmpd="sng" w14:algn="ctr">
            <w14:noFill/>
            <w14:prstDash w14:val="solid"/>
            <w14:miter w14:lim="400000"/>
          </w14:textOutline>
        </w:rPr>
      </w:pPr>
      <w:r w:rsidRPr="006A43BB">
        <w:rPr>
          <w14:textOutline w14:w="12700" w14:cap="flat" w14:cmpd="sng" w14:algn="ctr">
            <w14:noFill/>
            <w14:prstDash w14:val="solid"/>
            <w14:miter w14:lim="400000"/>
          </w14:textOutline>
        </w:rPr>
        <w:t>Supervisor signature:</w:t>
      </w:r>
      <w:r w:rsidRPr="006A43BB">
        <w:rPr>
          <w14:textOutline w14:w="12700" w14:cap="flat" w14:cmpd="sng" w14:algn="ctr">
            <w14:noFill/>
            <w14:prstDash w14:val="solid"/>
            <w14:miter w14:lim="400000"/>
          </w14:textOutline>
        </w:rPr>
        <w:tab/>
      </w:r>
      <w:r w:rsidRPr="006A43BB">
        <w:rPr>
          <w14:textOutline w14:w="12700" w14:cap="flat" w14:cmpd="sng" w14:algn="ctr">
            <w14:noFill/>
            <w14:prstDash w14:val="solid"/>
            <w14:miter w14:lim="400000"/>
          </w14:textOutline>
        </w:rPr>
        <w:tab/>
      </w:r>
    </w:p>
    <w:p w14:paraId="755C856B" w14:textId="411A655E" w:rsidR="00F74313" w:rsidRPr="006A43BB" w:rsidRDefault="00F74313" w:rsidP="00F74313">
      <w:pPr>
        <w:pStyle w:val="Body"/>
        <w:spacing w:line="276" w:lineRule="auto"/>
        <w:rPr>
          <w14:textOutline w14:w="12700" w14:cap="flat" w14:cmpd="sng" w14:algn="ctr">
            <w14:noFill/>
            <w14:prstDash w14:val="solid"/>
            <w14:miter w14:lim="400000"/>
          </w14:textOutline>
        </w:rPr>
      </w:pPr>
    </w:p>
    <w:p w14:paraId="7674E79F" w14:textId="1C635805" w:rsidR="001B2C46" w:rsidRPr="006A43BB" w:rsidRDefault="00F74313" w:rsidP="00F74313">
      <w:pPr>
        <w:pStyle w:val="Body"/>
        <w:spacing w:line="276" w:lineRule="auto"/>
        <w:rPr>
          <w14:textOutline w14:w="12700" w14:cap="flat" w14:cmpd="sng" w14:algn="ctr">
            <w14:noFill/>
            <w14:prstDash w14:val="solid"/>
            <w14:miter w14:lim="400000"/>
          </w14:textOutline>
        </w:rPr>
      </w:pPr>
      <w:r w:rsidRPr="006A43BB">
        <w:rPr>
          <w14:textOutline w14:w="12700" w14:cap="flat" w14:cmpd="sng" w14:algn="ctr">
            <w14:noFill/>
            <w14:prstDash w14:val="solid"/>
            <w14:miter w14:lim="400000"/>
          </w14:textOutline>
        </w:rPr>
        <w:t>Date:</w:t>
      </w:r>
      <w:r w:rsidRPr="006A43BB">
        <w:rPr>
          <w14:textOutline w14:w="12700" w14:cap="flat" w14:cmpd="sng" w14:algn="ctr">
            <w14:noFill/>
            <w14:prstDash w14:val="solid"/>
            <w14:miter w14:lim="400000"/>
          </w14:textOutline>
        </w:rPr>
        <w:tab/>
      </w:r>
      <w:r w:rsidR="004A5D0A">
        <w:rPr>
          <w14:textOutline w14:w="12700" w14:cap="flat" w14:cmpd="sng" w14:algn="ctr">
            <w14:noFill/>
            <w14:prstDash w14:val="solid"/>
            <w14:miter w14:lim="400000"/>
          </w14:textOutline>
        </w:rPr>
        <w:t>01</w:t>
      </w:r>
      <w:r w:rsidR="00AB13F7">
        <w:rPr>
          <w14:textOutline w14:w="12700" w14:cap="flat" w14:cmpd="sng" w14:algn="ctr">
            <w14:noFill/>
            <w14:prstDash w14:val="solid"/>
            <w14:miter w14:lim="400000"/>
          </w14:textOutline>
        </w:rPr>
        <w:t>/0</w:t>
      </w:r>
      <w:r w:rsidR="004A5D0A">
        <w:rPr>
          <w14:textOutline w14:w="12700" w14:cap="flat" w14:cmpd="sng" w14:algn="ctr">
            <w14:noFill/>
            <w14:prstDash w14:val="solid"/>
            <w14:miter w14:lim="400000"/>
          </w14:textOutline>
        </w:rPr>
        <w:t>6</w:t>
      </w:r>
      <w:r w:rsidR="00AB13F7">
        <w:rPr>
          <w14:textOutline w14:w="12700" w14:cap="flat" w14:cmpd="sng" w14:algn="ctr">
            <w14:noFill/>
            <w14:prstDash w14:val="solid"/>
            <w14:miter w14:lim="400000"/>
          </w14:textOutline>
        </w:rPr>
        <w:t>/2021</w:t>
      </w:r>
      <w:r w:rsidRPr="006A43BB">
        <w:rPr>
          <w14:textOutline w14:w="12700" w14:cap="flat" w14:cmpd="sng" w14:algn="ctr">
            <w14:noFill/>
            <w14:prstDash w14:val="solid"/>
            <w14:miter w14:lim="400000"/>
          </w14:textOutline>
        </w:rPr>
        <w:tab/>
      </w:r>
      <w:r w:rsidRPr="006A43BB">
        <w:rPr>
          <w14:textOutline w14:w="12700" w14:cap="flat" w14:cmpd="sng" w14:algn="ctr">
            <w14:noFill/>
            <w14:prstDash w14:val="solid"/>
            <w14:miter w14:lim="400000"/>
          </w14:textOutline>
        </w:rPr>
        <w:tab/>
      </w:r>
    </w:p>
    <w:p w14:paraId="16C8EC09" w14:textId="042689A3" w:rsidR="001B2C46" w:rsidRPr="006A43BB" w:rsidRDefault="001B2C46">
      <w:pPr>
        <w:pStyle w:val="Body"/>
        <w:spacing w:line="276" w:lineRule="auto"/>
        <w:rPr>
          <w14:textOutline w14:w="12700" w14:cap="flat" w14:cmpd="sng" w14:algn="ctr">
            <w14:noFill/>
            <w14:prstDash w14:val="solid"/>
            <w14:miter w14:lim="400000"/>
          </w14:textOutline>
        </w:rPr>
      </w:pPr>
    </w:p>
    <w:p w14:paraId="52961E3B" w14:textId="0CD4C9A7" w:rsidR="001B2C46" w:rsidRDefault="001B2C46">
      <w:pPr>
        <w:pStyle w:val="Body"/>
        <w:spacing w:line="276" w:lineRule="auto"/>
        <w:rPr>
          <w:b/>
          <w:bCs/>
          <w14:textOutline w14:w="12700" w14:cap="flat" w14:cmpd="sng" w14:algn="ctr">
            <w14:noFill/>
            <w14:prstDash w14:val="solid"/>
            <w14:miter w14:lim="400000"/>
          </w14:textOutline>
        </w:rPr>
      </w:pPr>
    </w:p>
    <w:p w14:paraId="39E5D738" w14:textId="417E64DF" w:rsidR="001B2C46" w:rsidRDefault="001B2C46">
      <w:pPr>
        <w:pStyle w:val="Body"/>
        <w:spacing w:line="276" w:lineRule="auto"/>
        <w:rPr>
          <w:b/>
          <w:bCs/>
          <w14:textOutline w14:w="12700" w14:cap="flat" w14:cmpd="sng" w14:algn="ctr">
            <w14:noFill/>
            <w14:prstDash w14:val="solid"/>
            <w14:miter w14:lim="400000"/>
          </w14:textOutline>
        </w:rPr>
      </w:pPr>
    </w:p>
    <w:p w14:paraId="28F09D93" w14:textId="31D9CCB9" w:rsidR="001B2C46" w:rsidRDefault="001B2C46">
      <w:pPr>
        <w:pStyle w:val="Body"/>
        <w:spacing w:line="276" w:lineRule="auto"/>
        <w:rPr>
          <w:b/>
          <w:bCs/>
          <w14:textOutline w14:w="12700" w14:cap="flat" w14:cmpd="sng" w14:algn="ctr">
            <w14:noFill/>
            <w14:prstDash w14:val="solid"/>
            <w14:miter w14:lim="400000"/>
          </w14:textOutline>
        </w:rPr>
      </w:pPr>
    </w:p>
    <w:p w14:paraId="0B8F9127" w14:textId="1DC044A2" w:rsidR="001B2C46" w:rsidRDefault="001B2C46">
      <w:pPr>
        <w:pStyle w:val="Body"/>
        <w:spacing w:line="276" w:lineRule="auto"/>
        <w:rPr>
          <w:b/>
          <w:bCs/>
          <w14:textOutline w14:w="12700" w14:cap="flat" w14:cmpd="sng" w14:algn="ctr">
            <w14:noFill/>
            <w14:prstDash w14:val="solid"/>
            <w14:miter w14:lim="400000"/>
          </w14:textOutline>
        </w:rPr>
      </w:pPr>
    </w:p>
    <w:p w14:paraId="7415CEEB" w14:textId="03B005EF" w:rsidR="001B2C46" w:rsidRDefault="001B2C46">
      <w:pPr>
        <w:pStyle w:val="Body"/>
        <w:spacing w:line="276" w:lineRule="auto"/>
        <w:rPr>
          <w:b/>
          <w:bCs/>
          <w14:textOutline w14:w="12700" w14:cap="flat" w14:cmpd="sng" w14:algn="ctr">
            <w14:noFill/>
            <w14:prstDash w14:val="solid"/>
            <w14:miter w14:lim="400000"/>
          </w14:textOutline>
        </w:rPr>
      </w:pPr>
    </w:p>
    <w:p w14:paraId="12E05F58" w14:textId="44B66B51" w:rsidR="001B2C46" w:rsidRDefault="001B2C46">
      <w:pPr>
        <w:pStyle w:val="Body"/>
        <w:spacing w:line="276" w:lineRule="auto"/>
        <w:rPr>
          <w:b/>
          <w:bCs/>
          <w14:textOutline w14:w="12700" w14:cap="flat" w14:cmpd="sng" w14:algn="ctr">
            <w14:noFill/>
            <w14:prstDash w14:val="solid"/>
            <w14:miter w14:lim="400000"/>
          </w14:textOutline>
        </w:rPr>
      </w:pPr>
    </w:p>
    <w:p w14:paraId="253FCCAF" w14:textId="1B9C0947" w:rsidR="001B2C46" w:rsidRDefault="001B2C46">
      <w:pPr>
        <w:pStyle w:val="Body"/>
        <w:spacing w:line="276" w:lineRule="auto"/>
        <w:rPr>
          <w:b/>
          <w:bCs/>
          <w14:textOutline w14:w="12700" w14:cap="flat" w14:cmpd="sng" w14:algn="ctr">
            <w14:noFill/>
            <w14:prstDash w14:val="solid"/>
            <w14:miter w14:lim="400000"/>
          </w14:textOutline>
        </w:rPr>
      </w:pPr>
    </w:p>
    <w:p w14:paraId="4C1CA902" w14:textId="028C7EC2" w:rsidR="001B2C46" w:rsidRDefault="001B2C46">
      <w:pPr>
        <w:pStyle w:val="Body"/>
        <w:spacing w:line="276" w:lineRule="auto"/>
        <w:rPr>
          <w:b/>
          <w:bCs/>
          <w14:textOutline w14:w="12700" w14:cap="flat" w14:cmpd="sng" w14:algn="ctr">
            <w14:noFill/>
            <w14:prstDash w14:val="solid"/>
            <w14:miter w14:lim="400000"/>
          </w14:textOutline>
        </w:rPr>
      </w:pPr>
    </w:p>
    <w:p w14:paraId="62E78176" w14:textId="665E736B" w:rsidR="001B2C46" w:rsidRDefault="001B2C46">
      <w:pPr>
        <w:pStyle w:val="Body"/>
        <w:spacing w:line="276" w:lineRule="auto"/>
        <w:rPr>
          <w:b/>
          <w:bCs/>
          <w14:textOutline w14:w="12700" w14:cap="flat" w14:cmpd="sng" w14:algn="ctr">
            <w14:noFill/>
            <w14:prstDash w14:val="solid"/>
            <w14:miter w14:lim="400000"/>
          </w14:textOutline>
        </w:rPr>
      </w:pPr>
    </w:p>
    <w:p w14:paraId="507EC1C3" w14:textId="29DC3347" w:rsidR="001B2C46" w:rsidRDefault="001B2C46">
      <w:pPr>
        <w:pStyle w:val="Body"/>
        <w:spacing w:line="276" w:lineRule="auto"/>
        <w:rPr>
          <w:b/>
          <w:bCs/>
          <w14:textOutline w14:w="12700" w14:cap="flat" w14:cmpd="sng" w14:algn="ctr">
            <w14:noFill/>
            <w14:prstDash w14:val="solid"/>
            <w14:miter w14:lim="400000"/>
          </w14:textOutline>
        </w:rPr>
      </w:pPr>
    </w:p>
    <w:p w14:paraId="7FA7F1AC" w14:textId="68EF4D3E" w:rsidR="001B2C46" w:rsidRDefault="001B2C46">
      <w:pPr>
        <w:pStyle w:val="Body"/>
        <w:spacing w:line="276" w:lineRule="auto"/>
        <w:rPr>
          <w:b/>
          <w:bCs/>
          <w14:textOutline w14:w="12700" w14:cap="flat" w14:cmpd="sng" w14:algn="ctr">
            <w14:noFill/>
            <w14:prstDash w14:val="solid"/>
            <w14:miter w14:lim="400000"/>
          </w14:textOutline>
        </w:rPr>
      </w:pPr>
    </w:p>
    <w:p w14:paraId="3F7323CF" w14:textId="5BA49A56" w:rsidR="001B2C46" w:rsidRDefault="001B2C46">
      <w:pPr>
        <w:pStyle w:val="Body"/>
        <w:spacing w:line="276" w:lineRule="auto"/>
        <w:rPr>
          <w:b/>
          <w:bCs/>
          <w14:textOutline w14:w="12700" w14:cap="flat" w14:cmpd="sng" w14:algn="ctr">
            <w14:noFill/>
            <w14:prstDash w14:val="solid"/>
            <w14:miter w14:lim="400000"/>
          </w14:textOutline>
        </w:rPr>
      </w:pPr>
    </w:p>
    <w:p w14:paraId="54C1AC75" w14:textId="2501EED4" w:rsidR="0081262C" w:rsidRDefault="0081262C">
      <w:pPr>
        <w:pStyle w:val="Body"/>
        <w:spacing w:line="276" w:lineRule="auto"/>
        <w:rPr>
          <w:b/>
          <w:bCs/>
          <w14:textOutline w14:w="12700" w14:cap="flat" w14:cmpd="sng" w14:algn="ctr">
            <w14:noFill/>
            <w14:prstDash w14:val="solid"/>
            <w14:miter w14:lim="400000"/>
          </w14:textOutline>
        </w:rPr>
      </w:pPr>
    </w:p>
    <w:p w14:paraId="56340B30" w14:textId="259E17EA" w:rsidR="0081262C" w:rsidRDefault="0081262C">
      <w:pPr>
        <w:pStyle w:val="Body"/>
        <w:spacing w:line="276" w:lineRule="auto"/>
        <w:rPr>
          <w:b/>
          <w:bCs/>
          <w14:textOutline w14:w="12700" w14:cap="flat" w14:cmpd="sng" w14:algn="ctr">
            <w14:noFill/>
            <w14:prstDash w14:val="solid"/>
            <w14:miter w14:lim="400000"/>
          </w14:textOutline>
        </w:rPr>
      </w:pPr>
    </w:p>
    <w:p w14:paraId="3D083FEE" w14:textId="008951BA" w:rsidR="0081262C" w:rsidRDefault="0081262C">
      <w:pPr>
        <w:pStyle w:val="Body"/>
        <w:spacing w:line="276" w:lineRule="auto"/>
        <w:rPr>
          <w:b/>
          <w:bCs/>
          <w14:textOutline w14:w="12700" w14:cap="flat" w14:cmpd="sng" w14:algn="ctr">
            <w14:noFill/>
            <w14:prstDash w14:val="solid"/>
            <w14:miter w14:lim="400000"/>
          </w14:textOutline>
        </w:rPr>
      </w:pPr>
    </w:p>
    <w:p w14:paraId="2F10EBE4" w14:textId="373660D2" w:rsidR="0081262C" w:rsidRDefault="0081262C">
      <w:pPr>
        <w:pStyle w:val="Body"/>
        <w:spacing w:line="276" w:lineRule="auto"/>
        <w:rPr>
          <w:b/>
          <w:bCs/>
          <w14:textOutline w14:w="12700" w14:cap="flat" w14:cmpd="sng" w14:algn="ctr">
            <w14:noFill/>
            <w14:prstDash w14:val="solid"/>
            <w14:miter w14:lim="400000"/>
          </w14:textOutline>
        </w:rPr>
      </w:pPr>
    </w:p>
    <w:p w14:paraId="3C2D3936" w14:textId="2B98D168" w:rsidR="0081262C" w:rsidRDefault="0081262C">
      <w:pPr>
        <w:pStyle w:val="Body"/>
        <w:spacing w:line="276" w:lineRule="auto"/>
        <w:rPr>
          <w:b/>
          <w:bCs/>
          <w14:textOutline w14:w="12700" w14:cap="flat" w14:cmpd="sng" w14:algn="ctr">
            <w14:noFill/>
            <w14:prstDash w14:val="solid"/>
            <w14:miter w14:lim="400000"/>
          </w14:textOutline>
        </w:rPr>
      </w:pPr>
    </w:p>
    <w:p w14:paraId="20A65894" w14:textId="77777777" w:rsidR="00BC521F" w:rsidRDefault="00BC521F">
      <w:pPr>
        <w:pStyle w:val="Body"/>
        <w:spacing w:line="276" w:lineRule="auto"/>
        <w:rPr>
          <w:b/>
          <w:bCs/>
          <w14:textOutline w14:w="12700" w14:cap="flat" w14:cmpd="sng" w14:algn="ctr">
            <w14:noFill/>
            <w14:prstDash w14:val="solid"/>
            <w14:miter w14:lim="400000"/>
          </w14:textOutline>
        </w:rPr>
      </w:pPr>
    </w:p>
    <w:p w14:paraId="33EEEC84" w14:textId="6FF46475" w:rsidR="0081262C" w:rsidRDefault="0081262C">
      <w:pPr>
        <w:pStyle w:val="Body"/>
        <w:spacing w:line="276" w:lineRule="auto"/>
        <w:rPr>
          <w:b/>
          <w:bCs/>
          <w14:textOutline w14:w="12700" w14:cap="flat" w14:cmpd="sng" w14:algn="ctr">
            <w14:noFill/>
            <w14:prstDash w14:val="solid"/>
            <w14:miter w14:lim="400000"/>
          </w14:textOutline>
        </w:rPr>
      </w:pPr>
    </w:p>
    <w:p w14:paraId="0DBEDAE9" w14:textId="6DE0E09A" w:rsidR="0081262C" w:rsidRDefault="0081262C">
      <w:pPr>
        <w:pStyle w:val="Body"/>
        <w:spacing w:line="276" w:lineRule="auto"/>
        <w:rPr>
          <w:b/>
          <w:bCs/>
          <w14:textOutline w14:w="12700" w14:cap="flat" w14:cmpd="sng" w14:algn="ctr">
            <w14:noFill/>
            <w14:prstDash w14:val="solid"/>
            <w14:miter w14:lim="400000"/>
          </w14:textOutline>
        </w:rPr>
      </w:pPr>
    </w:p>
    <w:p w14:paraId="0483B38F" w14:textId="77777777" w:rsidR="007C3E95" w:rsidRDefault="007C3E95">
      <w:pPr>
        <w:pStyle w:val="Body"/>
        <w:spacing w:line="276" w:lineRule="auto"/>
        <w:rPr>
          <w:b/>
          <w:bCs/>
          <w14:textOutline w14:w="12700" w14:cap="flat" w14:cmpd="sng" w14:algn="ctr">
            <w14:noFill/>
            <w14:prstDash w14:val="solid"/>
            <w14:miter w14:lim="400000"/>
          </w14:textOutline>
        </w:rPr>
      </w:pPr>
    </w:p>
    <w:p w14:paraId="7151308E" w14:textId="485874C0" w:rsidR="0081262C" w:rsidRDefault="00C10745" w:rsidP="009B734E">
      <w:pPr>
        <w:pStyle w:val="Body"/>
        <w:spacing w:line="276" w:lineRule="auto"/>
        <w:jc w:val="both"/>
        <w:rPr>
          <w:b/>
          <w:bCs/>
          <w14:textOutline w14:w="12700" w14:cap="flat" w14:cmpd="sng" w14:algn="ctr">
            <w14:noFill/>
            <w14:prstDash w14:val="solid"/>
            <w14:miter w14:lim="400000"/>
          </w14:textOutline>
        </w:rPr>
      </w:pPr>
      <w:r>
        <w:rPr>
          <w:b/>
          <w:bCs/>
          <w14:textOutline w14:w="12700" w14:cap="flat" w14:cmpd="sng" w14:algn="ctr">
            <w14:noFill/>
            <w14:prstDash w14:val="solid"/>
            <w14:miter w14:lim="400000"/>
          </w14:textOutline>
        </w:rPr>
        <w:lastRenderedPageBreak/>
        <w:t xml:space="preserve">Table of contents </w:t>
      </w:r>
    </w:p>
    <w:p w14:paraId="3AB1851F" w14:textId="474CBE91" w:rsidR="00C10745" w:rsidRDefault="00C10745" w:rsidP="009B734E">
      <w:pPr>
        <w:pStyle w:val="Body"/>
        <w:spacing w:line="276" w:lineRule="auto"/>
        <w:jc w:val="both"/>
        <w:rPr>
          <w:b/>
          <w:bCs/>
          <w14:textOutline w14:w="12700" w14:cap="flat" w14:cmpd="sng" w14:algn="ctr">
            <w14:noFill/>
            <w14:prstDash w14:val="solid"/>
            <w14:miter w14:lim="400000"/>
          </w14:textOutline>
        </w:rPr>
      </w:pPr>
    </w:p>
    <w:p w14:paraId="02A22C66" w14:textId="32148D4A" w:rsidR="007F20BF" w:rsidRDefault="007F20BF" w:rsidP="009B734E">
      <w:pPr>
        <w:jc w:val="both"/>
      </w:pPr>
      <w:bookmarkStart w:id="2" w:name="_Hlk73386591"/>
      <w:r w:rsidRPr="00A06167">
        <w:t>Chapter I Introduction</w:t>
      </w:r>
      <w:bookmarkEnd w:id="2"/>
      <w:r w:rsidR="009B734E">
        <w:t xml:space="preserve"> </w:t>
      </w:r>
      <w:r w:rsidRPr="00A06167">
        <w:t>…………………………………………………………</w:t>
      </w:r>
      <w:r w:rsidR="009B734E">
        <w:t>.</w:t>
      </w:r>
      <w:r w:rsidRPr="00A06167">
        <w:t>……</w:t>
      </w:r>
      <w:r>
        <w:t>...</w:t>
      </w:r>
      <w:r w:rsidRPr="00A06167">
        <w:t>……</w:t>
      </w:r>
      <w:r w:rsidR="00783972">
        <w:t>...</w:t>
      </w:r>
      <w:r w:rsidR="007C3E95">
        <w:t>.</w:t>
      </w:r>
      <w:r w:rsidRPr="00A06167">
        <w:t>6</w:t>
      </w:r>
    </w:p>
    <w:p w14:paraId="597D0F59" w14:textId="77777777" w:rsidR="00C9508B" w:rsidRPr="00A06167" w:rsidRDefault="00C9508B" w:rsidP="009B734E">
      <w:pPr>
        <w:jc w:val="both"/>
      </w:pPr>
    </w:p>
    <w:p w14:paraId="228DE474" w14:textId="1B5E06C0" w:rsidR="007F20BF" w:rsidRPr="00A06167" w:rsidRDefault="007F20BF" w:rsidP="009B734E">
      <w:pPr>
        <w:pStyle w:val="ListParagraph"/>
        <w:numPr>
          <w:ilvl w:val="1"/>
          <w:numId w:val="1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cs="Times New Roman"/>
        </w:rPr>
      </w:pPr>
      <w:r w:rsidRPr="00A06167">
        <w:rPr>
          <w:rFonts w:cs="Times New Roman"/>
        </w:rPr>
        <w:t>General Background</w:t>
      </w:r>
      <w:r w:rsidR="009B734E">
        <w:rPr>
          <w:rFonts w:cs="Times New Roman"/>
        </w:rPr>
        <w:t xml:space="preserve"> …</w:t>
      </w:r>
      <w:r w:rsidRPr="00A06167">
        <w:rPr>
          <w:rFonts w:cs="Times New Roman"/>
        </w:rPr>
        <w:t>……………………………………………………</w:t>
      </w:r>
      <w:r>
        <w:rPr>
          <w:rFonts w:cs="Times New Roman"/>
        </w:rPr>
        <w:t>………...</w:t>
      </w:r>
      <w:r w:rsidR="00783972">
        <w:rPr>
          <w:rFonts w:cs="Times New Roman"/>
        </w:rPr>
        <w:t>.</w:t>
      </w:r>
      <w:r w:rsidR="007C3E95">
        <w:rPr>
          <w:rFonts w:cs="Times New Roman"/>
        </w:rPr>
        <w:t>.</w:t>
      </w:r>
      <w:r>
        <w:rPr>
          <w:rFonts w:cs="Times New Roman"/>
        </w:rPr>
        <w:t>…</w:t>
      </w:r>
      <w:r w:rsidR="00783972">
        <w:rPr>
          <w:rFonts w:cs="Times New Roman"/>
        </w:rPr>
        <w:t>..</w:t>
      </w:r>
      <w:r w:rsidR="009B734E">
        <w:rPr>
          <w:rFonts w:cs="Times New Roman"/>
        </w:rPr>
        <w:t>.</w:t>
      </w:r>
      <w:r w:rsidRPr="00A06167">
        <w:rPr>
          <w:rFonts w:cs="Times New Roman"/>
        </w:rPr>
        <w:t>6</w:t>
      </w:r>
    </w:p>
    <w:p w14:paraId="3881EDBE" w14:textId="4F7EB665" w:rsidR="007F20BF" w:rsidRPr="00A06167" w:rsidRDefault="007F20BF" w:rsidP="009B734E">
      <w:pPr>
        <w:pStyle w:val="ListParagraph"/>
        <w:numPr>
          <w:ilvl w:val="1"/>
          <w:numId w:val="1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cs="Times New Roman"/>
        </w:rPr>
      </w:pPr>
      <w:r w:rsidRPr="00A06167">
        <w:rPr>
          <w:rFonts w:cs="Times New Roman"/>
        </w:rPr>
        <w:t>Scope of</w:t>
      </w:r>
      <w:r>
        <w:rPr>
          <w:rFonts w:cs="Times New Roman"/>
        </w:rPr>
        <w:t xml:space="preserve"> </w:t>
      </w:r>
      <w:r w:rsidRPr="00A06167">
        <w:rPr>
          <w:rFonts w:cs="Times New Roman"/>
        </w:rPr>
        <w:t>Study</w:t>
      </w:r>
      <w:r w:rsidR="009B734E">
        <w:rPr>
          <w:rFonts w:cs="Times New Roman"/>
        </w:rPr>
        <w:t xml:space="preserve"> ...</w:t>
      </w:r>
      <w:r w:rsidRPr="00A06167">
        <w:rPr>
          <w:rFonts w:cs="Times New Roman"/>
        </w:rPr>
        <w:t>…………………………………………………</w:t>
      </w:r>
      <w:r w:rsidR="00783972">
        <w:rPr>
          <w:rFonts w:cs="Times New Roman"/>
        </w:rPr>
        <w:t>………</w:t>
      </w:r>
      <w:r w:rsidRPr="00A06167">
        <w:rPr>
          <w:rFonts w:cs="Times New Roman"/>
        </w:rPr>
        <w:t>…………</w:t>
      </w:r>
      <w:r w:rsidR="009B734E">
        <w:rPr>
          <w:rFonts w:cs="Times New Roman"/>
        </w:rPr>
        <w:t>.</w:t>
      </w:r>
      <w:r w:rsidR="00783972">
        <w:rPr>
          <w:rFonts w:cs="Times New Roman"/>
        </w:rPr>
        <w:t>…</w:t>
      </w:r>
      <w:r w:rsidR="007C3E95">
        <w:rPr>
          <w:rFonts w:cs="Times New Roman"/>
        </w:rPr>
        <w:t>.</w:t>
      </w:r>
      <w:r w:rsidRPr="00A06167">
        <w:rPr>
          <w:rFonts w:cs="Times New Roman"/>
        </w:rPr>
        <w:t>…9</w:t>
      </w:r>
    </w:p>
    <w:p w14:paraId="6B8A53F5" w14:textId="4B282458" w:rsidR="007F20BF" w:rsidRDefault="007F20BF" w:rsidP="009B734E">
      <w:pPr>
        <w:pStyle w:val="ListParagraph"/>
        <w:numPr>
          <w:ilvl w:val="1"/>
          <w:numId w:val="1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cs="Times New Roman"/>
        </w:rPr>
      </w:pPr>
      <w:r w:rsidRPr="00A06167">
        <w:rPr>
          <w:rFonts w:cs="Times New Roman"/>
        </w:rPr>
        <w:t>Aims of Study…………………………………………</w:t>
      </w:r>
      <w:r>
        <w:rPr>
          <w:rFonts w:cs="Times New Roman"/>
        </w:rPr>
        <w:t>..</w:t>
      </w:r>
      <w:r w:rsidRPr="00A06167">
        <w:rPr>
          <w:rFonts w:cs="Times New Roman"/>
        </w:rPr>
        <w:t>…………………………</w:t>
      </w:r>
      <w:r w:rsidR="007C3E95">
        <w:rPr>
          <w:rFonts w:cs="Times New Roman"/>
        </w:rPr>
        <w:t>.</w:t>
      </w:r>
      <w:r w:rsidR="009B734E">
        <w:rPr>
          <w:rFonts w:cs="Times New Roman"/>
        </w:rPr>
        <w:t>.</w:t>
      </w:r>
      <w:r w:rsidRPr="00A06167">
        <w:rPr>
          <w:rFonts w:cs="Times New Roman"/>
        </w:rPr>
        <w:t>……</w:t>
      </w:r>
      <w:r w:rsidR="00783972">
        <w:rPr>
          <w:rFonts w:cs="Times New Roman"/>
        </w:rPr>
        <w:t>...</w:t>
      </w:r>
      <w:r w:rsidRPr="00A06167">
        <w:rPr>
          <w:rFonts w:cs="Times New Roman"/>
        </w:rPr>
        <w:t>9</w:t>
      </w:r>
    </w:p>
    <w:p w14:paraId="34C3D837" w14:textId="664DDB13" w:rsidR="007F20BF" w:rsidRDefault="007F20BF" w:rsidP="009B734E">
      <w:pPr>
        <w:pStyle w:val="ListParagraph"/>
        <w:numPr>
          <w:ilvl w:val="1"/>
          <w:numId w:val="1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52"/>
        <w:contextualSpacing/>
        <w:jc w:val="both"/>
        <w:rPr>
          <w:rFonts w:cs="Times New Roman"/>
        </w:rPr>
      </w:pPr>
      <w:r w:rsidRPr="00351F14">
        <w:rPr>
          <w:rFonts w:cs="Times New Roman"/>
        </w:rPr>
        <w:t>Research Questions</w:t>
      </w:r>
      <w:r>
        <w:rPr>
          <w:rFonts w:cs="Times New Roman"/>
        </w:rPr>
        <w:t>…………………………………………………………………...…</w:t>
      </w:r>
      <w:r w:rsidR="009B734E">
        <w:rPr>
          <w:rFonts w:cs="Times New Roman"/>
        </w:rPr>
        <w:t>.</w:t>
      </w:r>
      <w:r>
        <w:rPr>
          <w:rFonts w:cs="Times New Roman"/>
        </w:rPr>
        <w:t>.10</w:t>
      </w:r>
    </w:p>
    <w:p w14:paraId="584A7358" w14:textId="0BF8995A" w:rsidR="007F20BF" w:rsidRDefault="007F20BF" w:rsidP="009B734E">
      <w:pPr>
        <w:pStyle w:val="ListParagraph"/>
        <w:numPr>
          <w:ilvl w:val="1"/>
          <w:numId w:val="1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52"/>
        <w:contextualSpacing/>
        <w:jc w:val="both"/>
        <w:rPr>
          <w:rFonts w:cs="Times New Roman"/>
        </w:rPr>
      </w:pPr>
      <w:r w:rsidRPr="00212D89">
        <w:rPr>
          <w:rFonts w:cs="Times New Roman"/>
        </w:rPr>
        <w:t>Methodolog</w:t>
      </w:r>
      <w:r w:rsidR="007D1233">
        <w:rPr>
          <w:rFonts w:cs="Times New Roman"/>
        </w:rPr>
        <w:t>y</w:t>
      </w:r>
      <w:r>
        <w:rPr>
          <w:rFonts w:cs="Times New Roman"/>
        </w:rPr>
        <w:t>…………………………</w:t>
      </w:r>
      <w:r w:rsidR="009B734E">
        <w:rPr>
          <w:rFonts w:cs="Times New Roman"/>
        </w:rPr>
        <w:t>…………………………………………….….</w:t>
      </w:r>
      <w:r>
        <w:rPr>
          <w:rFonts w:cs="Times New Roman"/>
        </w:rPr>
        <w:t>….10</w:t>
      </w:r>
    </w:p>
    <w:p w14:paraId="3B37EE1B" w14:textId="689AC680" w:rsidR="007F20BF" w:rsidRDefault="007F20BF" w:rsidP="009B734E">
      <w:pPr>
        <w:pStyle w:val="ListParagraph"/>
        <w:numPr>
          <w:ilvl w:val="1"/>
          <w:numId w:val="1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cs="Times New Roman"/>
        </w:rPr>
      </w:pPr>
      <w:r w:rsidRPr="00285564">
        <w:rPr>
          <w:rFonts w:cs="Times New Roman"/>
        </w:rPr>
        <w:t>Thesis Outline</w:t>
      </w:r>
      <w:r>
        <w:rPr>
          <w:rFonts w:cs="Times New Roman"/>
        </w:rPr>
        <w:t>………………………………………………………………………</w:t>
      </w:r>
      <w:r w:rsidR="00783972">
        <w:rPr>
          <w:rFonts w:cs="Times New Roman"/>
        </w:rPr>
        <w:t>…</w:t>
      </w:r>
      <w:r w:rsidR="009B734E">
        <w:rPr>
          <w:rFonts w:cs="Times New Roman"/>
        </w:rPr>
        <w:t>.…</w:t>
      </w:r>
      <w:r>
        <w:rPr>
          <w:rFonts w:cs="Times New Roman"/>
        </w:rPr>
        <w:t>11</w:t>
      </w:r>
    </w:p>
    <w:p w14:paraId="6BB6544D" w14:textId="6F5DFC0A" w:rsidR="007F20BF" w:rsidRDefault="007F20BF" w:rsidP="009B734E">
      <w:pPr>
        <w:jc w:val="both"/>
      </w:pPr>
      <w:r>
        <w:t xml:space="preserve">Chapter II </w:t>
      </w:r>
      <w:r w:rsidRPr="008F6016">
        <w:t>Business and Human Rights: Historical Background</w:t>
      </w:r>
      <w:r>
        <w:t>……………………</w:t>
      </w:r>
      <w:r w:rsidR="009B734E">
        <w:t>……..…</w:t>
      </w:r>
      <w:r>
        <w:t>1</w:t>
      </w:r>
      <w:r w:rsidR="0082015D">
        <w:t>2</w:t>
      </w:r>
    </w:p>
    <w:p w14:paraId="1E1D4A9E" w14:textId="77777777" w:rsidR="00C9508B" w:rsidRDefault="00C9508B" w:rsidP="009B734E">
      <w:pPr>
        <w:jc w:val="both"/>
      </w:pPr>
    </w:p>
    <w:p w14:paraId="4CCD0DA6" w14:textId="7521B757" w:rsidR="007F20BF" w:rsidRDefault="007F20BF" w:rsidP="009B734E">
      <w:pPr>
        <w:jc w:val="both"/>
      </w:pPr>
      <w:r>
        <w:t xml:space="preserve">2.1 </w:t>
      </w:r>
      <w:r w:rsidRPr="00BB3412">
        <w:t>The Colonial Era and its Aftermath</w:t>
      </w:r>
      <w:r>
        <w:t>…………………………</w:t>
      </w:r>
      <w:r w:rsidR="009B734E">
        <w:t>……………………………</w:t>
      </w:r>
      <w:r>
        <w:t>1</w:t>
      </w:r>
      <w:r w:rsidR="0066703F">
        <w:t>2</w:t>
      </w:r>
    </w:p>
    <w:p w14:paraId="719186EC" w14:textId="71135229" w:rsidR="007F20BF" w:rsidRDefault="007F20BF" w:rsidP="009B734E">
      <w:pPr>
        <w:jc w:val="both"/>
      </w:pPr>
      <w:r>
        <w:t xml:space="preserve">2.2 </w:t>
      </w:r>
      <w:r w:rsidRPr="006B50CF">
        <w:t>First Wave of Corporate Responsibility</w:t>
      </w:r>
      <w:r w:rsidR="00602AAD">
        <w:t>….</w:t>
      </w:r>
      <w:r>
        <w:t>……………………………………………</w:t>
      </w:r>
      <w:r w:rsidR="007C3E95">
        <w:t>.</w:t>
      </w:r>
      <w:r w:rsidR="00783972">
        <w:t>...</w:t>
      </w:r>
      <w:r>
        <w:t>.1</w:t>
      </w:r>
      <w:r w:rsidR="001257FD">
        <w:t>3</w:t>
      </w:r>
    </w:p>
    <w:p w14:paraId="76F201F8" w14:textId="4BEE036E" w:rsidR="007F20BF" w:rsidRDefault="007F20BF" w:rsidP="009B734E">
      <w:pPr>
        <w:jc w:val="both"/>
      </w:pPr>
      <w:r>
        <w:t xml:space="preserve">2.3 </w:t>
      </w:r>
      <w:r w:rsidRPr="00AD372A">
        <w:t>Second Wave of Corporate Responsibility</w:t>
      </w:r>
      <w:r>
        <w:t>……………………………………………</w:t>
      </w:r>
      <w:r w:rsidR="009B734E">
        <w:t>.</w:t>
      </w:r>
      <w:r>
        <w:t>…1</w:t>
      </w:r>
      <w:r w:rsidR="004B6B2F">
        <w:t>6</w:t>
      </w:r>
    </w:p>
    <w:p w14:paraId="7EF92B22" w14:textId="77777777" w:rsidR="004F7158" w:rsidRDefault="004F7158" w:rsidP="009B734E">
      <w:pPr>
        <w:jc w:val="both"/>
      </w:pPr>
    </w:p>
    <w:p w14:paraId="3D427936" w14:textId="6BC6BB2B" w:rsidR="007F20BF" w:rsidRDefault="007F20BF" w:rsidP="009B734E">
      <w:pPr>
        <w:jc w:val="both"/>
      </w:pPr>
      <w:r>
        <w:t xml:space="preserve">Chapter III </w:t>
      </w:r>
      <w:r w:rsidRPr="009B6972">
        <w:t>Corporations and international law</w:t>
      </w:r>
      <w:r>
        <w:t>……………………………………………</w:t>
      </w:r>
      <w:r w:rsidR="002430B5">
        <w:t>…</w:t>
      </w:r>
      <w:r w:rsidR="00BC34DD">
        <w:t>19</w:t>
      </w:r>
    </w:p>
    <w:p w14:paraId="5A3F4492" w14:textId="77777777" w:rsidR="004F7158" w:rsidRDefault="004F7158" w:rsidP="009B734E">
      <w:pPr>
        <w:jc w:val="both"/>
      </w:pPr>
    </w:p>
    <w:p w14:paraId="3A30D8AC" w14:textId="2BB5B954" w:rsidR="007F20BF" w:rsidRDefault="007F20BF" w:rsidP="009B734E">
      <w:pPr>
        <w:jc w:val="both"/>
      </w:pPr>
      <w:r>
        <w:t xml:space="preserve">3.1 </w:t>
      </w:r>
      <w:r w:rsidRPr="00C71E21">
        <w:t>Existing Regulatory Initiatives</w:t>
      </w:r>
      <w:r>
        <w:t>…………………………………………………………...</w:t>
      </w:r>
      <w:r w:rsidR="00BC34DD">
        <w:t>19</w:t>
      </w:r>
    </w:p>
    <w:p w14:paraId="7EF4FFF8" w14:textId="77777777" w:rsidR="007F20BF" w:rsidRDefault="007F20BF" w:rsidP="009B734E">
      <w:pPr>
        <w:jc w:val="both"/>
      </w:pPr>
      <w:r>
        <w:t xml:space="preserve">3.2 </w:t>
      </w:r>
      <w:r w:rsidRPr="004C681B">
        <w:t>International Law Approach</w:t>
      </w:r>
      <w:r>
        <w:t>…………………………………………………….………..26</w:t>
      </w:r>
    </w:p>
    <w:p w14:paraId="3C8C2B0A" w14:textId="77777777" w:rsidR="0027525B" w:rsidRDefault="0027525B" w:rsidP="009B734E">
      <w:pPr>
        <w:jc w:val="both"/>
      </w:pPr>
    </w:p>
    <w:p w14:paraId="3CC27EA7" w14:textId="460D79BA" w:rsidR="007F20BF" w:rsidRDefault="007F20BF" w:rsidP="009B734E">
      <w:pPr>
        <w:jc w:val="both"/>
      </w:pPr>
      <w:r w:rsidRPr="00CC6882">
        <w:t>Chapter I</w:t>
      </w:r>
      <w:r w:rsidR="00327618">
        <w:t>V</w:t>
      </w:r>
      <w:r w:rsidRPr="00CC6882">
        <w:t xml:space="preserve"> Accountability of Corporations</w:t>
      </w:r>
      <w:r>
        <w:t>……………………………………………</w:t>
      </w:r>
      <w:r w:rsidR="009B734E">
        <w:t>….</w:t>
      </w:r>
      <w:r>
        <w:t>….2</w:t>
      </w:r>
      <w:r w:rsidR="00BD1952">
        <w:t>8</w:t>
      </w:r>
    </w:p>
    <w:p w14:paraId="04315181" w14:textId="77777777" w:rsidR="007530AE" w:rsidRDefault="007530AE" w:rsidP="009B734E">
      <w:pPr>
        <w:jc w:val="both"/>
      </w:pPr>
    </w:p>
    <w:p w14:paraId="0C819B32" w14:textId="156911E4" w:rsidR="007F20BF" w:rsidRDefault="007F20BF" w:rsidP="009B734E">
      <w:pPr>
        <w:ind w:right="-52"/>
        <w:jc w:val="both"/>
      </w:pPr>
      <w:r>
        <w:t xml:space="preserve">4.1 </w:t>
      </w:r>
      <w:r w:rsidRPr="00F3699F">
        <w:t>Introduction</w:t>
      </w:r>
      <w:r>
        <w:t>………………………………………………………</w:t>
      </w:r>
      <w:r w:rsidR="007530AE">
        <w:t>…………</w:t>
      </w:r>
      <w:r>
        <w:t>…</w:t>
      </w:r>
      <w:r w:rsidR="009B734E">
        <w:t>…</w:t>
      </w:r>
      <w:r w:rsidR="004F7158">
        <w:t>.</w:t>
      </w:r>
      <w:r w:rsidR="009B734E">
        <w:t>…...….</w:t>
      </w:r>
      <w:r>
        <w:t>2</w:t>
      </w:r>
      <w:r w:rsidR="00BD1952">
        <w:t>8</w:t>
      </w:r>
    </w:p>
    <w:p w14:paraId="632B8E6D" w14:textId="78882270" w:rsidR="007F20BF" w:rsidRDefault="007F20BF" w:rsidP="009B734E">
      <w:pPr>
        <w:jc w:val="both"/>
      </w:pPr>
      <w:r>
        <w:t xml:space="preserve">4.2 </w:t>
      </w:r>
      <w:r w:rsidRPr="005D7307">
        <w:t>Corporate Social Responsibility</w:t>
      </w:r>
      <w:r w:rsidR="0039275B">
        <w:t>…</w:t>
      </w:r>
      <w:r>
        <w:t>………………………</w:t>
      </w:r>
      <w:r w:rsidR="007530AE">
        <w:t>…………</w:t>
      </w:r>
      <w:r>
        <w:t>…………….………</w:t>
      </w:r>
      <w:r w:rsidR="00AA45C9">
        <w:t>29</w:t>
      </w:r>
    </w:p>
    <w:p w14:paraId="1903CD75" w14:textId="23AE340F" w:rsidR="007F20BF" w:rsidRDefault="007F20BF" w:rsidP="009B734E">
      <w:pPr>
        <w:jc w:val="both"/>
      </w:pPr>
      <w:r>
        <w:t xml:space="preserve">4.3 </w:t>
      </w:r>
      <w:r w:rsidRPr="00B675CF">
        <w:t>Corporate Liability</w:t>
      </w:r>
      <w:r>
        <w:t>…………………………………………………………………</w:t>
      </w:r>
      <w:r w:rsidR="009B734E">
        <w:t>….</w:t>
      </w:r>
      <w:r>
        <w:t>….3</w:t>
      </w:r>
      <w:r w:rsidR="009129F0">
        <w:t>2</w:t>
      </w:r>
    </w:p>
    <w:p w14:paraId="41EDBD86" w14:textId="13E8D172" w:rsidR="007F20BF" w:rsidRDefault="007F20BF" w:rsidP="009B734E">
      <w:pPr>
        <w:jc w:val="both"/>
      </w:pPr>
      <w:r>
        <w:t xml:space="preserve">4.4 </w:t>
      </w:r>
      <w:r w:rsidRPr="00453136">
        <w:t>Obligations under International Criminal Law</w:t>
      </w:r>
      <w:r>
        <w:t>………………………………………</w:t>
      </w:r>
      <w:r w:rsidR="009B734E">
        <w:t>…</w:t>
      </w:r>
      <w:r>
        <w:t>…3</w:t>
      </w:r>
      <w:r w:rsidR="009129F0">
        <w:t>6</w:t>
      </w:r>
    </w:p>
    <w:p w14:paraId="588C841C" w14:textId="77777777" w:rsidR="007F20BF" w:rsidRDefault="007F20BF" w:rsidP="009B734E">
      <w:pPr>
        <w:jc w:val="both"/>
      </w:pPr>
    </w:p>
    <w:p w14:paraId="21B51C7C" w14:textId="43F039AC" w:rsidR="007F20BF" w:rsidRDefault="007F20BF" w:rsidP="009B734E">
      <w:pPr>
        <w:jc w:val="both"/>
      </w:pPr>
      <w:r w:rsidRPr="00263A17">
        <w:t xml:space="preserve">Chapter </w:t>
      </w:r>
      <w:r w:rsidR="004147E2">
        <w:t>V</w:t>
      </w:r>
      <w:r w:rsidRPr="00263A17">
        <w:t xml:space="preserve"> Responsibility of States</w:t>
      </w:r>
      <w:r>
        <w:t>……………………</w:t>
      </w:r>
      <w:r w:rsidR="007530AE">
        <w:t>.</w:t>
      </w:r>
      <w:r w:rsidR="0056676C">
        <w:t>..</w:t>
      </w:r>
      <w:r w:rsidR="007530AE">
        <w:t>.</w:t>
      </w:r>
      <w:r>
        <w:t>…………………………………</w:t>
      </w:r>
      <w:r w:rsidR="009B734E">
        <w:t>.</w:t>
      </w:r>
      <w:r>
        <w:t>..</w:t>
      </w:r>
      <w:r w:rsidR="00F66D2C">
        <w:t>38</w:t>
      </w:r>
    </w:p>
    <w:p w14:paraId="2EE5B2B2" w14:textId="77777777" w:rsidR="007530AE" w:rsidRDefault="007530AE" w:rsidP="009B734E">
      <w:pPr>
        <w:jc w:val="both"/>
      </w:pPr>
    </w:p>
    <w:p w14:paraId="3C12939E" w14:textId="7E8FFE14" w:rsidR="007F20BF" w:rsidRDefault="007F20BF" w:rsidP="009B734E">
      <w:pPr>
        <w:jc w:val="both"/>
      </w:pPr>
      <w:r>
        <w:t>5.1 Introduction…………………………………………………………………………</w:t>
      </w:r>
      <w:r w:rsidR="009B734E">
        <w:t>…</w:t>
      </w:r>
      <w:r>
        <w:t>…</w:t>
      </w:r>
      <w:r w:rsidR="00F66D2C">
        <w:t>38</w:t>
      </w:r>
    </w:p>
    <w:p w14:paraId="2FB5F4AF" w14:textId="482A6662" w:rsidR="007F20BF" w:rsidRDefault="007F20BF" w:rsidP="009B734E">
      <w:pPr>
        <w:jc w:val="both"/>
      </w:pPr>
      <w:r>
        <w:t xml:space="preserve">5.2 </w:t>
      </w:r>
      <w:r w:rsidRPr="009B2D3D">
        <w:t>Extraterritorial regulation</w:t>
      </w:r>
      <w:r>
        <w:t>…………………………………………………….…………..</w:t>
      </w:r>
      <w:r w:rsidR="00F66D2C">
        <w:t>39</w:t>
      </w:r>
    </w:p>
    <w:p w14:paraId="7278A0B5" w14:textId="21045DC4" w:rsidR="007F20BF" w:rsidRDefault="007F20BF" w:rsidP="009B734E">
      <w:pPr>
        <w:jc w:val="both"/>
      </w:pPr>
      <w:r>
        <w:t xml:space="preserve">5.3 </w:t>
      </w:r>
      <w:r w:rsidRPr="009C2AFE">
        <w:t>Duty to protect</w:t>
      </w:r>
      <w:r>
        <w:t>……………………………………………………………………………4</w:t>
      </w:r>
      <w:r w:rsidR="00327618">
        <w:t>2</w:t>
      </w:r>
    </w:p>
    <w:p w14:paraId="18BA365E" w14:textId="77777777" w:rsidR="007F20BF" w:rsidRDefault="007F20BF" w:rsidP="009B734E">
      <w:pPr>
        <w:jc w:val="both"/>
      </w:pPr>
    </w:p>
    <w:p w14:paraId="3AC47C4E" w14:textId="39165890" w:rsidR="007F20BF" w:rsidRDefault="007F20BF" w:rsidP="009B734E">
      <w:pPr>
        <w:jc w:val="both"/>
      </w:pPr>
      <w:r w:rsidRPr="000C65CF">
        <w:t xml:space="preserve">Chapter </w:t>
      </w:r>
      <w:r w:rsidR="00327618">
        <w:t>VI</w:t>
      </w:r>
      <w:r w:rsidRPr="000C65CF">
        <w:t xml:space="preserve"> Business and Human Rights Treaty</w:t>
      </w:r>
      <w:r>
        <w:t>…………………</w:t>
      </w:r>
      <w:r w:rsidR="007530AE">
        <w:t>.</w:t>
      </w:r>
      <w:r>
        <w:t>…………………………</w:t>
      </w:r>
      <w:r w:rsidR="009B734E">
        <w:t>.</w:t>
      </w:r>
      <w:r>
        <w:t>..4</w:t>
      </w:r>
      <w:r w:rsidR="003E0660">
        <w:t>4</w:t>
      </w:r>
    </w:p>
    <w:p w14:paraId="1EE1931B" w14:textId="77777777" w:rsidR="007F20BF" w:rsidRDefault="007F20BF" w:rsidP="009B734E">
      <w:pPr>
        <w:jc w:val="both"/>
      </w:pPr>
    </w:p>
    <w:p w14:paraId="4ED53352" w14:textId="0E2663ED" w:rsidR="007F20BF" w:rsidRDefault="007F20BF" w:rsidP="009B734E">
      <w:pPr>
        <w:jc w:val="both"/>
      </w:pPr>
      <w:r>
        <w:t xml:space="preserve">6.1 </w:t>
      </w:r>
      <w:r w:rsidRPr="00766D5D">
        <w:t>Business and Human Rights Treaty: The Beginning</w:t>
      </w:r>
      <w:r>
        <w:t>………………………………</w:t>
      </w:r>
      <w:r w:rsidR="009B734E">
        <w:t>..</w:t>
      </w:r>
      <w:r>
        <w:t>……4</w:t>
      </w:r>
      <w:r w:rsidR="003E0660">
        <w:t>4</w:t>
      </w:r>
    </w:p>
    <w:p w14:paraId="641EB9B0" w14:textId="769AF196" w:rsidR="007F20BF" w:rsidRDefault="007F20BF" w:rsidP="009B734E">
      <w:pPr>
        <w:jc w:val="both"/>
      </w:pPr>
      <w:r>
        <w:t xml:space="preserve">6.2 </w:t>
      </w:r>
      <w:r w:rsidRPr="006B791B">
        <w:t>Structure of the proposed treaty</w:t>
      </w:r>
      <w:r>
        <w:t>……………………………………………………</w:t>
      </w:r>
      <w:r w:rsidR="009B734E">
        <w:t>..</w:t>
      </w:r>
      <w:r>
        <w:t>……4</w:t>
      </w:r>
      <w:r w:rsidR="003E0660">
        <w:t>8</w:t>
      </w:r>
    </w:p>
    <w:p w14:paraId="09C67A2B" w14:textId="7BDBA80E" w:rsidR="007F20BF" w:rsidRDefault="007F20BF" w:rsidP="009B734E">
      <w:pPr>
        <w:jc w:val="both"/>
      </w:pPr>
      <w:r>
        <w:t xml:space="preserve">6.3 </w:t>
      </w:r>
      <w:r w:rsidRPr="005254D6">
        <w:t>Recommendations for further research</w:t>
      </w:r>
      <w:r>
        <w:t>……………………………………………</w:t>
      </w:r>
      <w:r w:rsidR="009B734E">
        <w:t>..</w:t>
      </w:r>
      <w:r>
        <w:t>…….</w:t>
      </w:r>
      <w:r w:rsidR="003E0660">
        <w:t>49</w:t>
      </w:r>
    </w:p>
    <w:p w14:paraId="1E49864F" w14:textId="77777777" w:rsidR="007F20BF" w:rsidRDefault="007F20BF" w:rsidP="009B734E">
      <w:pPr>
        <w:jc w:val="both"/>
      </w:pPr>
    </w:p>
    <w:p w14:paraId="05B25181" w14:textId="7E3F4522" w:rsidR="007F20BF" w:rsidRDefault="007F20BF" w:rsidP="009B734E">
      <w:pPr>
        <w:jc w:val="both"/>
      </w:pPr>
      <w:r>
        <w:t xml:space="preserve">Chapter </w:t>
      </w:r>
      <w:r w:rsidR="00327618">
        <w:t>VII</w:t>
      </w:r>
      <w:r>
        <w:t xml:space="preserve"> Conclusion</w:t>
      </w:r>
      <w:r w:rsidR="00327618">
        <w:t>...</w:t>
      </w:r>
      <w:r>
        <w:t>…………………………………………</w:t>
      </w:r>
      <w:r w:rsidR="007530AE">
        <w:t>.</w:t>
      </w:r>
      <w:r>
        <w:t>……………………</w:t>
      </w:r>
      <w:r w:rsidR="009B734E">
        <w:t>.</w:t>
      </w:r>
      <w:r>
        <w:t>…...5</w:t>
      </w:r>
      <w:r w:rsidR="00FD3BD5">
        <w:t>0</w:t>
      </w:r>
    </w:p>
    <w:p w14:paraId="24ED7C4F" w14:textId="77777777" w:rsidR="007F20BF" w:rsidRDefault="007F20BF" w:rsidP="009B734E">
      <w:pPr>
        <w:jc w:val="both"/>
      </w:pPr>
    </w:p>
    <w:p w14:paraId="45C6B040" w14:textId="6F05D3CC" w:rsidR="007F20BF" w:rsidRDefault="007F20BF" w:rsidP="009B734E">
      <w:pPr>
        <w:jc w:val="both"/>
      </w:pPr>
      <w:r w:rsidRPr="00C21885">
        <w:t>Bibliography</w:t>
      </w:r>
      <w:r>
        <w:t>……………………………………………………………………………</w:t>
      </w:r>
      <w:r w:rsidR="009B734E">
        <w:t>.</w:t>
      </w:r>
      <w:r>
        <w:t>……5</w:t>
      </w:r>
      <w:r w:rsidR="00FD3BD5">
        <w:t>3</w:t>
      </w:r>
    </w:p>
    <w:p w14:paraId="72646103" w14:textId="77777777" w:rsidR="007F20BF" w:rsidRDefault="007F20BF" w:rsidP="009B734E">
      <w:pPr>
        <w:jc w:val="both"/>
      </w:pPr>
    </w:p>
    <w:p w14:paraId="0FEAA129" w14:textId="56F5639B" w:rsidR="007F20BF" w:rsidRDefault="007F20BF" w:rsidP="009B734E">
      <w:pPr>
        <w:jc w:val="both"/>
      </w:pPr>
      <w:r w:rsidRPr="00863334">
        <w:t>Appendix I Analyses of Regulation</w:t>
      </w:r>
      <w:r>
        <w:t>……………………………………………………</w:t>
      </w:r>
      <w:r w:rsidR="009B734E">
        <w:t>..</w:t>
      </w:r>
      <w:r>
        <w:t>……6</w:t>
      </w:r>
      <w:r w:rsidR="00FD3BD5">
        <w:t>3</w:t>
      </w:r>
    </w:p>
    <w:p w14:paraId="3735591E" w14:textId="1F382A5E" w:rsidR="007F20BF" w:rsidRDefault="007F20BF" w:rsidP="009B734E">
      <w:pPr>
        <w:jc w:val="both"/>
      </w:pPr>
      <w:r>
        <w:t xml:space="preserve">Appendix II </w:t>
      </w:r>
      <w:r w:rsidRPr="00BE29E9">
        <w:t>Regulatory Pyramid</w:t>
      </w:r>
      <w:r>
        <w:t>………………………………………………………</w:t>
      </w:r>
      <w:r w:rsidR="009B734E">
        <w:t>..</w:t>
      </w:r>
      <w:r>
        <w:t>……6</w:t>
      </w:r>
      <w:r w:rsidR="00FD3BD5">
        <w:t>4</w:t>
      </w:r>
    </w:p>
    <w:p w14:paraId="14A8A8B8" w14:textId="40ED06F9" w:rsidR="007F20BF" w:rsidRPr="0045057F" w:rsidRDefault="007F20BF" w:rsidP="009B734E">
      <w:pPr>
        <w:jc w:val="both"/>
      </w:pPr>
      <w:r w:rsidRPr="00EE50EA">
        <w:t>Appendix III Proposed structure of the future treaty</w:t>
      </w:r>
      <w:r>
        <w:t>……………………………………</w:t>
      </w:r>
      <w:r w:rsidR="009B734E">
        <w:t>..</w:t>
      </w:r>
      <w:r>
        <w:t>…..6</w:t>
      </w:r>
      <w:r w:rsidR="00FD3BD5">
        <w:t>5</w:t>
      </w:r>
    </w:p>
    <w:p w14:paraId="6637A561" w14:textId="77777777" w:rsidR="00C10745" w:rsidRPr="006A43BB" w:rsidRDefault="00C10745" w:rsidP="009B734E">
      <w:pPr>
        <w:pStyle w:val="Body"/>
        <w:spacing w:line="276" w:lineRule="auto"/>
        <w:jc w:val="both"/>
        <w:rPr>
          <w:b/>
          <w:bCs/>
          <w:lang w:val="en-US"/>
          <w14:textOutline w14:w="12700" w14:cap="flat" w14:cmpd="sng" w14:algn="ctr">
            <w14:noFill/>
            <w14:prstDash w14:val="solid"/>
            <w14:miter w14:lim="400000"/>
          </w14:textOutline>
        </w:rPr>
      </w:pPr>
    </w:p>
    <w:p w14:paraId="401EDD28" w14:textId="77777777" w:rsidR="00102DEE" w:rsidRDefault="00102DEE">
      <w:pPr>
        <w:pStyle w:val="Body"/>
        <w:spacing w:line="276" w:lineRule="auto"/>
        <w:rPr>
          <w:b/>
          <w:bCs/>
          <w14:textOutline w14:w="12700" w14:cap="flat" w14:cmpd="sng" w14:algn="ctr">
            <w14:noFill/>
            <w14:prstDash w14:val="solid"/>
            <w14:miter w14:lim="400000"/>
          </w14:textOutline>
        </w:rPr>
      </w:pPr>
    </w:p>
    <w:p w14:paraId="6FCD979C" w14:textId="141D38F5" w:rsidR="00F74B03" w:rsidRDefault="00D45B79">
      <w:pPr>
        <w:pStyle w:val="Body"/>
        <w:spacing w:line="276" w:lineRule="auto"/>
        <w:rPr>
          <w:b/>
          <w:bCs/>
        </w:rPr>
      </w:pPr>
      <w:r w:rsidRPr="006A43BB">
        <w:rPr>
          <w:b/>
          <w:bCs/>
        </w:rPr>
        <w:lastRenderedPageBreak/>
        <w:t>List of Abbreviations</w:t>
      </w:r>
    </w:p>
    <w:p w14:paraId="05C75678" w14:textId="77777777" w:rsidR="0034671F" w:rsidRPr="00D45B79" w:rsidRDefault="0034671F">
      <w:pPr>
        <w:pStyle w:val="Body"/>
        <w:spacing w:line="276" w:lineRule="auto"/>
        <w:rPr>
          <w:b/>
          <w:bCs/>
          <w14:textOutline w14:w="12700" w14:cap="flat" w14:cmpd="sng" w14:algn="ctr">
            <w14:noFill/>
            <w14:prstDash w14:val="solid"/>
            <w14:miter w14:lim="400000"/>
          </w14:textOutline>
        </w:rPr>
      </w:pPr>
    </w:p>
    <w:p w14:paraId="279DDD4E" w14:textId="77777777" w:rsidR="0034671F" w:rsidRDefault="0034671F" w:rsidP="0034671F"/>
    <w:p w14:paraId="5CC4148C" w14:textId="1AE58FA6" w:rsidR="0034671F" w:rsidRDefault="0034671F" w:rsidP="0034671F">
      <w:r w:rsidRPr="00FC0EFE">
        <w:t xml:space="preserve">Transnational Corporations </w:t>
      </w:r>
      <w:r>
        <w:t xml:space="preserve">                                                                                        </w:t>
      </w:r>
      <w:r w:rsidRPr="00043F46">
        <w:t>TNC</w:t>
      </w:r>
    </w:p>
    <w:p w14:paraId="5AE20981" w14:textId="77777777" w:rsidR="0034671F" w:rsidRDefault="0034671F" w:rsidP="0034671F"/>
    <w:p w14:paraId="0441D2EE" w14:textId="365157D0" w:rsidR="0034671F" w:rsidRDefault="0034671F" w:rsidP="0034671F">
      <w:r>
        <w:t>M</w:t>
      </w:r>
      <w:r w:rsidRPr="006A555A">
        <w:t xml:space="preserve">ultinational corporation </w:t>
      </w:r>
      <w:r>
        <w:t xml:space="preserve">                                                                                           MNC</w:t>
      </w:r>
    </w:p>
    <w:p w14:paraId="2DFAA1D3" w14:textId="77777777" w:rsidR="0034671F" w:rsidRDefault="0034671F" w:rsidP="0034671F"/>
    <w:p w14:paraId="48F4C097" w14:textId="4AB8E3C1" w:rsidR="0034671F" w:rsidRDefault="0034671F" w:rsidP="0034671F">
      <w:r>
        <w:t xml:space="preserve">Business and Human Rights Treaty                                                                            </w:t>
      </w:r>
      <w:r w:rsidRPr="00F22E20">
        <w:t>BHRT</w:t>
      </w:r>
    </w:p>
    <w:p w14:paraId="708D3A18" w14:textId="77777777" w:rsidR="0034671F" w:rsidRDefault="0034671F" w:rsidP="0034671F"/>
    <w:p w14:paraId="74FA915E" w14:textId="09350361" w:rsidR="0034671F" w:rsidRDefault="0034671F" w:rsidP="0034671F">
      <w:r w:rsidRPr="003340CC">
        <w:t>International Covenant on Economic, Social, and Cultural Rights</w:t>
      </w:r>
      <w:r>
        <w:t xml:space="preserve">                             </w:t>
      </w:r>
      <w:r w:rsidRPr="00172A24">
        <w:t>ICESCR</w:t>
      </w:r>
    </w:p>
    <w:p w14:paraId="4BA7BDA8" w14:textId="77777777" w:rsidR="0034671F" w:rsidRDefault="0034671F" w:rsidP="0034671F"/>
    <w:p w14:paraId="7D23AF44" w14:textId="4E08DCE3" w:rsidR="0034671F" w:rsidRDefault="0034671F" w:rsidP="0034671F">
      <w:r w:rsidRPr="001853EA">
        <w:t>International Covenant on Civil and Political Rights</w:t>
      </w:r>
      <w:r>
        <w:t xml:space="preserve">                                                  </w:t>
      </w:r>
      <w:r w:rsidRPr="00564123">
        <w:t>ICCPR</w:t>
      </w:r>
    </w:p>
    <w:p w14:paraId="5D07D0B7" w14:textId="77777777" w:rsidR="0034671F" w:rsidRDefault="0034671F" w:rsidP="0034671F"/>
    <w:p w14:paraId="0FDEF6FE" w14:textId="1E3FE9AC" w:rsidR="0034671F" w:rsidRDefault="0034671F" w:rsidP="0034671F">
      <w:r w:rsidRPr="00A55244">
        <w:t>International Confederation of Free Trade Unions</w:t>
      </w:r>
      <w:r>
        <w:t xml:space="preserve">                                                      </w:t>
      </w:r>
      <w:r w:rsidRPr="000747B1">
        <w:t>ICFTU</w:t>
      </w:r>
    </w:p>
    <w:p w14:paraId="77B62112" w14:textId="77777777" w:rsidR="0034671F" w:rsidRDefault="0034671F" w:rsidP="0034671F"/>
    <w:p w14:paraId="211FB597" w14:textId="633408A4" w:rsidR="0034671F" w:rsidRDefault="0034671F" w:rsidP="0034671F">
      <w:r>
        <w:t xml:space="preserve">The </w:t>
      </w:r>
      <w:r w:rsidRPr="00A85140">
        <w:t>Alien Tort Claims Act</w:t>
      </w:r>
      <w:r>
        <w:t xml:space="preserve">                                                                                          </w:t>
      </w:r>
      <w:r w:rsidRPr="00412B3C">
        <w:t>ATCA</w:t>
      </w:r>
    </w:p>
    <w:p w14:paraId="588613AE" w14:textId="77777777" w:rsidR="0034671F" w:rsidRDefault="0034671F" w:rsidP="0034671F"/>
    <w:p w14:paraId="2AADF266" w14:textId="76E897C5" w:rsidR="0034671F" w:rsidRDefault="0034671F" w:rsidP="0034671F">
      <w:r w:rsidRPr="00C45203">
        <w:t>Office of the United Nations High Commissioner for Human Rights</w:t>
      </w:r>
      <w:r>
        <w:t xml:space="preserve">                        </w:t>
      </w:r>
      <w:r w:rsidRPr="000076EA">
        <w:t>OHCHR</w:t>
      </w:r>
    </w:p>
    <w:p w14:paraId="6E38F404" w14:textId="77777777" w:rsidR="0034671F" w:rsidRDefault="0034671F" w:rsidP="0034671F"/>
    <w:p w14:paraId="19F629CD" w14:textId="4D79B05C" w:rsidR="0034671F" w:rsidRDefault="0034671F" w:rsidP="0034671F">
      <w:r>
        <w:t>C</w:t>
      </w:r>
      <w:r w:rsidRPr="00CA4B66">
        <w:t>orporate social responsibility</w:t>
      </w:r>
      <w:r>
        <w:t xml:space="preserve">                                                                                    </w:t>
      </w:r>
      <w:r w:rsidRPr="00DD16D1">
        <w:t>CSR</w:t>
      </w:r>
    </w:p>
    <w:p w14:paraId="13AE6A21" w14:textId="77777777" w:rsidR="0034671F" w:rsidRDefault="0034671F" w:rsidP="0034671F"/>
    <w:p w14:paraId="252A207F" w14:textId="11816E16" w:rsidR="0034671F" w:rsidRDefault="0034671F" w:rsidP="0034671F">
      <w:r w:rsidRPr="00081A5D">
        <w:t>The Universal Declaration of Human Rights</w:t>
      </w:r>
      <w:r>
        <w:t xml:space="preserve">                                                              </w:t>
      </w:r>
      <w:r w:rsidRPr="00653E89">
        <w:t>UDHR</w:t>
      </w:r>
    </w:p>
    <w:p w14:paraId="5C2D7DEE" w14:textId="77777777" w:rsidR="0034671F" w:rsidRDefault="0034671F" w:rsidP="0034671F"/>
    <w:p w14:paraId="5844EC79" w14:textId="0482142C" w:rsidR="0034671F" w:rsidRDefault="0034671F" w:rsidP="0034671F">
      <w:r w:rsidRPr="00A26A3C">
        <w:t>The International Military Tribunal</w:t>
      </w:r>
      <w:r>
        <w:t xml:space="preserve">                                                                             </w:t>
      </w:r>
      <w:r w:rsidRPr="0092745E">
        <w:t>IMT</w:t>
      </w:r>
    </w:p>
    <w:p w14:paraId="6730D611" w14:textId="77777777" w:rsidR="0034671F" w:rsidRDefault="0034671F" w:rsidP="0034671F"/>
    <w:p w14:paraId="57912A88" w14:textId="583BF29D" w:rsidR="0034671F" w:rsidRDefault="0034671F" w:rsidP="0034671F">
      <w:r>
        <w:t>T</w:t>
      </w:r>
      <w:r w:rsidRPr="00D94BD6">
        <w:t>he open-ended intergovernmental working group</w:t>
      </w:r>
      <w:r>
        <w:t xml:space="preserve">                                                    </w:t>
      </w:r>
      <w:r w:rsidRPr="00C00327">
        <w:t>OEIGWG</w:t>
      </w:r>
    </w:p>
    <w:p w14:paraId="771993DF" w14:textId="77777777" w:rsidR="0034671F" w:rsidRDefault="0034671F" w:rsidP="0034671F"/>
    <w:p w14:paraId="2B4AC481" w14:textId="0ED745EF" w:rsidR="0034671F" w:rsidRPr="0045057F" w:rsidRDefault="0034671F" w:rsidP="0034671F">
      <w:r>
        <w:t>T</w:t>
      </w:r>
      <w:r w:rsidRPr="009D1BD4">
        <w:t>he United Nations Declaration on the Rights of Indigenous Peoples</w:t>
      </w:r>
      <w:r>
        <w:t xml:space="preserve">                       </w:t>
      </w:r>
      <w:r w:rsidRPr="00547792">
        <w:t>UNDRIP</w:t>
      </w:r>
    </w:p>
    <w:p w14:paraId="310814EC" w14:textId="1E177428" w:rsidR="00F74B03" w:rsidRPr="006A43BB" w:rsidRDefault="00F74B03">
      <w:pPr>
        <w:pStyle w:val="Body"/>
        <w:spacing w:line="276" w:lineRule="auto"/>
        <w:rPr>
          <w:b/>
          <w:bCs/>
          <w:lang w:val="en-US"/>
          <w14:textOutline w14:w="12700" w14:cap="flat" w14:cmpd="sng" w14:algn="ctr">
            <w14:noFill/>
            <w14:prstDash w14:val="solid"/>
            <w14:miter w14:lim="400000"/>
          </w14:textOutline>
        </w:rPr>
      </w:pPr>
    </w:p>
    <w:p w14:paraId="04CFF4E2" w14:textId="38F2271E" w:rsidR="00F74B03" w:rsidRDefault="00F74B03">
      <w:pPr>
        <w:pStyle w:val="Body"/>
        <w:spacing w:line="276" w:lineRule="auto"/>
        <w:rPr>
          <w:b/>
          <w:bCs/>
          <w14:textOutline w14:w="12700" w14:cap="flat" w14:cmpd="sng" w14:algn="ctr">
            <w14:noFill/>
            <w14:prstDash w14:val="solid"/>
            <w14:miter w14:lim="400000"/>
          </w14:textOutline>
        </w:rPr>
      </w:pPr>
    </w:p>
    <w:p w14:paraId="3CD37966" w14:textId="17E50D2F" w:rsidR="00F74B03" w:rsidRDefault="00F74B03">
      <w:pPr>
        <w:pStyle w:val="Body"/>
        <w:spacing w:line="276" w:lineRule="auto"/>
        <w:rPr>
          <w:b/>
          <w:bCs/>
          <w14:textOutline w14:w="12700" w14:cap="flat" w14:cmpd="sng" w14:algn="ctr">
            <w14:noFill/>
            <w14:prstDash w14:val="solid"/>
            <w14:miter w14:lim="400000"/>
          </w14:textOutline>
        </w:rPr>
      </w:pPr>
    </w:p>
    <w:p w14:paraId="4937705B" w14:textId="6EDE3A4F" w:rsidR="00F74B03" w:rsidRDefault="00F74B03">
      <w:pPr>
        <w:pStyle w:val="Body"/>
        <w:spacing w:line="276" w:lineRule="auto"/>
        <w:rPr>
          <w:b/>
          <w:bCs/>
          <w14:textOutline w14:w="12700" w14:cap="flat" w14:cmpd="sng" w14:algn="ctr">
            <w14:noFill/>
            <w14:prstDash w14:val="solid"/>
            <w14:miter w14:lim="400000"/>
          </w14:textOutline>
        </w:rPr>
      </w:pPr>
    </w:p>
    <w:p w14:paraId="5E6FCE13" w14:textId="0241A5F8" w:rsidR="00F74B03" w:rsidRDefault="00F74B03">
      <w:pPr>
        <w:pStyle w:val="Body"/>
        <w:spacing w:line="276" w:lineRule="auto"/>
        <w:rPr>
          <w:b/>
          <w:bCs/>
          <w14:textOutline w14:w="12700" w14:cap="flat" w14:cmpd="sng" w14:algn="ctr">
            <w14:noFill/>
            <w14:prstDash w14:val="solid"/>
            <w14:miter w14:lim="400000"/>
          </w14:textOutline>
        </w:rPr>
      </w:pPr>
    </w:p>
    <w:p w14:paraId="2B88C042" w14:textId="3844816A" w:rsidR="00F74B03" w:rsidRDefault="00F74B03">
      <w:pPr>
        <w:pStyle w:val="Body"/>
        <w:spacing w:line="276" w:lineRule="auto"/>
        <w:rPr>
          <w:b/>
          <w:bCs/>
          <w14:textOutline w14:w="12700" w14:cap="flat" w14:cmpd="sng" w14:algn="ctr">
            <w14:noFill/>
            <w14:prstDash w14:val="solid"/>
            <w14:miter w14:lim="400000"/>
          </w14:textOutline>
        </w:rPr>
      </w:pPr>
    </w:p>
    <w:p w14:paraId="37259D65" w14:textId="3913F605" w:rsidR="00F74B03" w:rsidRDefault="00F74B03">
      <w:pPr>
        <w:pStyle w:val="Body"/>
        <w:spacing w:line="276" w:lineRule="auto"/>
        <w:rPr>
          <w:b/>
          <w:bCs/>
          <w14:textOutline w14:w="12700" w14:cap="flat" w14:cmpd="sng" w14:algn="ctr">
            <w14:noFill/>
            <w14:prstDash w14:val="solid"/>
            <w14:miter w14:lim="400000"/>
          </w14:textOutline>
        </w:rPr>
      </w:pPr>
    </w:p>
    <w:p w14:paraId="4DD1FED9" w14:textId="0C2AAD4B" w:rsidR="00F74B03" w:rsidRDefault="00F74B03">
      <w:pPr>
        <w:pStyle w:val="Body"/>
        <w:spacing w:line="276" w:lineRule="auto"/>
        <w:rPr>
          <w:b/>
          <w:bCs/>
          <w14:textOutline w14:w="12700" w14:cap="flat" w14:cmpd="sng" w14:algn="ctr">
            <w14:noFill/>
            <w14:prstDash w14:val="solid"/>
            <w14:miter w14:lim="400000"/>
          </w14:textOutline>
        </w:rPr>
      </w:pPr>
    </w:p>
    <w:p w14:paraId="5C46BD48" w14:textId="20D86559" w:rsidR="00F74B03" w:rsidRDefault="00F74B03">
      <w:pPr>
        <w:pStyle w:val="Body"/>
        <w:spacing w:line="276" w:lineRule="auto"/>
        <w:rPr>
          <w:b/>
          <w:bCs/>
          <w14:textOutline w14:w="12700" w14:cap="flat" w14:cmpd="sng" w14:algn="ctr">
            <w14:noFill/>
            <w14:prstDash w14:val="solid"/>
            <w14:miter w14:lim="400000"/>
          </w14:textOutline>
        </w:rPr>
      </w:pPr>
    </w:p>
    <w:p w14:paraId="28B4DA48" w14:textId="3D26B28E" w:rsidR="00F74B03" w:rsidRDefault="00F74B03">
      <w:pPr>
        <w:pStyle w:val="Body"/>
        <w:spacing w:line="276" w:lineRule="auto"/>
        <w:rPr>
          <w:b/>
          <w:bCs/>
          <w14:textOutline w14:w="12700" w14:cap="flat" w14:cmpd="sng" w14:algn="ctr">
            <w14:noFill/>
            <w14:prstDash w14:val="solid"/>
            <w14:miter w14:lim="400000"/>
          </w14:textOutline>
        </w:rPr>
      </w:pPr>
    </w:p>
    <w:p w14:paraId="109CC67C" w14:textId="69772ECE" w:rsidR="00F74B03" w:rsidRDefault="00F74B03">
      <w:pPr>
        <w:pStyle w:val="Body"/>
        <w:spacing w:line="276" w:lineRule="auto"/>
        <w:rPr>
          <w:b/>
          <w:bCs/>
          <w14:textOutline w14:w="12700" w14:cap="flat" w14:cmpd="sng" w14:algn="ctr">
            <w14:noFill/>
            <w14:prstDash w14:val="solid"/>
            <w14:miter w14:lim="400000"/>
          </w14:textOutline>
        </w:rPr>
      </w:pPr>
    </w:p>
    <w:p w14:paraId="1C4B71AD" w14:textId="1554AF59" w:rsidR="00F74B03" w:rsidRDefault="00F74B03">
      <w:pPr>
        <w:pStyle w:val="Body"/>
        <w:spacing w:line="276" w:lineRule="auto"/>
        <w:rPr>
          <w:b/>
          <w:bCs/>
          <w14:textOutline w14:w="12700" w14:cap="flat" w14:cmpd="sng" w14:algn="ctr">
            <w14:noFill/>
            <w14:prstDash w14:val="solid"/>
            <w14:miter w14:lim="400000"/>
          </w14:textOutline>
        </w:rPr>
      </w:pPr>
    </w:p>
    <w:p w14:paraId="6CD7B754" w14:textId="2AA11517" w:rsidR="00F74B03" w:rsidRDefault="00F74B03">
      <w:pPr>
        <w:pStyle w:val="Body"/>
        <w:spacing w:line="276" w:lineRule="auto"/>
        <w:rPr>
          <w:b/>
          <w:bCs/>
          <w14:textOutline w14:w="12700" w14:cap="flat" w14:cmpd="sng" w14:algn="ctr">
            <w14:noFill/>
            <w14:prstDash w14:val="solid"/>
            <w14:miter w14:lim="400000"/>
          </w14:textOutline>
        </w:rPr>
      </w:pPr>
    </w:p>
    <w:p w14:paraId="00B2EBB3" w14:textId="6B08EB6C" w:rsidR="00F74B03" w:rsidRDefault="00F74B03">
      <w:pPr>
        <w:pStyle w:val="Body"/>
        <w:spacing w:line="276" w:lineRule="auto"/>
        <w:rPr>
          <w:b/>
          <w:bCs/>
          <w14:textOutline w14:w="12700" w14:cap="flat" w14:cmpd="sng" w14:algn="ctr">
            <w14:noFill/>
            <w14:prstDash w14:val="solid"/>
            <w14:miter w14:lim="400000"/>
          </w14:textOutline>
        </w:rPr>
      </w:pPr>
    </w:p>
    <w:p w14:paraId="503C6D52" w14:textId="393AB523" w:rsidR="00F74B03" w:rsidRDefault="00F74B03">
      <w:pPr>
        <w:pStyle w:val="Body"/>
        <w:spacing w:line="276" w:lineRule="auto"/>
        <w:rPr>
          <w:b/>
          <w:bCs/>
          <w14:textOutline w14:w="12700" w14:cap="flat" w14:cmpd="sng" w14:algn="ctr">
            <w14:noFill/>
            <w14:prstDash w14:val="solid"/>
            <w14:miter w14:lim="400000"/>
          </w14:textOutline>
        </w:rPr>
      </w:pPr>
    </w:p>
    <w:p w14:paraId="1C43CB18" w14:textId="6FD32737" w:rsidR="00F74B03" w:rsidRDefault="00F74B03">
      <w:pPr>
        <w:pStyle w:val="Body"/>
        <w:spacing w:line="276" w:lineRule="auto"/>
        <w:rPr>
          <w:b/>
          <w:bCs/>
          <w14:textOutline w14:w="12700" w14:cap="flat" w14:cmpd="sng" w14:algn="ctr">
            <w14:noFill/>
            <w14:prstDash w14:val="solid"/>
            <w14:miter w14:lim="400000"/>
          </w14:textOutline>
        </w:rPr>
      </w:pPr>
    </w:p>
    <w:p w14:paraId="12945E79" w14:textId="60F8F43D" w:rsidR="00F74B03" w:rsidRDefault="00F74B03">
      <w:pPr>
        <w:pStyle w:val="Body"/>
        <w:spacing w:line="276" w:lineRule="auto"/>
        <w:rPr>
          <w:b/>
          <w:bCs/>
          <w14:textOutline w14:w="12700" w14:cap="flat" w14:cmpd="sng" w14:algn="ctr">
            <w14:noFill/>
            <w14:prstDash w14:val="solid"/>
            <w14:miter w14:lim="400000"/>
          </w14:textOutline>
        </w:rPr>
      </w:pPr>
    </w:p>
    <w:p w14:paraId="49BEAF69" w14:textId="335C3486" w:rsidR="00F74B03" w:rsidRDefault="00F74B03">
      <w:pPr>
        <w:pStyle w:val="Body"/>
        <w:spacing w:line="276" w:lineRule="auto"/>
        <w:rPr>
          <w:b/>
          <w:bCs/>
          <w14:textOutline w14:w="12700" w14:cap="flat" w14:cmpd="sng" w14:algn="ctr">
            <w14:noFill/>
            <w14:prstDash w14:val="solid"/>
            <w14:miter w14:lim="400000"/>
          </w14:textOutline>
        </w:rPr>
      </w:pPr>
    </w:p>
    <w:p w14:paraId="4DC83850" w14:textId="77777777" w:rsidR="0034671F" w:rsidRDefault="0034671F">
      <w:pPr>
        <w:pStyle w:val="Body"/>
        <w:spacing w:line="276" w:lineRule="auto"/>
        <w:rPr>
          <w:b/>
          <w:bCs/>
          <w14:textOutline w14:w="12700" w14:cap="flat" w14:cmpd="sng" w14:algn="ctr">
            <w14:noFill/>
            <w14:prstDash w14:val="solid"/>
            <w14:miter w14:lim="400000"/>
          </w14:textOutline>
        </w:rPr>
      </w:pPr>
    </w:p>
    <w:p w14:paraId="732917BE" w14:textId="77777777" w:rsidR="003B207D" w:rsidRDefault="00C96635" w:rsidP="006A43BB">
      <w:pPr>
        <w:pStyle w:val="Body"/>
        <w:spacing w:line="360" w:lineRule="auto"/>
        <w:jc w:val="both"/>
        <w:rPr>
          <w:b/>
          <w:bCs/>
        </w:rPr>
      </w:pPr>
      <w:r w:rsidRPr="006A43BB">
        <w:rPr>
          <w:b/>
          <w:bCs/>
        </w:rPr>
        <w:lastRenderedPageBreak/>
        <w:t>Abstract</w:t>
      </w:r>
    </w:p>
    <w:p w14:paraId="732917BF" w14:textId="77777777" w:rsidR="003B207D" w:rsidRDefault="003B207D" w:rsidP="006A43BB">
      <w:pPr>
        <w:pStyle w:val="Body"/>
        <w:spacing w:line="360" w:lineRule="auto"/>
        <w:jc w:val="both"/>
        <w:rPr>
          <w:b/>
          <w:bCs/>
        </w:rPr>
      </w:pPr>
    </w:p>
    <w:p w14:paraId="6712FC12" w14:textId="0356C52B" w:rsidR="00E02ADB" w:rsidRDefault="00C96635" w:rsidP="006A43BB">
      <w:pPr>
        <w:pStyle w:val="Body"/>
        <w:spacing w:line="360" w:lineRule="auto"/>
        <w:jc w:val="both"/>
        <w:rPr>
          <w:rStyle w:val="NoneA"/>
          <w:rFonts w:cs="Times New Roman"/>
          <w:color w:val="auto"/>
          <w:lang w:eastAsia="en-US"/>
          <w14:textOutline w14:w="0" w14:cap="rnd" w14:cmpd="sng" w14:algn="ctr">
            <w14:noFill/>
            <w14:prstDash w14:val="solid"/>
            <w14:bevel/>
          </w14:textOutline>
        </w:rPr>
      </w:pPr>
      <w:r>
        <w:rPr>
          <w:rStyle w:val="NoneA"/>
        </w:rPr>
        <w:t>It has been generally accepted that nowadays corporations obtained more political and financial power than States. Considering controversial legal nature of this multinational entities there is currently no enforceable legal mechanism that can hold them accountable for human rights violations. Existing regulatory initiatives proved to be weak and ineffective with no binding power to impose human rights obligations on corporations. However, close examination and analyses of positive international law doctrine demonstrates that it is possible to hold corporations accountable under binding Business and Human Rights Treaty. The modern debate on binding human rights instrument was triggered by the proposal initiated by some states, initially by South Africa and Ecuador.</w:t>
      </w:r>
    </w:p>
    <w:p w14:paraId="732917C1" w14:textId="42DF4E4C" w:rsidR="003B207D" w:rsidRDefault="00E02ADB" w:rsidP="006A43BB">
      <w:pPr>
        <w:pStyle w:val="Body"/>
        <w:spacing w:line="360" w:lineRule="auto"/>
        <w:jc w:val="both"/>
        <w:rPr>
          <w:rStyle w:val="NoneA"/>
        </w:rPr>
      </w:pPr>
      <w:r>
        <w:rPr>
          <w:rStyle w:val="NoneA"/>
        </w:rPr>
        <w:t>This dissertation discusse</w:t>
      </w:r>
      <w:r w:rsidR="001A5748">
        <w:rPr>
          <w:rStyle w:val="NoneA"/>
        </w:rPr>
        <w:t>s</w:t>
      </w:r>
      <w:r>
        <w:rPr>
          <w:rStyle w:val="NoneA"/>
        </w:rPr>
        <w:t xml:space="preserve"> whether the binding Business and Human Rights Treaty is necessary </w:t>
      </w:r>
      <w:r w:rsidR="005F3263">
        <w:rPr>
          <w:rStyle w:val="NoneA"/>
        </w:rPr>
        <w:t xml:space="preserve">in order to hold corporations accountable under international law. First part addresses </w:t>
      </w:r>
      <w:r w:rsidR="00321426">
        <w:rPr>
          <w:rStyle w:val="NoneA"/>
        </w:rPr>
        <w:t>historical development of business and human rights debate</w:t>
      </w:r>
      <w:r w:rsidR="00ED6235">
        <w:rPr>
          <w:rStyle w:val="NoneA"/>
        </w:rPr>
        <w:t>,</w:t>
      </w:r>
      <w:r w:rsidR="00DE5DD4">
        <w:rPr>
          <w:rStyle w:val="NoneA"/>
        </w:rPr>
        <w:t xml:space="preserve"> inter alia, codes of conduct and existing human rights initiatives. Se</w:t>
      </w:r>
      <w:r w:rsidR="00ED6235">
        <w:rPr>
          <w:rStyle w:val="NoneA"/>
        </w:rPr>
        <w:t>cond part of this research analyses direct and indirect approach</w:t>
      </w:r>
      <w:r w:rsidR="009C423D">
        <w:rPr>
          <w:rStyle w:val="NoneA"/>
        </w:rPr>
        <w:t>es includ</w:t>
      </w:r>
      <w:r w:rsidR="00F860FF">
        <w:rPr>
          <w:rStyle w:val="NoneA"/>
        </w:rPr>
        <w:t>ing</w:t>
      </w:r>
      <w:r w:rsidR="009C423D">
        <w:rPr>
          <w:rStyle w:val="NoneA"/>
        </w:rPr>
        <w:t xml:space="preserve"> comprehensive examination of corporate accountability and responsibility of states to protect human rights. Final part of this research is focused on the discussion in relation to the possibility of the adoption of binding international treaty, </w:t>
      </w:r>
      <w:r w:rsidR="00C3433D">
        <w:rPr>
          <w:rStyle w:val="NoneA"/>
        </w:rPr>
        <w:t xml:space="preserve">including content, limitations and recommendations for the future research. </w:t>
      </w:r>
      <w:r w:rsidR="00E4271F">
        <w:rPr>
          <w:rStyle w:val="NoneA"/>
        </w:rPr>
        <w:t xml:space="preserve">This part argues that Business and Human Rights Treaty is a necessary instrument that needs to be urgently considered and adopted by international community. </w:t>
      </w:r>
    </w:p>
    <w:p w14:paraId="37272CBF" w14:textId="74EC7DFD" w:rsidR="00E02ADB" w:rsidRDefault="00E02ADB" w:rsidP="006A43BB">
      <w:pPr>
        <w:pStyle w:val="Body"/>
        <w:spacing w:line="360" w:lineRule="auto"/>
        <w:jc w:val="both"/>
        <w:rPr>
          <w:rStyle w:val="NoneA"/>
        </w:rPr>
      </w:pPr>
    </w:p>
    <w:p w14:paraId="2FAA549D" w14:textId="347CCEB2" w:rsidR="00E02ADB" w:rsidRDefault="00E02ADB" w:rsidP="006A43BB">
      <w:pPr>
        <w:pStyle w:val="Body"/>
        <w:spacing w:line="360" w:lineRule="auto"/>
        <w:jc w:val="both"/>
        <w:rPr>
          <w:rStyle w:val="NoneA"/>
        </w:rPr>
      </w:pPr>
    </w:p>
    <w:p w14:paraId="43CFF7F5" w14:textId="77777777" w:rsidR="00E02ADB" w:rsidRDefault="00E02ADB" w:rsidP="006A43BB">
      <w:pPr>
        <w:pStyle w:val="Body"/>
        <w:spacing w:line="360" w:lineRule="auto"/>
        <w:jc w:val="both"/>
        <w:rPr>
          <w:b/>
          <w:bCs/>
        </w:rPr>
      </w:pPr>
    </w:p>
    <w:p w14:paraId="732917C5" w14:textId="77777777" w:rsidR="003B207D" w:rsidRDefault="00C96635" w:rsidP="006A43BB">
      <w:pPr>
        <w:pStyle w:val="Body"/>
        <w:spacing w:line="360" w:lineRule="auto"/>
        <w:jc w:val="both"/>
        <w:rPr>
          <w:b/>
          <w:bCs/>
        </w:rPr>
      </w:pPr>
      <w:r>
        <w:rPr>
          <w:b/>
          <w:bCs/>
          <w:lang w:val="en-US"/>
        </w:rPr>
        <w:t xml:space="preserve">Keywords: </w:t>
      </w:r>
    </w:p>
    <w:p w14:paraId="732917C7" w14:textId="77777777" w:rsidR="003B207D" w:rsidRDefault="00C96635" w:rsidP="006A43BB">
      <w:pPr>
        <w:pStyle w:val="Body"/>
        <w:spacing w:line="360" w:lineRule="auto"/>
        <w:jc w:val="both"/>
        <w:rPr>
          <w:rStyle w:val="NoneA"/>
          <w:rFonts w:cs="Times New Roman"/>
          <w:color w:val="auto"/>
          <w:lang w:eastAsia="en-US"/>
          <w14:textOutline w14:w="0" w14:cap="rnd" w14:cmpd="sng" w14:algn="ctr">
            <w14:noFill/>
            <w14:prstDash w14:val="solid"/>
            <w14:bevel/>
          </w14:textOutline>
        </w:rPr>
      </w:pPr>
      <w:r>
        <w:rPr>
          <w:rStyle w:val="NoneA"/>
        </w:rPr>
        <w:t xml:space="preserve">Human rights, corporations, business, due diligence, binding treaty </w:t>
      </w:r>
    </w:p>
    <w:p w14:paraId="732917C8" w14:textId="77777777" w:rsidR="003B207D" w:rsidRDefault="003B207D">
      <w:pPr>
        <w:pStyle w:val="Body"/>
        <w:jc w:val="both"/>
        <w:rPr>
          <w:b/>
          <w:bCs/>
        </w:rPr>
      </w:pPr>
    </w:p>
    <w:p w14:paraId="732917C9" w14:textId="77777777" w:rsidR="003B207D" w:rsidRDefault="003B207D">
      <w:pPr>
        <w:pStyle w:val="Body"/>
        <w:jc w:val="both"/>
        <w:rPr>
          <w:b/>
          <w:bCs/>
        </w:rPr>
      </w:pPr>
    </w:p>
    <w:p w14:paraId="732917CA" w14:textId="77777777" w:rsidR="003B207D" w:rsidRDefault="003B207D">
      <w:pPr>
        <w:pStyle w:val="Body"/>
        <w:jc w:val="both"/>
        <w:rPr>
          <w:b/>
          <w:bCs/>
        </w:rPr>
      </w:pPr>
    </w:p>
    <w:p w14:paraId="732917CB" w14:textId="77777777" w:rsidR="003B207D" w:rsidRDefault="003B207D">
      <w:pPr>
        <w:pStyle w:val="Body"/>
        <w:jc w:val="both"/>
        <w:rPr>
          <w:b/>
          <w:bCs/>
        </w:rPr>
      </w:pPr>
    </w:p>
    <w:p w14:paraId="732917CC" w14:textId="77777777" w:rsidR="003B207D" w:rsidRDefault="003B207D">
      <w:pPr>
        <w:pStyle w:val="Body"/>
        <w:jc w:val="both"/>
        <w:rPr>
          <w:b/>
          <w:bCs/>
        </w:rPr>
      </w:pPr>
    </w:p>
    <w:p w14:paraId="732917CD" w14:textId="77777777" w:rsidR="003B207D" w:rsidRDefault="003B207D">
      <w:pPr>
        <w:pStyle w:val="Body"/>
        <w:jc w:val="both"/>
        <w:rPr>
          <w:b/>
          <w:bCs/>
        </w:rPr>
      </w:pPr>
    </w:p>
    <w:p w14:paraId="732917D3" w14:textId="77777777" w:rsidR="003B207D" w:rsidRDefault="003B207D">
      <w:pPr>
        <w:pStyle w:val="Body"/>
        <w:jc w:val="both"/>
        <w:rPr>
          <w:b/>
          <w:bCs/>
        </w:rPr>
      </w:pPr>
    </w:p>
    <w:p w14:paraId="732917D4" w14:textId="77777777" w:rsidR="003B207D" w:rsidRDefault="003B207D">
      <w:pPr>
        <w:pStyle w:val="Body"/>
        <w:jc w:val="both"/>
        <w:rPr>
          <w:b/>
          <w:bCs/>
        </w:rPr>
      </w:pPr>
    </w:p>
    <w:p w14:paraId="732917D5" w14:textId="77777777" w:rsidR="003B207D" w:rsidRDefault="003B207D">
      <w:pPr>
        <w:pStyle w:val="Body"/>
        <w:jc w:val="both"/>
        <w:rPr>
          <w:b/>
          <w:bCs/>
        </w:rPr>
      </w:pPr>
    </w:p>
    <w:p w14:paraId="00196F11" w14:textId="6AC6A1DC" w:rsidR="00323298" w:rsidRDefault="00323298">
      <w:pPr>
        <w:pStyle w:val="Body"/>
        <w:jc w:val="both"/>
        <w:rPr>
          <w:b/>
          <w:bCs/>
        </w:rPr>
      </w:pPr>
    </w:p>
    <w:p w14:paraId="613C6816" w14:textId="77777777" w:rsidR="00323298" w:rsidRDefault="00323298">
      <w:pPr>
        <w:pStyle w:val="Body"/>
        <w:jc w:val="both"/>
        <w:rPr>
          <w:b/>
          <w:bCs/>
        </w:rPr>
      </w:pPr>
    </w:p>
    <w:p w14:paraId="7DA3904D" w14:textId="77777777" w:rsidR="00D845CA" w:rsidRDefault="00D845CA" w:rsidP="006A43BB">
      <w:pPr>
        <w:pStyle w:val="Body"/>
        <w:spacing w:line="360" w:lineRule="auto"/>
        <w:jc w:val="both"/>
        <w:rPr>
          <w:rFonts w:cs="Times New Roman"/>
          <w:b/>
          <w:bCs/>
          <w:lang w:val="en-US"/>
        </w:rPr>
        <w:sectPr w:rsidR="00D845CA" w:rsidSect="0071638A">
          <w:footerReference w:type="default" r:id="rId13"/>
          <w:pgSz w:w="11900" w:h="16840"/>
          <w:pgMar w:top="1440" w:right="1440" w:bottom="1440" w:left="1440" w:header="720" w:footer="720" w:gutter="0"/>
          <w:pgNumType w:start="1"/>
          <w:cols w:space="720"/>
        </w:sectPr>
      </w:pPr>
    </w:p>
    <w:p w14:paraId="732917E8" w14:textId="09CC4C9B" w:rsidR="003B207D" w:rsidRPr="006A43BB" w:rsidRDefault="00C96635" w:rsidP="006A43BB">
      <w:pPr>
        <w:pStyle w:val="Body"/>
        <w:spacing w:line="360" w:lineRule="auto"/>
        <w:jc w:val="both"/>
        <w:rPr>
          <w:rFonts w:cs="Times New Roman"/>
          <w:b/>
          <w:bCs/>
        </w:rPr>
      </w:pPr>
      <w:r w:rsidRPr="006A43BB">
        <w:rPr>
          <w:rFonts w:cs="Times New Roman"/>
          <w:b/>
          <w:bCs/>
          <w:lang w:val="en-US"/>
        </w:rPr>
        <w:lastRenderedPageBreak/>
        <w:t>I Introduction</w:t>
      </w:r>
    </w:p>
    <w:p w14:paraId="732917E9" w14:textId="77777777" w:rsidR="003B207D" w:rsidRPr="006A43BB" w:rsidRDefault="003B207D" w:rsidP="006A43BB">
      <w:pPr>
        <w:pStyle w:val="Body"/>
        <w:spacing w:line="360" w:lineRule="auto"/>
        <w:jc w:val="both"/>
        <w:rPr>
          <w:rStyle w:val="NoneA"/>
          <w:rFonts w:cs="Times New Roman"/>
        </w:rPr>
      </w:pPr>
    </w:p>
    <w:p w14:paraId="732917EA" w14:textId="3389A57F" w:rsidR="003B207D" w:rsidRPr="006A43BB" w:rsidRDefault="00C96635" w:rsidP="006A43BB">
      <w:pPr>
        <w:pStyle w:val="Body"/>
        <w:numPr>
          <w:ilvl w:val="1"/>
          <w:numId w:val="17"/>
        </w:numPr>
        <w:spacing w:line="360" w:lineRule="auto"/>
        <w:jc w:val="both"/>
        <w:rPr>
          <w:rFonts w:cs="Times New Roman"/>
          <w:b/>
          <w:bCs/>
          <w:lang w:val="en-US"/>
        </w:rPr>
      </w:pPr>
      <w:r w:rsidRPr="006A43BB">
        <w:rPr>
          <w:rStyle w:val="NoneA"/>
          <w:rFonts w:cs="Times New Roman"/>
          <w:b/>
          <w:bCs/>
        </w:rPr>
        <w:t xml:space="preserve">General Background </w:t>
      </w:r>
    </w:p>
    <w:p w14:paraId="732917EB" w14:textId="77777777" w:rsidR="003B207D" w:rsidRPr="006A43BB" w:rsidRDefault="003B207D" w:rsidP="006A43BB">
      <w:pPr>
        <w:pStyle w:val="Body"/>
        <w:spacing w:line="360" w:lineRule="auto"/>
        <w:ind w:left="65"/>
        <w:jc w:val="both"/>
        <w:rPr>
          <w:rStyle w:val="NoneA"/>
          <w:rFonts w:cs="Times New Roman"/>
        </w:rPr>
      </w:pPr>
    </w:p>
    <w:p w14:paraId="732917EC" w14:textId="77777777" w:rsidR="003B207D" w:rsidRPr="006A43BB" w:rsidRDefault="00C96635" w:rsidP="006A43BB">
      <w:pPr>
        <w:pStyle w:val="Body"/>
        <w:spacing w:line="360" w:lineRule="auto"/>
        <w:ind w:left="65"/>
        <w:jc w:val="both"/>
        <w:rPr>
          <w:rStyle w:val="NoneA"/>
          <w:rFonts w:cs="Times New Roman"/>
        </w:rPr>
      </w:pPr>
      <w:r w:rsidRPr="00323298">
        <w:rPr>
          <w:rStyle w:val="NoneA"/>
          <w:rFonts w:cs="Times New Roman"/>
          <w:rtl/>
        </w:rPr>
        <w:t>‘</w:t>
      </w:r>
      <w:r w:rsidRPr="006A43BB">
        <w:rPr>
          <w:rStyle w:val="NoneA"/>
          <w:rFonts w:cs="Times New Roman"/>
        </w:rPr>
        <w:t>Where there is great power, there is great responsibility..</w:t>
      </w:r>
      <w:r w:rsidRPr="00323298">
        <w:rPr>
          <w:rStyle w:val="NoneA"/>
          <w:rFonts w:cs="Times New Roman"/>
          <w:rtl/>
        </w:rPr>
        <w:t xml:space="preserve">’ </w:t>
      </w:r>
      <w:r w:rsidRPr="006A43BB">
        <w:rPr>
          <w:rStyle w:val="NoneA"/>
          <w:rFonts w:cs="Times New Roman"/>
        </w:rPr>
        <w:t>- Winston Churchill.</w:t>
      </w:r>
      <w:r w:rsidRPr="006A43BB">
        <w:rPr>
          <w:rStyle w:val="FootnoteReference"/>
          <w:rFonts w:cs="Times New Roman"/>
        </w:rPr>
        <w:footnoteReference w:id="2"/>
      </w:r>
      <w:r w:rsidRPr="006A43BB">
        <w:rPr>
          <w:rStyle w:val="NoneA"/>
          <w:rFonts w:cs="Times New Roman"/>
        </w:rPr>
        <w:t xml:space="preserve"> </w:t>
      </w:r>
    </w:p>
    <w:p w14:paraId="732917ED" w14:textId="77777777" w:rsidR="003B207D" w:rsidRPr="006A43BB" w:rsidRDefault="003B207D" w:rsidP="006A43BB">
      <w:pPr>
        <w:pStyle w:val="Body"/>
        <w:spacing w:line="360" w:lineRule="auto"/>
        <w:jc w:val="both"/>
        <w:rPr>
          <w:rFonts w:cs="Times New Roman"/>
          <w:b/>
          <w:bCs/>
        </w:rPr>
      </w:pPr>
    </w:p>
    <w:p w14:paraId="732917EE" w14:textId="299B0D2C" w:rsidR="003B207D" w:rsidRPr="006A43BB" w:rsidRDefault="00C96635" w:rsidP="006A43BB">
      <w:pPr>
        <w:pStyle w:val="Body"/>
        <w:spacing w:line="360" w:lineRule="auto"/>
        <w:jc w:val="both"/>
        <w:rPr>
          <w:rStyle w:val="NoneA"/>
          <w:rFonts w:cs="Times New Roman"/>
        </w:rPr>
      </w:pPr>
      <w:r w:rsidRPr="006A43BB">
        <w:rPr>
          <w:rStyle w:val="NoneA"/>
          <w:rFonts w:cs="Times New Roman"/>
        </w:rPr>
        <w:t>Business is the main source of investment</w:t>
      </w:r>
      <w:r w:rsidR="00FB5435">
        <w:rPr>
          <w:rStyle w:val="NoneA"/>
          <w:rFonts w:cs="Times New Roman"/>
        </w:rPr>
        <w:t>,</w:t>
      </w:r>
      <w:r w:rsidRPr="006A43BB">
        <w:rPr>
          <w:rStyle w:val="NoneA"/>
          <w:rFonts w:cs="Times New Roman"/>
        </w:rPr>
        <w:t xml:space="preserve"> </w:t>
      </w:r>
      <w:r w:rsidR="00FB5435">
        <w:rPr>
          <w:rStyle w:val="NoneA"/>
          <w:rFonts w:cs="Times New Roman"/>
        </w:rPr>
        <w:t>i</w:t>
      </w:r>
      <w:r w:rsidRPr="006A43BB">
        <w:rPr>
          <w:rStyle w:val="NoneA"/>
          <w:rFonts w:cs="Times New Roman"/>
        </w:rPr>
        <w:t>t establishes powerful and influential forces which are generating reduction of poverty, economic growth and enlarging the need for the rule of law thereby making a contribution to the broad area of human rights.</w:t>
      </w:r>
      <w:r w:rsidRPr="006A43BB">
        <w:rPr>
          <w:rStyle w:val="FootnoteReference"/>
          <w:rFonts w:cs="Times New Roman"/>
        </w:rPr>
        <w:footnoteReference w:id="3"/>
      </w:r>
      <w:r w:rsidRPr="006A43BB">
        <w:rPr>
          <w:rStyle w:val="NoneA"/>
          <w:rFonts w:cs="Times New Roman"/>
        </w:rPr>
        <w:t xml:space="preserve"> Markets themselves have the potential to survive, when society expects them to regulate the impacts of market dynamics and economic growth. History shows that this process is vital, however at the same time it is the greatest risk to society. Thus, there are issues related to how the effective human rights protection can be established in the context of modern economic battle.</w:t>
      </w:r>
      <w:r w:rsidRPr="006A43BB">
        <w:rPr>
          <w:rStyle w:val="FootnoteReference"/>
          <w:rFonts w:cs="Times New Roman"/>
        </w:rPr>
        <w:footnoteReference w:id="4"/>
      </w:r>
    </w:p>
    <w:p w14:paraId="59B65DB3" w14:textId="77777777" w:rsidR="00323298" w:rsidRPr="006A43BB" w:rsidRDefault="00323298" w:rsidP="006A43BB">
      <w:pPr>
        <w:pStyle w:val="Body"/>
        <w:spacing w:line="360" w:lineRule="auto"/>
        <w:jc w:val="both"/>
        <w:rPr>
          <w:rStyle w:val="NoneA"/>
          <w:rFonts w:cs="Times New Roman"/>
        </w:rPr>
      </w:pPr>
    </w:p>
    <w:p w14:paraId="732917F0" w14:textId="68519080" w:rsidR="003B207D" w:rsidRPr="006A43BB" w:rsidRDefault="00C96635" w:rsidP="006A43BB">
      <w:pPr>
        <w:pStyle w:val="Body"/>
        <w:spacing w:line="360" w:lineRule="auto"/>
        <w:jc w:val="both"/>
        <w:rPr>
          <w:rStyle w:val="NoneA"/>
          <w:rFonts w:cs="Times New Roman"/>
        </w:rPr>
      </w:pPr>
      <w:proofErr w:type="spellStart"/>
      <w:r w:rsidRPr="006A43BB">
        <w:rPr>
          <w:rStyle w:val="NoneA"/>
          <w:rFonts w:cs="Times New Roman"/>
        </w:rPr>
        <w:t>Globalisation</w:t>
      </w:r>
      <w:proofErr w:type="spellEnd"/>
      <w:r w:rsidRPr="006A43BB">
        <w:rPr>
          <w:rStyle w:val="NoneA"/>
          <w:rFonts w:cs="Times New Roman"/>
        </w:rPr>
        <w:t xml:space="preserve"> has had a considerable impact on human rights. Modern international law expanded human rights debate not only to individuals and states but to economic activities of corporations (hereinafter - </w:t>
      </w:r>
      <w:r w:rsidRPr="00323298">
        <w:rPr>
          <w:rStyle w:val="NoneA"/>
          <w:rFonts w:cs="Times New Roman"/>
          <w:rtl/>
          <w:lang w:val="ar-SA"/>
        </w:rPr>
        <w:t>“</w:t>
      </w:r>
      <w:r w:rsidRPr="006A43BB">
        <w:rPr>
          <w:rStyle w:val="NoneA"/>
          <w:rFonts w:cs="Times New Roman"/>
        </w:rPr>
        <w:t>TNC</w:t>
      </w:r>
      <w:r w:rsidRPr="00323298">
        <w:rPr>
          <w:rStyle w:val="NoneA"/>
          <w:rFonts w:cs="Times New Roman"/>
          <w:rtl/>
        </w:rPr>
        <w:t>’</w:t>
      </w:r>
      <w:r w:rsidRPr="006A43BB">
        <w:rPr>
          <w:rStyle w:val="NoneA"/>
          <w:rFonts w:cs="Times New Roman"/>
        </w:rPr>
        <w:t>s”,</w:t>
      </w:r>
      <w:r w:rsidRPr="00323298">
        <w:rPr>
          <w:rStyle w:val="NoneA"/>
          <w:rFonts w:cs="Times New Roman"/>
          <w:rtl/>
          <w:lang w:val="ar-SA"/>
        </w:rPr>
        <w:t>“</w:t>
      </w:r>
      <w:r w:rsidRPr="006A43BB">
        <w:rPr>
          <w:rStyle w:val="NoneA"/>
          <w:rFonts w:cs="Times New Roman"/>
        </w:rPr>
        <w:t>MNC</w:t>
      </w:r>
      <w:r w:rsidRPr="00323298">
        <w:rPr>
          <w:rStyle w:val="NoneA"/>
          <w:rFonts w:cs="Times New Roman"/>
          <w:rtl/>
        </w:rPr>
        <w:t>’</w:t>
      </w:r>
      <w:r w:rsidRPr="006A43BB">
        <w:rPr>
          <w:rStyle w:val="NoneA"/>
          <w:rFonts w:cs="Times New Roman"/>
        </w:rPr>
        <w:t>s).</w:t>
      </w:r>
      <w:r w:rsidRPr="006A43BB">
        <w:rPr>
          <w:rStyle w:val="FootnoteReference"/>
          <w:rFonts w:cs="Times New Roman"/>
        </w:rPr>
        <w:footnoteReference w:id="5"/>
      </w:r>
      <w:r w:rsidRPr="006A43BB">
        <w:rPr>
          <w:rStyle w:val="NoneA"/>
          <w:rFonts w:cs="Times New Roman"/>
        </w:rPr>
        <w:t xml:space="preserve"> The persistence of an improved regulation of the activities of corporations has followed the justification of </w:t>
      </w:r>
      <w:r w:rsidRPr="00323298">
        <w:rPr>
          <w:rStyle w:val="NoneA"/>
          <w:rFonts w:cs="Times New Roman"/>
          <w:rtl/>
          <w:lang w:val="ar-SA"/>
        </w:rPr>
        <w:t>“</w:t>
      </w:r>
      <w:r w:rsidRPr="006A43BB">
        <w:rPr>
          <w:rStyle w:val="NoneA"/>
          <w:rFonts w:cs="Times New Roman"/>
        </w:rPr>
        <w:t>New International Economic Order”.</w:t>
      </w:r>
      <w:r w:rsidRPr="006A43BB">
        <w:rPr>
          <w:rStyle w:val="FootnoteReference"/>
          <w:rFonts w:cs="Times New Roman"/>
        </w:rPr>
        <w:footnoteReference w:id="6"/>
      </w:r>
      <w:r w:rsidRPr="006A43BB">
        <w:rPr>
          <w:rStyle w:val="NoneA"/>
          <w:rFonts w:cs="Times New Roman"/>
        </w:rPr>
        <w:t xml:space="preserve"> The fact that multinational corporations repeatedly violate human rights is not ignored under international law, however there are no direct </w:t>
      </w:r>
      <w:r w:rsidR="00B92362">
        <w:rPr>
          <w:rStyle w:val="NoneA"/>
          <w:rFonts w:cs="Times New Roman"/>
        </w:rPr>
        <w:t>obligations</w:t>
      </w:r>
      <w:r w:rsidRPr="006A43BB">
        <w:rPr>
          <w:rStyle w:val="NoneA"/>
          <w:rFonts w:cs="Times New Roman"/>
        </w:rPr>
        <w:t xml:space="preserve"> imposed on them for such actions. Instead, international law puts responsibility on states to regulate activities of corporations.</w:t>
      </w:r>
      <w:r w:rsidRPr="006A43BB">
        <w:rPr>
          <w:rStyle w:val="FootnoteReference"/>
          <w:rFonts w:cs="Times New Roman"/>
        </w:rPr>
        <w:footnoteReference w:id="7"/>
      </w:r>
      <w:r w:rsidRPr="006A43BB">
        <w:rPr>
          <w:rStyle w:val="NoneA"/>
          <w:rFonts w:cs="Times New Roman"/>
        </w:rPr>
        <w:t xml:space="preserve"> </w:t>
      </w:r>
    </w:p>
    <w:p w14:paraId="732917F1" w14:textId="77777777" w:rsidR="003B207D" w:rsidRPr="006A43BB" w:rsidRDefault="003B207D" w:rsidP="006A43BB">
      <w:pPr>
        <w:pStyle w:val="Body"/>
        <w:spacing w:line="360" w:lineRule="auto"/>
        <w:jc w:val="both"/>
        <w:rPr>
          <w:rStyle w:val="NoneA"/>
          <w:rFonts w:cs="Times New Roman"/>
        </w:rPr>
      </w:pPr>
    </w:p>
    <w:p w14:paraId="732917F2" w14:textId="63B37500" w:rsidR="003B207D" w:rsidRPr="006A43BB" w:rsidRDefault="00C96635" w:rsidP="006A43BB">
      <w:pPr>
        <w:pStyle w:val="Body"/>
        <w:spacing w:line="360" w:lineRule="auto"/>
        <w:jc w:val="both"/>
        <w:rPr>
          <w:rStyle w:val="NoneA"/>
          <w:rFonts w:cs="Times New Roman"/>
        </w:rPr>
      </w:pPr>
      <w:r w:rsidRPr="006A43BB">
        <w:rPr>
          <w:rStyle w:val="NoneA"/>
          <w:rFonts w:cs="Times New Roman"/>
        </w:rPr>
        <w:t>International law traditionally has regulated activities only between states and corporations were not viewed as subjects under international law. This means that only states had duties and obligations to protect human rights.</w:t>
      </w:r>
      <w:r w:rsidRPr="006A43BB">
        <w:rPr>
          <w:rStyle w:val="FootnoteReference"/>
          <w:rFonts w:cs="Times New Roman"/>
        </w:rPr>
        <w:footnoteReference w:id="8"/>
      </w:r>
      <w:r w:rsidRPr="006A43BB">
        <w:rPr>
          <w:rStyle w:val="NoneA"/>
          <w:rFonts w:cs="Times New Roman"/>
        </w:rPr>
        <w:t xml:space="preserve"> If under international law states have responsibilities to respect human rights, then corporations should have the same duties towards the international community and could be indirectly brought to accountability.</w:t>
      </w:r>
      <w:r w:rsidRPr="006A43BB">
        <w:rPr>
          <w:rStyle w:val="FootnoteReference"/>
          <w:rFonts w:cs="Times New Roman"/>
        </w:rPr>
        <w:footnoteReference w:id="9"/>
      </w:r>
      <w:r w:rsidRPr="006A43BB">
        <w:rPr>
          <w:rStyle w:val="NoneA"/>
          <w:rFonts w:cs="Times New Roman"/>
        </w:rPr>
        <w:t xml:space="preserve"> </w:t>
      </w:r>
    </w:p>
    <w:p w14:paraId="732917F3" w14:textId="77777777" w:rsidR="003B207D" w:rsidRPr="006A43BB" w:rsidRDefault="003B207D" w:rsidP="006A43BB">
      <w:pPr>
        <w:pStyle w:val="Body"/>
        <w:spacing w:line="360" w:lineRule="auto"/>
        <w:jc w:val="both"/>
        <w:rPr>
          <w:rStyle w:val="NoneA"/>
          <w:rFonts w:cs="Times New Roman"/>
        </w:rPr>
      </w:pPr>
    </w:p>
    <w:p w14:paraId="732917F4" w14:textId="005781FB" w:rsidR="003B207D" w:rsidRPr="006A43BB" w:rsidRDefault="00C96635" w:rsidP="006A43BB">
      <w:pPr>
        <w:pStyle w:val="Body"/>
        <w:spacing w:line="360" w:lineRule="auto"/>
        <w:jc w:val="both"/>
        <w:rPr>
          <w:rStyle w:val="NoneA"/>
          <w:rFonts w:cs="Times New Roman"/>
        </w:rPr>
      </w:pPr>
      <w:r w:rsidRPr="006A43BB">
        <w:rPr>
          <w:rStyle w:val="NoneA"/>
          <w:rFonts w:cs="Times New Roman"/>
        </w:rPr>
        <w:t xml:space="preserve">Under modern international law, it is widely considered that corporations and individuals are increasingly becoming subjects of international law. Some scholars named this </w:t>
      </w:r>
      <w:r w:rsidR="003505BE">
        <w:rPr>
          <w:rStyle w:val="NoneA"/>
          <w:rFonts w:cs="Times New Roman"/>
        </w:rPr>
        <w:t xml:space="preserve">process </w:t>
      </w:r>
      <w:r w:rsidRPr="006A43BB">
        <w:rPr>
          <w:rStyle w:val="NoneA"/>
          <w:rFonts w:cs="Times New Roman"/>
        </w:rPr>
        <w:t xml:space="preserve">a </w:t>
      </w:r>
      <w:r w:rsidRPr="00323298">
        <w:rPr>
          <w:rStyle w:val="NoneA"/>
          <w:rFonts w:cs="Times New Roman"/>
          <w:rtl/>
          <w:lang w:val="ar-SA"/>
        </w:rPr>
        <w:t>“</w:t>
      </w:r>
      <w:r w:rsidRPr="006A43BB">
        <w:rPr>
          <w:rStyle w:val="NoneA"/>
          <w:rFonts w:cs="Times New Roman"/>
        </w:rPr>
        <w:t>privatization of international law”.</w:t>
      </w:r>
      <w:r w:rsidRPr="006A43BB">
        <w:rPr>
          <w:rStyle w:val="FootnoteReference"/>
          <w:rFonts w:cs="Times New Roman"/>
        </w:rPr>
        <w:footnoteReference w:id="10"/>
      </w:r>
    </w:p>
    <w:p w14:paraId="732917F5" w14:textId="77777777" w:rsidR="003B207D" w:rsidRPr="006A43BB" w:rsidRDefault="003B207D" w:rsidP="006A43BB">
      <w:pPr>
        <w:pStyle w:val="Body"/>
        <w:spacing w:line="360" w:lineRule="auto"/>
        <w:jc w:val="both"/>
        <w:rPr>
          <w:rStyle w:val="NoneA"/>
          <w:rFonts w:cs="Times New Roman"/>
        </w:rPr>
      </w:pPr>
    </w:p>
    <w:p w14:paraId="732917F6" w14:textId="62F5981E" w:rsidR="003B207D" w:rsidRPr="006A43BB" w:rsidRDefault="00C96635" w:rsidP="006A43BB">
      <w:pPr>
        <w:pStyle w:val="Body"/>
        <w:spacing w:line="360" w:lineRule="auto"/>
        <w:jc w:val="both"/>
        <w:rPr>
          <w:rStyle w:val="NoneA"/>
          <w:rFonts w:cs="Times New Roman"/>
        </w:rPr>
      </w:pPr>
      <w:r w:rsidRPr="006A43BB">
        <w:rPr>
          <w:rStyle w:val="NoneA"/>
          <w:rFonts w:cs="Times New Roman"/>
        </w:rPr>
        <w:t>Indirect accountability for corporations is arguably problematic due to the non-binding nature of codes of conduct which were established to regulate corporations indirectly. Some scholars are of the opinion that one day such regulation will transfer into binding domestic law.</w:t>
      </w:r>
      <w:r w:rsidRPr="006A43BB">
        <w:rPr>
          <w:rStyle w:val="FootnoteReference"/>
          <w:rFonts w:cs="Times New Roman"/>
        </w:rPr>
        <w:footnoteReference w:id="11"/>
      </w:r>
      <w:r w:rsidRPr="006A43BB">
        <w:rPr>
          <w:rStyle w:val="NoneA"/>
          <w:rFonts w:cs="Times New Roman"/>
        </w:rPr>
        <w:t xml:space="preserve"> </w:t>
      </w:r>
      <w:r w:rsidR="00EB1B84">
        <w:rPr>
          <w:rStyle w:val="NoneA"/>
          <w:rFonts w:cs="Times New Roman"/>
        </w:rPr>
        <w:t>Nowadays</w:t>
      </w:r>
      <w:r w:rsidR="002501A4">
        <w:rPr>
          <w:rStyle w:val="NoneA"/>
          <w:rFonts w:cs="Times New Roman"/>
        </w:rPr>
        <w:t xml:space="preserve"> such regulation exists in many countries in the form of environmental regulations</w:t>
      </w:r>
      <w:r w:rsidR="00633240">
        <w:rPr>
          <w:rStyle w:val="NoneA"/>
          <w:rFonts w:cs="Times New Roman"/>
        </w:rPr>
        <w:t xml:space="preserve">, </w:t>
      </w:r>
      <w:r w:rsidR="002501A4">
        <w:rPr>
          <w:rStyle w:val="NoneA"/>
          <w:rFonts w:cs="Times New Roman"/>
        </w:rPr>
        <w:t xml:space="preserve">for </w:t>
      </w:r>
      <w:r w:rsidR="00EB1B84">
        <w:rPr>
          <w:rStyle w:val="NoneA"/>
          <w:rFonts w:cs="Times New Roman"/>
        </w:rPr>
        <w:t xml:space="preserve">example. However, there are many countries which don’t have such </w:t>
      </w:r>
      <w:r w:rsidR="00372CB1">
        <w:rPr>
          <w:rStyle w:val="NoneA"/>
          <w:rFonts w:cs="Times New Roman"/>
        </w:rPr>
        <w:t>regulations, in particular, developing states</w:t>
      </w:r>
      <w:r w:rsidRPr="006A43BB">
        <w:rPr>
          <w:rStyle w:val="NoneA"/>
          <w:rFonts w:cs="Times New Roman"/>
        </w:rPr>
        <w:t>.</w:t>
      </w:r>
      <w:r w:rsidRPr="006A43BB">
        <w:rPr>
          <w:rStyle w:val="FootnoteReference"/>
          <w:rFonts w:cs="Times New Roman"/>
        </w:rPr>
        <w:footnoteReference w:id="12"/>
      </w:r>
    </w:p>
    <w:p w14:paraId="732917F7" w14:textId="77777777" w:rsidR="003B207D" w:rsidRDefault="003B207D">
      <w:pPr>
        <w:pStyle w:val="Body"/>
        <w:jc w:val="both"/>
        <w:rPr>
          <w:rStyle w:val="NoneA"/>
        </w:rPr>
      </w:pPr>
    </w:p>
    <w:p w14:paraId="732917F8" w14:textId="77777777" w:rsidR="003B207D" w:rsidRDefault="00C96635" w:rsidP="006A43BB">
      <w:pPr>
        <w:pStyle w:val="Body"/>
        <w:spacing w:line="360" w:lineRule="auto"/>
        <w:jc w:val="both"/>
        <w:rPr>
          <w:rStyle w:val="NoneA"/>
        </w:rPr>
      </w:pPr>
      <w:r>
        <w:rPr>
          <w:rStyle w:val="NoneA"/>
        </w:rPr>
        <w:t>Thus, many scholars and practitioners are calling for the necessity of the new model of regulation. One possible way to make corporations directly accountable on international level is due diligence and doctrine of extraterritoriality.</w:t>
      </w:r>
      <w:r>
        <w:rPr>
          <w:rStyle w:val="FootnoteReference"/>
        </w:rPr>
        <w:footnoteReference w:id="13"/>
      </w:r>
      <w:r>
        <w:rPr>
          <w:rStyle w:val="NoneA"/>
        </w:rPr>
        <w:t xml:space="preserve"> There were many attempts to apply extraterritorial laws to activities of corporations, however those attempts were unsuccessful.</w:t>
      </w:r>
      <w:r>
        <w:rPr>
          <w:rStyle w:val="FootnoteReference"/>
        </w:rPr>
        <w:footnoteReference w:id="14"/>
      </w:r>
      <w:r>
        <w:rPr>
          <w:rStyle w:val="NoneA"/>
        </w:rPr>
        <w:t xml:space="preserve"> </w:t>
      </w:r>
    </w:p>
    <w:p w14:paraId="732917F9" w14:textId="77777777" w:rsidR="003B207D" w:rsidRDefault="00C96635" w:rsidP="006A43BB">
      <w:pPr>
        <w:pStyle w:val="Body"/>
        <w:spacing w:line="360" w:lineRule="auto"/>
        <w:jc w:val="both"/>
        <w:rPr>
          <w:rStyle w:val="NoneA"/>
          <w:rFonts w:cs="Times New Roman"/>
          <w:color w:val="auto"/>
          <w:lang w:eastAsia="en-US"/>
          <w14:textOutline w14:w="0" w14:cap="rnd" w14:cmpd="sng" w14:algn="ctr">
            <w14:noFill/>
            <w14:prstDash w14:val="solid"/>
            <w14:bevel/>
          </w14:textOutline>
        </w:rPr>
      </w:pPr>
      <w:r>
        <w:rPr>
          <w:rStyle w:val="NoneA"/>
        </w:rPr>
        <w:t>It was historically considered that exercise of extraterritorial jurisdiction by states directly violates the principle of exclusive and equal sovereignty of states. However, there is a lot of evidence of extraterritorial regulations implemented by states with the purpose to promote international objectives.</w:t>
      </w:r>
      <w:r>
        <w:rPr>
          <w:rStyle w:val="FootnoteReference"/>
        </w:rPr>
        <w:footnoteReference w:id="15"/>
      </w:r>
      <w:r>
        <w:rPr>
          <w:rStyle w:val="NoneA"/>
        </w:rPr>
        <w:t xml:space="preserve"> </w:t>
      </w:r>
    </w:p>
    <w:p w14:paraId="732917FA" w14:textId="77777777" w:rsidR="003B207D" w:rsidRDefault="003B207D" w:rsidP="006A43BB">
      <w:pPr>
        <w:pStyle w:val="Body"/>
        <w:spacing w:line="360" w:lineRule="auto"/>
        <w:jc w:val="both"/>
        <w:rPr>
          <w:rStyle w:val="NoneA"/>
          <w:rFonts w:cs="Times New Roman"/>
          <w:color w:val="auto"/>
          <w:lang w:eastAsia="en-US"/>
          <w14:textOutline w14:w="0" w14:cap="rnd" w14:cmpd="sng" w14:algn="ctr">
            <w14:noFill/>
            <w14:prstDash w14:val="solid"/>
            <w14:bevel/>
          </w14:textOutline>
        </w:rPr>
      </w:pPr>
    </w:p>
    <w:p w14:paraId="732917FB" w14:textId="6A58A0CA" w:rsidR="003B207D" w:rsidRDefault="00C96635" w:rsidP="006A43BB">
      <w:pPr>
        <w:pStyle w:val="Body"/>
        <w:spacing w:line="360" w:lineRule="auto"/>
        <w:jc w:val="both"/>
        <w:rPr>
          <w:rStyle w:val="NoneA"/>
        </w:rPr>
      </w:pPr>
      <w:r>
        <w:rPr>
          <w:rStyle w:val="NoneA"/>
        </w:rPr>
        <w:t>There were many attempts to make corporations directly accountable</w:t>
      </w:r>
      <w:r w:rsidR="00AB75C4">
        <w:rPr>
          <w:rStyle w:val="NoneA"/>
        </w:rPr>
        <w:t xml:space="preserve"> under international law</w:t>
      </w:r>
      <w:r w:rsidR="00C33451">
        <w:rPr>
          <w:rStyle w:val="NoneA"/>
        </w:rPr>
        <w:t xml:space="preserve">, initiated by individual counties or non-governmental </w:t>
      </w:r>
      <w:proofErr w:type="spellStart"/>
      <w:r w:rsidR="00C33451">
        <w:rPr>
          <w:rStyle w:val="NoneA"/>
        </w:rPr>
        <w:t>organisations</w:t>
      </w:r>
      <w:proofErr w:type="spellEnd"/>
      <w:r w:rsidR="002D4785">
        <w:rPr>
          <w:rStyle w:val="NoneA"/>
        </w:rPr>
        <w:t xml:space="preserve">. </w:t>
      </w:r>
      <w:r w:rsidR="00A86C9E">
        <w:rPr>
          <w:rStyle w:val="NoneA"/>
        </w:rPr>
        <w:t xml:space="preserve">However, due to the controversial nature of international regulation that sometimes include </w:t>
      </w:r>
      <w:r w:rsidR="003E1385">
        <w:rPr>
          <w:rStyle w:val="NoneA"/>
        </w:rPr>
        <w:t>exercise of extraterritorial jurisdiction it became considerably problematic to adequately regulate activities of corporations overseas</w:t>
      </w:r>
      <w:r>
        <w:rPr>
          <w:rStyle w:val="NoneA"/>
        </w:rPr>
        <w:t>.</w:t>
      </w:r>
      <w:r>
        <w:rPr>
          <w:rStyle w:val="FootnoteReference"/>
        </w:rPr>
        <w:footnoteReference w:id="16"/>
      </w:r>
      <w:r>
        <w:rPr>
          <w:rStyle w:val="NoneA"/>
        </w:rPr>
        <w:t xml:space="preserve"> </w:t>
      </w:r>
    </w:p>
    <w:p w14:paraId="732917FC" w14:textId="77777777" w:rsidR="003B207D" w:rsidRDefault="003B207D" w:rsidP="006A43BB">
      <w:pPr>
        <w:pStyle w:val="Body"/>
        <w:spacing w:line="360" w:lineRule="auto"/>
        <w:jc w:val="both"/>
        <w:rPr>
          <w:rStyle w:val="NoneA"/>
          <w:rFonts w:cs="Times New Roman"/>
          <w:color w:val="auto"/>
          <w:lang w:eastAsia="en-US"/>
          <w14:textOutline w14:w="0" w14:cap="rnd" w14:cmpd="sng" w14:algn="ctr">
            <w14:noFill/>
            <w14:prstDash w14:val="solid"/>
            <w14:bevel/>
          </w14:textOutline>
        </w:rPr>
      </w:pPr>
    </w:p>
    <w:p w14:paraId="542E8C54" w14:textId="77777777" w:rsidR="009D5A96" w:rsidRDefault="009D5A96" w:rsidP="006A43BB">
      <w:pPr>
        <w:pStyle w:val="Body"/>
        <w:spacing w:line="360" w:lineRule="auto"/>
        <w:jc w:val="both"/>
        <w:rPr>
          <w:rStyle w:val="NoneA"/>
        </w:rPr>
      </w:pPr>
    </w:p>
    <w:p w14:paraId="732917FD" w14:textId="2FFD532D" w:rsidR="003B207D" w:rsidRDefault="00327BF6" w:rsidP="006A43BB">
      <w:pPr>
        <w:pStyle w:val="Body"/>
        <w:spacing w:line="360" w:lineRule="auto"/>
        <w:jc w:val="both"/>
        <w:rPr>
          <w:rStyle w:val="NoneA"/>
        </w:rPr>
      </w:pPr>
      <w:r>
        <w:rPr>
          <w:rStyle w:val="NoneA"/>
        </w:rPr>
        <w:lastRenderedPageBreak/>
        <w:t xml:space="preserve">The exercise of social, economic and cultural rights requires </w:t>
      </w:r>
      <w:r w:rsidR="00FD652E">
        <w:rPr>
          <w:rStyle w:val="NoneA"/>
        </w:rPr>
        <w:t>states to balance and mitigate decisions in order to achieve certain level of protection</w:t>
      </w:r>
      <w:r w:rsidR="00C96635">
        <w:rPr>
          <w:rStyle w:val="NoneA"/>
        </w:rPr>
        <w:t>.</w:t>
      </w:r>
      <w:r w:rsidR="00C96635">
        <w:rPr>
          <w:rStyle w:val="FootnoteReference"/>
        </w:rPr>
        <w:footnoteReference w:id="17"/>
      </w:r>
      <w:r w:rsidR="00C96635">
        <w:rPr>
          <w:rStyle w:val="NoneA"/>
        </w:rPr>
        <w:t xml:space="preserve"> </w:t>
      </w:r>
      <w:r w:rsidR="00FD652E">
        <w:rPr>
          <w:rStyle w:val="NoneA"/>
        </w:rPr>
        <w:t xml:space="preserve">Thus, scholarship and practitioners are often referring to the enforcement of </w:t>
      </w:r>
      <w:r w:rsidR="00C96635">
        <w:rPr>
          <w:rStyle w:val="NoneA"/>
        </w:rPr>
        <w:t>Business and Human Rights Treaty</w:t>
      </w:r>
      <w:r w:rsidR="00552463">
        <w:rPr>
          <w:rStyle w:val="NoneA"/>
        </w:rPr>
        <w:t xml:space="preserve"> (hereinafter – ‘the BHRT). </w:t>
      </w:r>
    </w:p>
    <w:p w14:paraId="732917FE" w14:textId="77777777" w:rsidR="003B207D" w:rsidRDefault="003B207D">
      <w:pPr>
        <w:pStyle w:val="Body"/>
        <w:jc w:val="both"/>
        <w:rPr>
          <w:rStyle w:val="NoneA"/>
        </w:rPr>
      </w:pPr>
    </w:p>
    <w:p w14:paraId="732917FF" w14:textId="42E952DE" w:rsidR="003B207D" w:rsidRDefault="00CA78CC" w:rsidP="006A43BB">
      <w:pPr>
        <w:pStyle w:val="Body"/>
        <w:spacing w:line="360" w:lineRule="auto"/>
        <w:jc w:val="both"/>
        <w:rPr>
          <w:rStyle w:val="NoneA"/>
          <w:rFonts w:cs="Times New Roman"/>
        </w:rPr>
      </w:pPr>
      <w:r>
        <w:rPr>
          <w:rStyle w:val="NoneA"/>
          <w:rFonts w:cs="Times New Roman"/>
        </w:rPr>
        <w:t>In 2014, t</w:t>
      </w:r>
      <w:r w:rsidR="000426D8">
        <w:rPr>
          <w:rStyle w:val="NoneA"/>
          <w:rFonts w:cs="Times New Roman"/>
        </w:rPr>
        <w:t xml:space="preserve">he United Nations </w:t>
      </w:r>
      <w:r w:rsidR="000426D8" w:rsidRPr="000426D8">
        <w:rPr>
          <w:rStyle w:val="NoneA"/>
          <w:rFonts w:cs="Times New Roman"/>
        </w:rPr>
        <w:t>Human Rights Council</w:t>
      </w:r>
      <w:r w:rsidR="000426D8">
        <w:rPr>
          <w:rStyle w:val="NoneA"/>
          <w:rFonts w:cs="Times New Roman"/>
        </w:rPr>
        <w:t xml:space="preserve"> </w:t>
      </w:r>
      <w:r w:rsidR="00AA0BB7">
        <w:rPr>
          <w:rStyle w:val="NoneA"/>
          <w:rFonts w:cs="Times New Roman"/>
        </w:rPr>
        <w:t xml:space="preserve">has adopted a resolution calling for establishment of </w:t>
      </w:r>
      <w:r>
        <w:rPr>
          <w:rStyle w:val="NoneA"/>
          <w:rFonts w:cs="Times New Roman"/>
        </w:rPr>
        <w:t>intergovernmental working group that will produce a report in relation to the draft of the future business and human rights treaty</w:t>
      </w:r>
      <w:r w:rsidR="00C96635" w:rsidRPr="006A43BB">
        <w:rPr>
          <w:rStyle w:val="NoneA"/>
          <w:rFonts w:cs="Times New Roman"/>
        </w:rPr>
        <w:t>.</w:t>
      </w:r>
      <w:r w:rsidR="00C96635" w:rsidRPr="006A43BB">
        <w:rPr>
          <w:rStyle w:val="FootnoteReference"/>
          <w:rFonts w:cs="Times New Roman"/>
        </w:rPr>
        <w:footnoteReference w:id="18"/>
      </w:r>
      <w:r w:rsidR="00C96635" w:rsidRPr="006A43BB">
        <w:rPr>
          <w:rStyle w:val="NoneA"/>
          <w:rFonts w:cs="Times New Roman"/>
        </w:rPr>
        <w:t xml:space="preserve"> The first session of the intergovernmental working group has been held in 2015 in Geneva and it</w:t>
      </w:r>
      <w:r w:rsidR="00C96635" w:rsidRPr="00323298">
        <w:rPr>
          <w:rStyle w:val="NoneA"/>
          <w:rFonts w:cs="Times New Roman"/>
          <w:rtl/>
        </w:rPr>
        <w:t>’</w:t>
      </w:r>
      <w:r w:rsidR="00C96635" w:rsidRPr="006A43BB">
        <w:rPr>
          <w:rStyle w:val="NoneA"/>
          <w:rFonts w:cs="Times New Roman"/>
        </w:rPr>
        <w:t>s latest session in 2019</w:t>
      </w:r>
      <w:r w:rsidR="0096317E">
        <w:rPr>
          <w:rStyle w:val="NoneA"/>
          <w:rFonts w:cs="Times New Roman"/>
        </w:rPr>
        <w:t xml:space="preserve"> including several</w:t>
      </w:r>
      <w:r w:rsidR="00680D0F">
        <w:rPr>
          <w:rStyle w:val="NoneA"/>
          <w:rFonts w:cs="Times New Roman"/>
        </w:rPr>
        <w:t xml:space="preserve"> published drafts</w:t>
      </w:r>
      <w:r w:rsidR="00C96635" w:rsidRPr="006A43BB">
        <w:rPr>
          <w:rStyle w:val="NoneA"/>
          <w:rFonts w:cs="Times New Roman"/>
        </w:rPr>
        <w:t>.</w:t>
      </w:r>
      <w:r w:rsidR="00C96635" w:rsidRPr="006A43BB">
        <w:rPr>
          <w:rStyle w:val="FootnoteReference"/>
          <w:rFonts w:cs="Times New Roman"/>
        </w:rPr>
        <w:footnoteReference w:id="19"/>
      </w:r>
    </w:p>
    <w:p w14:paraId="0C1CF155" w14:textId="13C5A736" w:rsidR="00842867" w:rsidRDefault="00842867" w:rsidP="006A43BB">
      <w:pPr>
        <w:pStyle w:val="Body"/>
        <w:spacing w:line="360" w:lineRule="auto"/>
        <w:jc w:val="both"/>
        <w:rPr>
          <w:rStyle w:val="NoneA"/>
          <w:rFonts w:cs="Times New Roman"/>
        </w:rPr>
      </w:pPr>
    </w:p>
    <w:p w14:paraId="73291801" w14:textId="1D3CA72F" w:rsidR="003B207D" w:rsidRDefault="00842867" w:rsidP="006A43BB">
      <w:pPr>
        <w:pStyle w:val="Body"/>
        <w:spacing w:line="360" w:lineRule="auto"/>
        <w:jc w:val="both"/>
        <w:rPr>
          <w:rStyle w:val="NoneA"/>
          <w:rFonts w:cs="Times New Roman"/>
        </w:rPr>
      </w:pPr>
      <w:r>
        <w:rPr>
          <w:rStyle w:val="NoneA"/>
          <w:rFonts w:cs="Times New Roman"/>
        </w:rPr>
        <w:t xml:space="preserve">The purpose of such instrument would be to </w:t>
      </w:r>
      <w:r w:rsidR="00A62F3D">
        <w:rPr>
          <w:rStyle w:val="NoneA"/>
          <w:rFonts w:cs="Times New Roman"/>
        </w:rPr>
        <w:t>improve current approach developed under international law in relation to the accountability of corporations. In addition, such instrument would include enforcement mechanism that will help to ensure that provisions of the treaty are followed and respected by states</w:t>
      </w:r>
      <w:r w:rsidR="00C96635" w:rsidRPr="006A43BB">
        <w:rPr>
          <w:rStyle w:val="NoneA"/>
          <w:rFonts w:cs="Times New Roman"/>
        </w:rPr>
        <w:t>.</w:t>
      </w:r>
      <w:r w:rsidR="00C96635" w:rsidRPr="006A43BB">
        <w:rPr>
          <w:rStyle w:val="FootnoteReference"/>
          <w:rFonts w:cs="Times New Roman"/>
        </w:rPr>
        <w:footnoteReference w:id="20"/>
      </w:r>
      <w:r w:rsidR="00C96635" w:rsidRPr="006A43BB">
        <w:rPr>
          <w:rStyle w:val="NoneA"/>
          <w:rFonts w:cs="Times New Roman"/>
        </w:rPr>
        <w:t xml:space="preserve"> </w:t>
      </w:r>
    </w:p>
    <w:p w14:paraId="3AE66D86" w14:textId="3504710B" w:rsidR="00424B04" w:rsidRDefault="00424B04" w:rsidP="006A43BB">
      <w:pPr>
        <w:pStyle w:val="Body"/>
        <w:spacing w:line="360" w:lineRule="auto"/>
        <w:jc w:val="both"/>
        <w:rPr>
          <w:rStyle w:val="NoneA"/>
          <w:rFonts w:cs="Times New Roman"/>
        </w:rPr>
      </w:pPr>
    </w:p>
    <w:p w14:paraId="73291803" w14:textId="21E2A71C" w:rsidR="003B207D" w:rsidRPr="006A43BB" w:rsidRDefault="00ED5F6C" w:rsidP="006A43BB">
      <w:pPr>
        <w:pStyle w:val="Body"/>
        <w:spacing w:line="360" w:lineRule="auto"/>
        <w:jc w:val="both"/>
        <w:rPr>
          <w:rStyle w:val="NoneA"/>
          <w:rFonts w:cs="Times New Roman"/>
        </w:rPr>
      </w:pPr>
      <w:r>
        <w:rPr>
          <w:rStyle w:val="NoneA"/>
          <w:rFonts w:cs="Times New Roman"/>
        </w:rPr>
        <w:t xml:space="preserve">Business and Human Rights Treaty is a necessary and </w:t>
      </w:r>
      <w:r w:rsidR="00BA6ED1">
        <w:rPr>
          <w:rStyle w:val="NoneA"/>
          <w:rFonts w:cs="Times New Roman"/>
        </w:rPr>
        <w:t xml:space="preserve">considerable development in positive international law. However, this instrument requires comprehensive </w:t>
      </w:r>
      <w:r w:rsidR="00744871">
        <w:rPr>
          <w:rStyle w:val="NoneA"/>
          <w:rFonts w:cs="Times New Roman"/>
        </w:rPr>
        <w:t xml:space="preserve">evaluation and examination of its challenges and limitations. </w:t>
      </w:r>
      <w:r w:rsidR="008512C3">
        <w:rPr>
          <w:rStyle w:val="NoneA"/>
          <w:rFonts w:cs="Times New Roman"/>
        </w:rPr>
        <w:t>The biggest issue</w:t>
      </w:r>
      <w:r w:rsidR="009A75CB">
        <w:rPr>
          <w:rStyle w:val="NoneA"/>
          <w:rFonts w:cs="Times New Roman"/>
        </w:rPr>
        <w:t>s</w:t>
      </w:r>
      <w:r w:rsidR="008512C3">
        <w:rPr>
          <w:rStyle w:val="NoneA"/>
          <w:rFonts w:cs="Times New Roman"/>
        </w:rPr>
        <w:t xml:space="preserve"> in relation to its implementation outlined in this research </w:t>
      </w:r>
      <w:r w:rsidR="009A75CB">
        <w:rPr>
          <w:rStyle w:val="NoneA"/>
          <w:rFonts w:cs="Times New Roman"/>
        </w:rPr>
        <w:t>are</w:t>
      </w:r>
      <w:r w:rsidR="008512C3">
        <w:rPr>
          <w:rStyle w:val="NoneA"/>
          <w:rFonts w:cs="Times New Roman"/>
        </w:rPr>
        <w:t xml:space="preserve"> the </w:t>
      </w:r>
      <w:r w:rsidR="00C96635" w:rsidRPr="006A43BB">
        <w:rPr>
          <w:rStyle w:val="NoneA"/>
          <w:rFonts w:cs="Times New Roman"/>
        </w:rPr>
        <w:t>doctrine of extraterritoriality, jurisdiction and unwillingness or/and inability of states to enforce such legislation.</w:t>
      </w:r>
      <w:r w:rsidR="00C96635" w:rsidRPr="006A43BB">
        <w:rPr>
          <w:rStyle w:val="FootnoteReference"/>
          <w:rFonts w:cs="Times New Roman"/>
        </w:rPr>
        <w:footnoteReference w:id="21"/>
      </w:r>
    </w:p>
    <w:p w14:paraId="73291804" w14:textId="77777777" w:rsidR="003B207D" w:rsidRPr="006A43BB" w:rsidRDefault="003B207D" w:rsidP="006A43BB">
      <w:pPr>
        <w:pStyle w:val="Body"/>
        <w:spacing w:line="360" w:lineRule="auto"/>
        <w:jc w:val="both"/>
        <w:rPr>
          <w:rStyle w:val="NoneA"/>
          <w:rFonts w:cs="Times New Roman"/>
        </w:rPr>
      </w:pPr>
    </w:p>
    <w:p w14:paraId="73291805" w14:textId="40CF7A81" w:rsidR="003B207D" w:rsidRPr="006A43BB" w:rsidRDefault="00C96635" w:rsidP="006A43BB">
      <w:pPr>
        <w:pStyle w:val="Body"/>
        <w:spacing w:line="360" w:lineRule="auto"/>
        <w:jc w:val="both"/>
        <w:rPr>
          <w:rStyle w:val="NoneA"/>
          <w:rFonts w:cs="Times New Roman"/>
        </w:rPr>
      </w:pPr>
      <w:r w:rsidRPr="006A43BB">
        <w:rPr>
          <w:rStyle w:val="NoneA"/>
          <w:rFonts w:cs="Times New Roman"/>
        </w:rPr>
        <w:t xml:space="preserve">Therefore, this thesis will examine the success of the BHR treaty in the context of the concept of accountability and extraterritorial jurisdiction. It will </w:t>
      </w:r>
      <w:r w:rsidR="002A380B">
        <w:rPr>
          <w:rStyle w:val="NoneA"/>
          <w:rFonts w:cs="Times New Roman"/>
        </w:rPr>
        <w:t>discuss</w:t>
      </w:r>
      <w:r w:rsidRPr="006A43BB">
        <w:rPr>
          <w:rStyle w:val="NoneA"/>
          <w:rFonts w:cs="Times New Roman"/>
        </w:rPr>
        <w:t xml:space="preserve"> whether the adoption of BHR </w:t>
      </w:r>
      <w:r w:rsidR="002A380B">
        <w:rPr>
          <w:rStyle w:val="NoneA"/>
          <w:rFonts w:cs="Times New Roman"/>
        </w:rPr>
        <w:t xml:space="preserve">treaty </w:t>
      </w:r>
      <w:r w:rsidRPr="006A43BB">
        <w:rPr>
          <w:rStyle w:val="NoneA"/>
          <w:rFonts w:cs="Times New Roman"/>
        </w:rPr>
        <w:t xml:space="preserve">is a </w:t>
      </w:r>
      <w:r w:rsidR="002A380B">
        <w:rPr>
          <w:rStyle w:val="NoneA"/>
          <w:rFonts w:cs="Times New Roman"/>
        </w:rPr>
        <w:t xml:space="preserve">necessary tool in order </w:t>
      </w:r>
      <w:r w:rsidRPr="006A43BB">
        <w:rPr>
          <w:rStyle w:val="NoneA"/>
          <w:rFonts w:cs="Times New Roman"/>
        </w:rPr>
        <w:t xml:space="preserve">to make corporations directly accountable considering current legislative framework, international law and political will. </w:t>
      </w:r>
    </w:p>
    <w:p w14:paraId="73291806" w14:textId="2DEE0EAB" w:rsidR="003B207D" w:rsidRDefault="003B207D" w:rsidP="006A43BB">
      <w:pPr>
        <w:pStyle w:val="Body"/>
        <w:spacing w:line="360" w:lineRule="auto"/>
        <w:rPr>
          <w:rFonts w:cs="Times New Roman"/>
          <w:b/>
          <w:bCs/>
        </w:rPr>
      </w:pPr>
    </w:p>
    <w:p w14:paraId="533C396A" w14:textId="48738534" w:rsidR="00842867" w:rsidRDefault="00842867" w:rsidP="006A43BB">
      <w:pPr>
        <w:pStyle w:val="Body"/>
        <w:spacing w:line="360" w:lineRule="auto"/>
        <w:rPr>
          <w:rFonts w:cs="Times New Roman"/>
          <w:b/>
          <w:bCs/>
        </w:rPr>
      </w:pPr>
    </w:p>
    <w:p w14:paraId="73560012" w14:textId="77777777" w:rsidR="00842867" w:rsidRPr="006A43BB" w:rsidRDefault="00842867" w:rsidP="006A43BB">
      <w:pPr>
        <w:pStyle w:val="Body"/>
        <w:spacing w:line="360" w:lineRule="auto"/>
        <w:rPr>
          <w:rFonts w:cs="Times New Roman"/>
          <w:b/>
          <w:bCs/>
        </w:rPr>
      </w:pPr>
    </w:p>
    <w:p w14:paraId="73291807" w14:textId="729B6D85" w:rsidR="003B207D" w:rsidRPr="006A43BB" w:rsidRDefault="00190967" w:rsidP="006A43BB">
      <w:pPr>
        <w:pStyle w:val="Body"/>
        <w:spacing w:line="360" w:lineRule="auto"/>
        <w:rPr>
          <w:rFonts w:cs="Times New Roman"/>
          <w:b/>
          <w:bCs/>
        </w:rPr>
      </w:pPr>
      <w:r>
        <w:rPr>
          <w:rFonts w:cs="Times New Roman"/>
          <w:b/>
          <w:bCs/>
          <w:lang w:val="en-US"/>
        </w:rPr>
        <w:lastRenderedPageBreak/>
        <w:t xml:space="preserve">1.2 </w:t>
      </w:r>
      <w:r w:rsidR="00C96635" w:rsidRPr="006A43BB">
        <w:rPr>
          <w:rFonts w:cs="Times New Roman"/>
          <w:b/>
          <w:bCs/>
          <w:lang w:val="en-US"/>
        </w:rPr>
        <w:t>Scope of Study</w:t>
      </w:r>
    </w:p>
    <w:p w14:paraId="73291808" w14:textId="77777777" w:rsidR="003B207D" w:rsidRPr="006A43BB" w:rsidRDefault="003B207D" w:rsidP="006A43BB">
      <w:pPr>
        <w:pStyle w:val="Body"/>
        <w:spacing w:line="360" w:lineRule="auto"/>
        <w:jc w:val="both"/>
        <w:rPr>
          <w:rFonts w:cs="Times New Roman"/>
          <w:b/>
          <w:bCs/>
        </w:rPr>
      </w:pPr>
    </w:p>
    <w:p w14:paraId="73291809" w14:textId="4FC56C2B" w:rsidR="003B207D" w:rsidRDefault="00C96635" w:rsidP="006A43BB">
      <w:pPr>
        <w:pStyle w:val="Body"/>
        <w:spacing w:line="360" w:lineRule="auto"/>
        <w:jc w:val="both"/>
        <w:rPr>
          <w:rStyle w:val="NoneA"/>
        </w:rPr>
      </w:pPr>
      <w:r w:rsidRPr="006A43BB">
        <w:rPr>
          <w:rStyle w:val="NoneA"/>
          <w:rFonts w:cs="Times New Roman"/>
        </w:rPr>
        <w:t xml:space="preserve">This research </w:t>
      </w:r>
      <w:proofErr w:type="spellStart"/>
      <w:r w:rsidRPr="006A43BB">
        <w:rPr>
          <w:rStyle w:val="NoneA"/>
          <w:rFonts w:cs="Times New Roman"/>
        </w:rPr>
        <w:t>conceptualises</w:t>
      </w:r>
      <w:proofErr w:type="spellEnd"/>
      <w:r w:rsidRPr="006A43BB">
        <w:rPr>
          <w:rStyle w:val="NoneA"/>
          <w:rFonts w:cs="Times New Roman"/>
        </w:rPr>
        <w:t xml:space="preserve"> analytical framework and corporate accountability under international law. The analyses are focused on the evaluation of direct and indirect approaches aimed to make corporations accountable for human rights violations. It examines the concept</w:t>
      </w:r>
      <w:r>
        <w:rPr>
          <w:rStyle w:val="NoneA"/>
        </w:rPr>
        <w:t xml:space="preserve"> of corporate accountability, duty of states</w:t>
      </w:r>
      <w:r w:rsidR="009E1104">
        <w:rPr>
          <w:rStyle w:val="NoneA"/>
        </w:rPr>
        <w:t xml:space="preserve"> to protect human rights</w:t>
      </w:r>
      <w:r>
        <w:rPr>
          <w:rStyle w:val="NoneA"/>
        </w:rPr>
        <w:t xml:space="preserve"> and aspects of doctrine of extraterritoriality under international law. The main part of this research is focused on the </w:t>
      </w:r>
      <w:r w:rsidR="004F27EE">
        <w:rPr>
          <w:rStyle w:val="NoneA"/>
        </w:rPr>
        <w:t xml:space="preserve">BHR treaty aimed to </w:t>
      </w:r>
      <w:r w:rsidR="00093791">
        <w:rPr>
          <w:rStyle w:val="NoneA"/>
        </w:rPr>
        <w:t xml:space="preserve">make corporations accountable for human rights violations. </w:t>
      </w:r>
    </w:p>
    <w:p w14:paraId="7329180A" w14:textId="77777777" w:rsidR="003B207D" w:rsidRDefault="003B207D">
      <w:pPr>
        <w:pStyle w:val="Body"/>
        <w:jc w:val="both"/>
        <w:rPr>
          <w:rStyle w:val="NoneA"/>
        </w:rPr>
      </w:pPr>
    </w:p>
    <w:p w14:paraId="7329180B" w14:textId="77777777" w:rsidR="003B207D" w:rsidRPr="006A43BB" w:rsidRDefault="00C96635" w:rsidP="006A43BB">
      <w:pPr>
        <w:pStyle w:val="Body"/>
        <w:spacing w:line="360" w:lineRule="auto"/>
        <w:jc w:val="both"/>
        <w:rPr>
          <w:rStyle w:val="NoneA"/>
          <w:rFonts w:cs="Times New Roman"/>
        </w:rPr>
      </w:pPr>
      <w:r w:rsidRPr="006A43BB">
        <w:rPr>
          <w:rStyle w:val="NoneA"/>
          <w:rFonts w:cs="Times New Roman"/>
        </w:rPr>
        <w:t xml:space="preserve">This research will address the debate related to </w:t>
      </w:r>
      <w:proofErr w:type="spellStart"/>
      <w:r w:rsidRPr="006A43BB">
        <w:rPr>
          <w:rStyle w:val="NoneA"/>
          <w:rFonts w:cs="Times New Roman"/>
        </w:rPr>
        <w:t>conceptualisation</w:t>
      </w:r>
      <w:proofErr w:type="spellEnd"/>
      <w:r w:rsidRPr="006A43BB">
        <w:rPr>
          <w:rStyle w:val="NoneA"/>
          <w:rFonts w:cs="Times New Roman"/>
        </w:rPr>
        <w:t xml:space="preserve"> in the future business and human rights treaty. It will determine whether this option is more preferable under international law and what are the current major challenges faced by the implementation of such ambitious legislation. </w:t>
      </w:r>
    </w:p>
    <w:p w14:paraId="7329180C" w14:textId="77777777" w:rsidR="003B207D" w:rsidRPr="006A43BB" w:rsidRDefault="003B207D" w:rsidP="006A43BB">
      <w:pPr>
        <w:pStyle w:val="Body"/>
        <w:spacing w:line="360" w:lineRule="auto"/>
        <w:jc w:val="both"/>
        <w:rPr>
          <w:rStyle w:val="NoneA"/>
          <w:rFonts w:cs="Times New Roman"/>
        </w:rPr>
      </w:pPr>
    </w:p>
    <w:p w14:paraId="7329180D" w14:textId="77777777" w:rsidR="003B207D" w:rsidRPr="006A43BB" w:rsidRDefault="00C96635" w:rsidP="006A43BB">
      <w:pPr>
        <w:pStyle w:val="Body"/>
        <w:spacing w:line="360" w:lineRule="auto"/>
        <w:jc w:val="both"/>
        <w:rPr>
          <w:rStyle w:val="NoneA"/>
          <w:rFonts w:cs="Times New Roman"/>
        </w:rPr>
      </w:pPr>
      <w:r w:rsidRPr="006A43BB">
        <w:rPr>
          <w:rStyle w:val="NoneA"/>
          <w:rFonts w:cs="Times New Roman"/>
        </w:rPr>
        <w:t xml:space="preserve">This thesis will therefore critically evaluate two major parts such as accountability of corporations and duty of states. This includes critical analyses of the concept of accountability including criminal liability, forum non conveniences, international legal personality and corporate social responsibility. On the other hand, particular attention will be given to the limits of jurisdiction, territorial sovereignty, principle of non-intervention, universal jurisdiction and nationality principle. Conceptual framework, analyses of international jurisprudence and domestic law will help to build a comprehensive examination of these concepts. </w:t>
      </w:r>
    </w:p>
    <w:p w14:paraId="7329180E" w14:textId="77777777" w:rsidR="003B207D" w:rsidRPr="006A43BB" w:rsidRDefault="003B207D" w:rsidP="006A43BB">
      <w:pPr>
        <w:pStyle w:val="Body"/>
        <w:spacing w:line="360" w:lineRule="auto"/>
        <w:jc w:val="both"/>
        <w:rPr>
          <w:rStyle w:val="NoneA"/>
          <w:rFonts w:cs="Times New Roman"/>
        </w:rPr>
      </w:pPr>
    </w:p>
    <w:p w14:paraId="7329180F" w14:textId="63D39A57" w:rsidR="003B207D" w:rsidRPr="006A43BB" w:rsidRDefault="00974C24" w:rsidP="006A43BB">
      <w:pPr>
        <w:pStyle w:val="Body"/>
        <w:spacing w:line="360" w:lineRule="auto"/>
        <w:rPr>
          <w:rStyle w:val="NoneA"/>
          <w:rFonts w:cs="Times New Roman"/>
        </w:rPr>
      </w:pPr>
      <w:r>
        <w:rPr>
          <w:rFonts w:cs="Times New Roman"/>
          <w:b/>
          <w:bCs/>
          <w:lang w:val="en-US"/>
        </w:rPr>
        <w:t>1.3</w:t>
      </w:r>
      <w:r w:rsidR="00C96635" w:rsidRPr="006A43BB">
        <w:rPr>
          <w:rFonts w:cs="Times New Roman"/>
          <w:b/>
          <w:bCs/>
          <w:lang w:val="en-US"/>
        </w:rPr>
        <w:t xml:space="preserve"> Aims of Study </w:t>
      </w:r>
    </w:p>
    <w:p w14:paraId="73291810" w14:textId="77777777" w:rsidR="003B207D" w:rsidRPr="006A43BB" w:rsidRDefault="003B207D" w:rsidP="006A43BB">
      <w:pPr>
        <w:pStyle w:val="Body"/>
        <w:spacing w:line="360" w:lineRule="auto"/>
        <w:rPr>
          <w:rFonts w:cs="Times New Roman"/>
          <w:b/>
          <w:bCs/>
        </w:rPr>
      </w:pPr>
    </w:p>
    <w:p w14:paraId="73291811" w14:textId="77777777" w:rsidR="003B207D" w:rsidRPr="006A43BB" w:rsidRDefault="00C96635" w:rsidP="006A43BB">
      <w:pPr>
        <w:pStyle w:val="Body"/>
        <w:spacing w:line="360" w:lineRule="auto"/>
        <w:jc w:val="both"/>
        <w:rPr>
          <w:rStyle w:val="NoneA"/>
          <w:rFonts w:cs="Times New Roman"/>
        </w:rPr>
      </w:pPr>
      <w:r w:rsidRPr="006A43BB">
        <w:rPr>
          <w:rStyle w:val="NoneA"/>
          <w:rFonts w:cs="Times New Roman"/>
        </w:rPr>
        <w:t>The main objective of this research is to establish whether corporations can be made accountable at the international level through the adoption of Business and Human Rights treaty. In this context, this study seeks to determine whether direct accountability is the best possible option, or whether it</w:t>
      </w:r>
      <w:r w:rsidRPr="00914855">
        <w:rPr>
          <w:rStyle w:val="NoneA"/>
          <w:rFonts w:cs="Times New Roman"/>
          <w:rtl/>
        </w:rPr>
        <w:t>’</w:t>
      </w:r>
      <w:r w:rsidRPr="006A43BB">
        <w:rPr>
          <w:rStyle w:val="NoneA"/>
          <w:rFonts w:cs="Times New Roman"/>
        </w:rPr>
        <w:t xml:space="preserve">s better to keep the improvement of indirect approach relying on codes of conduct and established practice.  </w:t>
      </w:r>
    </w:p>
    <w:p w14:paraId="73291812" w14:textId="77777777" w:rsidR="003B207D" w:rsidRPr="006A43BB" w:rsidRDefault="003B207D" w:rsidP="006A43BB">
      <w:pPr>
        <w:pStyle w:val="Body"/>
        <w:spacing w:line="360" w:lineRule="auto"/>
        <w:jc w:val="both"/>
        <w:rPr>
          <w:rStyle w:val="NoneA"/>
          <w:rFonts w:cs="Times New Roman"/>
        </w:rPr>
      </w:pPr>
    </w:p>
    <w:p w14:paraId="73291813" w14:textId="47D4EAF3" w:rsidR="003B207D" w:rsidRPr="006A43BB" w:rsidRDefault="00C96635" w:rsidP="006A43BB">
      <w:pPr>
        <w:pStyle w:val="Body"/>
        <w:spacing w:line="360" w:lineRule="auto"/>
        <w:jc w:val="both"/>
        <w:rPr>
          <w:rStyle w:val="NoneA"/>
          <w:rFonts w:cs="Times New Roman"/>
        </w:rPr>
      </w:pPr>
      <w:r w:rsidRPr="006A43BB">
        <w:rPr>
          <w:rStyle w:val="NoneA"/>
          <w:rFonts w:cs="Times New Roman"/>
        </w:rPr>
        <w:t xml:space="preserve">This research critically evaluates the concept of corporate accountability and duty of states to protect human rights. It examines relevant case studies and existing jurisprudence in order to establish the reasons behind the lack of political will or inability of states to adopt </w:t>
      </w:r>
      <w:r w:rsidR="00B41A8A">
        <w:rPr>
          <w:rStyle w:val="NoneA"/>
          <w:rFonts w:cs="Times New Roman"/>
        </w:rPr>
        <w:t>such</w:t>
      </w:r>
      <w:r w:rsidRPr="006A43BB">
        <w:rPr>
          <w:rStyle w:val="NoneA"/>
          <w:rFonts w:cs="Times New Roman"/>
        </w:rPr>
        <w:t xml:space="preserve"> legislation.  </w:t>
      </w:r>
    </w:p>
    <w:p w14:paraId="73291814" w14:textId="77777777" w:rsidR="003B207D" w:rsidRPr="006A43BB" w:rsidRDefault="003B207D" w:rsidP="006A43BB">
      <w:pPr>
        <w:pStyle w:val="Body"/>
        <w:spacing w:line="360" w:lineRule="auto"/>
        <w:jc w:val="both"/>
        <w:rPr>
          <w:rStyle w:val="NoneA"/>
          <w:rFonts w:cs="Times New Roman"/>
        </w:rPr>
      </w:pPr>
    </w:p>
    <w:p w14:paraId="73291815" w14:textId="77777777" w:rsidR="003B207D" w:rsidRPr="006A43BB" w:rsidRDefault="00C96635" w:rsidP="006A43BB">
      <w:pPr>
        <w:pStyle w:val="Body"/>
        <w:spacing w:line="360" w:lineRule="auto"/>
        <w:jc w:val="both"/>
        <w:rPr>
          <w:rStyle w:val="NoneA"/>
          <w:rFonts w:cs="Times New Roman"/>
        </w:rPr>
      </w:pPr>
      <w:r w:rsidRPr="006A43BB">
        <w:rPr>
          <w:rStyle w:val="NoneA"/>
          <w:rFonts w:cs="Times New Roman"/>
        </w:rPr>
        <w:t>This paper sets a goal to address the current gap in literature and make possible contributions to the international law academy.</w:t>
      </w:r>
    </w:p>
    <w:p w14:paraId="73291816" w14:textId="77777777" w:rsidR="003B207D" w:rsidRDefault="003B207D">
      <w:pPr>
        <w:pStyle w:val="Body"/>
        <w:rPr>
          <w:b/>
          <w:bCs/>
        </w:rPr>
      </w:pPr>
    </w:p>
    <w:p w14:paraId="73291817" w14:textId="4E4642F8" w:rsidR="003B207D" w:rsidRDefault="00162910" w:rsidP="006A43BB">
      <w:pPr>
        <w:pStyle w:val="Body"/>
        <w:spacing w:line="360" w:lineRule="auto"/>
        <w:jc w:val="both"/>
        <w:rPr>
          <w:b/>
          <w:bCs/>
        </w:rPr>
      </w:pPr>
      <w:r>
        <w:rPr>
          <w:b/>
          <w:bCs/>
          <w:lang w:val="en-US"/>
        </w:rPr>
        <w:t>1.4</w:t>
      </w:r>
      <w:r w:rsidR="00C96635">
        <w:rPr>
          <w:b/>
          <w:bCs/>
          <w:lang w:val="en-US"/>
        </w:rPr>
        <w:t xml:space="preserve"> Research Questions </w:t>
      </w:r>
    </w:p>
    <w:p w14:paraId="73291818" w14:textId="77777777" w:rsidR="003B207D" w:rsidRDefault="003B207D" w:rsidP="006A43BB">
      <w:pPr>
        <w:pStyle w:val="Body"/>
        <w:spacing w:line="360" w:lineRule="auto"/>
        <w:jc w:val="both"/>
        <w:rPr>
          <w:b/>
          <w:bCs/>
        </w:rPr>
      </w:pPr>
    </w:p>
    <w:p w14:paraId="73291819" w14:textId="77777777" w:rsidR="003B207D" w:rsidRDefault="00C96635" w:rsidP="006A43BB">
      <w:pPr>
        <w:pStyle w:val="Body"/>
        <w:spacing w:line="360" w:lineRule="auto"/>
        <w:jc w:val="both"/>
        <w:rPr>
          <w:rStyle w:val="NoneA"/>
        </w:rPr>
      </w:pPr>
      <w:r>
        <w:rPr>
          <w:rStyle w:val="NoneA"/>
        </w:rPr>
        <w:t>RQ1: In the dilemma between direct and indirect accountability for corporations, which option is more preferable under modern international law?</w:t>
      </w:r>
    </w:p>
    <w:p w14:paraId="7329181A" w14:textId="77777777" w:rsidR="003B207D" w:rsidRDefault="003B207D" w:rsidP="006A43BB">
      <w:pPr>
        <w:pStyle w:val="Body"/>
        <w:spacing w:line="360" w:lineRule="auto"/>
        <w:jc w:val="both"/>
        <w:rPr>
          <w:rStyle w:val="NoneA"/>
        </w:rPr>
      </w:pPr>
    </w:p>
    <w:p w14:paraId="7329181B" w14:textId="77777777" w:rsidR="003B207D" w:rsidRDefault="00C96635" w:rsidP="006A43BB">
      <w:pPr>
        <w:pStyle w:val="Body"/>
        <w:spacing w:line="360" w:lineRule="auto"/>
        <w:jc w:val="both"/>
        <w:rPr>
          <w:rStyle w:val="NoneA"/>
        </w:rPr>
      </w:pPr>
      <w:r>
        <w:rPr>
          <w:rStyle w:val="NoneA"/>
        </w:rPr>
        <w:t>RQ2: Under the developments of modern international law, is there a possibility to adopt binding international business and human rights treaty with extraterritorial application or regional treaty in order to make corporations directly accountable?</w:t>
      </w:r>
    </w:p>
    <w:p w14:paraId="7329181C" w14:textId="77777777" w:rsidR="003B207D" w:rsidRDefault="003B207D" w:rsidP="006A43BB">
      <w:pPr>
        <w:pStyle w:val="Body"/>
        <w:spacing w:line="360" w:lineRule="auto"/>
        <w:jc w:val="both"/>
        <w:rPr>
          <w:rStyle w:val="NoneA"/>
        </w:rPr>
      </w:pPr>
    </w:p>
    <w:p w14:paraId="7329181D" w14:textId="77777777" w:rsidR="003B207D" w:rsidRDefault="00C96635" w:rsidP="006A43BB">
      <w:pPr>
        <w:pStyle w:val="Body"/>
        <w:spacing w:line="360" w:lineRule="auto"/>
        <w:jc w:val="both"/>
        <w:rPr>
          <w:b/>
          <w:bCs/>
        </w:rPr>
      </w:pPr>
      <w:r>
        <w:rPr>
          <w:rStyle w:val="NoneA"/>
        </w:rPr>
        <w:t xml:space="preserve">RQ3: What are the reasons behind delaying such ambitions legislation? Is it extraterritorial nature of this document or the issue is deeply covered under the colonial architecture of western institutions? </w:t>
      </w:r>
    </w:p>
    <w:p w14:paraId="7329181E" w14:textId="77777777" w:rsidR="003B207D" w:rsidRDefault="003B207D" w:rsidP="006A43BB">
      <w:pPr>
        <w:pStyle w:val="Body"/>
        <w:spacing w:line="360" w:lineRule="auto"/>
        <w:rPr>
          <w:b/>
          <w:bCs/>
        </w:rPr>
      </w:pPr>
    </w:p>
    <w:p w14:paraId="7329181F" w14:textId="78840400" w:rsidR="003B207D" w:rsidRDefault="001B603C" w:rsidP="006A43BB">
      <w:pPr>
        <w:pStyle w:val="Body"/>
        <w:spacing w:line="360" w:lineRule="auto"/>
        <w:rPr>
          <w:b/>
          <w:bCs/>
        </w:rPr>
      </w:pPr>
      <w:r>
        <w:rPr>
          <w:b/>
          <w:bCs/>
          <w:lang w:val="en-US"/>
        </w:rPr>
        <w:t xml:space="preserve">1.5 </w:t>
      </w:r>
      <w:r w:rsidR="00C96635">
        <w:rPr>
          <w:b/>
          <w:bCs/>
          <w:lang w:val="en-US"/>
        </w:rPr>
        <w:t>Methodology</w:t>
      </w:r>
    </w:p>
    <w:p w14:paraId="73291820" w14:textId="77777777" w:rsidR="003B207D" w:rsidRDefault="003B207D" w:rsidP="006A43BB">
      <w:pPr>
        <w:pStyle w:val="Body"/>
        <w:spacing w:line="360" w:lineRule="auto"/>
        <w:rPr>
          <w:rStyle w:val="NoneA"/>
        </w:rPr>
      </w:pPr>
    </w:p>
    <w:p w14:paraId="73291821" w14:textId="77777777" w:rsidR="003B207D" w:rsidRDefault="00C96635" w:rsidP="006A43BB">
      <w:pPr>
        <w:pStyle w:val="Body"/>
        <w:spacing w:line="360" w:lineRule="auto"/>
        <w:jc w:val="both"/>
        <w:rPr>
          <w:rStyle w:val="NoneA"/>
        </w:rPr>
      </w:pPr>
      <w:r>
        <w:rPr>
          <w:rStyle w:val="NoneA"/>
        </w:rPr>
        <w:t>This research uses the combination of methods including legal analyses, literature review and empirical research.</w:t>
      </w:r>
    </w:p>
    <w:p w14:paraId="73291822" w14:textId="77777777" w:rsidR="003B207D" w:rsidRDefault="003B207D" w:rsidP="006A43BB">
      <w:pPr>
        <w:pStyle w:val="Body"/>
        <w:spacing w:line="360" w:lineRule="auto"/>
        <w:jc w:val="both"/>
        <w:rPr>
          <w:rStyle w:val="NoneA"/>
        </w:rPr>
      </w:pPr>
    </w:p>
    <w:p w14:paraId="73291823" w14:textId="7B9A6104" w:rsidR="003B207D" w:rsidRDefault="00C96635" w:rsidP="006A43BB">
      <w:pPr>
        <w:pStyle w:val="Body"/>
        <w:spacing w:line="360" w:lineRule="auto"/>
        <w:jc w:val="both"/>
        <w:rPr>
          <w:rStyle w:val="NoneA"/>
        </w:rPr>
      </w:pPr>
      <w:r>
        <w:rPr>
          <w:rStyle w:val="NoneA"/>
        </w:rPr>
        <w:t>Whilst this thesis generally considers three main areas of law: international law, domestic law and international human rights law, to effectively understand the impact of th</w:t>
      </w:r>
      <w:r w:rsidR="001314F0">
        <w:rPr>
          <w:rStyle w:val="NoneA"/>
        </w:rPr>
        <w:t>ese</w:t>
      </w:r>
      <w:r>
        <w:rPr>
          <w:rStyle w:val="NoneA"/>
        </w:rPr>
        <w:t xml:space="preserve"> concepts and critical evaluation of the evidence-based results, this thesis will examine a  doctrinal approach combining textual analysis with emerging issues, international instruments and case studies. </w:t>
      </w:r>
    </w:p>
    <w:p w14:paraId="73291824" w14:textId="77777777" w:rsidR="003B207D" w:rsidRDefault="003B207D" w:rsidP="006A43BB">
      <w:pPr>
        <w:pStyle w:val="Body"/>
        <w:spacing w:line="360" w:lineRule="auto"/>
        <w:jc w:val="both"/>
        <w:rPr>
          <w:rStyle w:val="NoneA"/>
        </w:rPr>
      </w:pPr>
    </w:p>
    <w:p w14:paraId="73291825" w14:textId="77777777" w:rsidR="003B207D" w:rsidRDefault="00C96635" w:rsidP="006A43BB">
      <w:pPr>
        <w:pStyle w:val="Body"/>
        <w:spacing w:line="360" w:lineRule="auto"/>
        <w:jc w:val="both"/>
        <w:rPr>
          <w:rStyle w:val="NoneA"/>
        </w:rPr>
      </w:pPr>
      <w:r>
        <w:rPr>
          <w:rStyle w:val="NoneA"/>
        </w:rPr>
        <w:t xml:space="preserve">The data include the analyses and examination of both primary (UN documents, statements, opinions, treaties and conventions) and secondary sources (case law, reports, commentaries, books, articles, online journals). </w:t>
      </w:r>
    </w:p>
    <w:p w14:paraId="73291826" w14:textId="77777777" w:rsidR="003B207D" w:rsidRDefault="003B207D" w:rsidP="006A43BB">
      <w:pPr>
        <w:pStyle w:val="Body"/>
        <w:spacing w:line="360" w:lineRule="auto"/>
        <w:jc w:val="both"/>
        <w:rPr>
          <w:rStyle w:val="NoneA"/>
        </w:rPr>
      </w:pPr>
    </w:p>
    <w:p w14:paraId="73291827" w14:textId="6AD44386" w:rsidR="003B207D" w:rsidRDefault="00C96635" w:rsidP="006A43BB">
      <w:pPr>
        <w:pStyle w:val="Body"/>
        <w:spacing w:line="360" w:lineRule="auto"/>
        <w:jc w:val="both"/>
        <w:rPr>
          <w:rStyle w:val="NoneA"/>
        </w:rPr>
      </w:pPr>
      <w:r>
        <w:rPr>
          <w:rStyle w:val="NoneA"/>
        </w:rPr>
        <w:t xml:space="preserve">This </w:t>
      </w:r>
      <w:r w:rsidR="001314F0">
        <w:rPr>
          <w:rStyle w:val="NoneA"/>
        </w:rPr>
        <w:t xml:space="preserve">research </w:t>
      </w:r>
      <w:r>
        <w:rPr>
          <w:rStyle w:val="NoneA"/>
        </w:rPr>
        <w:t xml:space="preserve">paper uses theoretical framework which is bottomed on the multi-dimensional (legal, social, historic, economic) sides of tension between corporate responsibility and due diligence doctrine of states to protect human rights, various perspectives and rationales behind </w:t>
      </w:r>
      <w:r>
        <w:rPr>
          <w:rStyle w:val="NoneA"/>
        </w:rPr>
        <w:lastRenderedPageBreak/>
        <w:t xml:space="preserve">this tension and the review of those factors in the development of rigorous, extensive approach to the diminution of this tension. </w:t>
      </w:r>
    </w:p>
    <w:p w14:paraId="73291828" w14:textId="77777777" w:rsidR="003B207D" w:rsidRDefault="003B207D">
      <w:pPr>
        <w:pStyle w:val="Body"/>
        <w:jc w:val="both"/>
        <w:rPr>
          <w:rStyle w:val="NoneA"/>
        </w:rPr>
      </w:pPr>
    </w:p>
    <w:p w14:paraId="7329182E" w14:textId="77777777" w:rsidR="003B207D" w:rsidRDefault="003B207D" w:rsidP="006A43BB">
      <w:pPr>
        <w:pStyle w:val="Body"/>
        <w:spacing w:line="360" w:lineRule="auto"/>
        <w:jc w:val="both"/>
        <w:rPr>
          <w:rStyle w:val="NoneA"/>
          <w:rFonts w:cs="Times New Roman"/>
          <w:color w:val="auto"/>
          <w:lang w:eastAsia="en-US"/>
          <w14:textOutline w14:w="0" w14:cap="rnd" w14:cmpd="sng" w14:algn="ctr">
            <w14:noFill/>
            <w14:prstDash w14:val="solid"/>
            <w14:bevel/>
          </w14:textOutline>
        </w:rPr>
      </w:pPr>
    </w:p>
    <w:p w14:paraId="7329182F" w14:textId="757C1839" w:rsidR="003B207D" w:rsidRDefault="00994874" w:rsidP="006A43BB">
      <w:pPr>
        <w:pStyle w:val="Body"/>
        <w:spacing w:line="360" w:lineRule="auto"/>
        <w:jc w:val="both"/>
        <w:rPr>
          <w:b/>
          <w:bCs/>
        </w:rPr>
      </w:pPr>
      <w:r>
        <w:rPr>
          <w:b/>
          <w:bCs/>
          <w:lang w:val="en-US"/>
        </w:rPr>
        <w:t>1.6</w:t>
      </w:r>
      <w:r w:rsidR="00C96635">
        <w:rPr>
          <w:b/>
          <w:bCs/>
          <w:lang w:val="en-US"/>
        </w:rPr>
        <w:t xml:space="preserve"> Thesis Outline</w:t>
      </w:r>
    </w:p>
    <w:p w14:paraId="73291830" w14:textId="77777777" w:rsidR="003B207D" w:rsidRDefault="003B207D" w:rsidP="006A43BB">
      <w:pPr>
        <w:pStyle w:val="Body"/>
        <w:spacing w:line="360" w:lineRule="auto"/>
        <w:jc w:val="both"/>
        <w:rPr>
          <w:b/>
          <w:bCs/>
        </w:rPr>
      </w:pPr>
    </w:p>
    <w:p w14:paraId="73291831" w14:textId="77777777" w:rsidR="003B207D" w:rsidRDefault="00C96635" w:rsidP="006A43BB">
      <w:pPr>
        <w:pStyle w:val="Body"/>
        <w:spacing w:line="360" w:lineRule="auto"/>
        <w:jc w:val="both"/>
        <w:rPr>
          <w:rStyle w:val="NoneA"/>
        </w:rPr>
      </w:pPr>
      <w:r>
        <w:rPr>
          <w:b/>
          <w:bCs/>
          <w:lang w:val="en-US"/>
        </w:rPr>
        <w:t>Chapter two</w:t>
      </w:r>
      <w:r>
        <w:rPr>
          <w:rStyle w:val="NoneA"/>
        </w:rPr>
        <w:t xml:space="preserve"> is focused on the historical background, in particular development of human rights accountability in the context of corporations. It includes examination of relevant case studies, jurisprudence and international instruments. </w:t>
      </w:r>
    </w:p>
    <w:p w14:paraId="73291832" w14:textId="77777777" w:rsidR="003B207D" w:rsidRDefault="003B207D" w:rsidP="006A43BB">
      <w:pPr>
        <w:pStyle w:val="Body"/>
        <w:spacing w:line="360" w:lineRule="auto"/>
        <w:jc w:val="both"/>
        <w:rPr>
          <w:rStyle w:val="NoneA"/>
        </w:rPr>
      </w:pPr>
    </w:p>
    <w:p w14:paraId="73291833" w14:textId="77777777" w:rsidR="003B207D" w:rsidRDefault="00C96635" w:rsidP="006A43BB">
      <w:pPr>
        <w:pStyle w:val="Body"/>
        <w:spacing w:line="360" w:lineRule="auto"/>
        <w:jc w:val="both"/>
        <w:rPr>
          <w:rStyle w:val="NoneA"/>
        </w:rPr>
      </w:pPr>
      <w:r>
        <w:rPr>
          <w:b/>
          <w:bCs/>
          <w:lang w:val="en-US"/>
        </w:rPr>
        <w:t xml:space="preserve">Chapter three </w:t>
      </w:r>
      <w:r>
        <w:rPr>
          <w:rStyle w:val="NoneA"/>
        </w:rPr>
        <w:t xml:space="preserve">evaluates the current regulation of corporations under modern international law including the existing legal initiatives and codes of conduct. </w:t>
      </w:r>
    </w:p>
    <w:p w14:paraId="73291834" w14:textId="77777777" w:rsidR="003B207D" w:rsidRDefault="003B207D" w:rsidP="006A43BB">
      <w:pPr>
        <w:pStyle w:val="Body"/>
        <w:spacing w:line="360" w:lineRule="auto"/>
        <w:jc w:val="both"/>
        <w:rPr>
          <w:rStyle w:val="NoneA"/>
        </w:rPr>
      </w:pPr>
    </w:p>
    <w:p w14:paraId="73291835" w14:textId="77777777" w:rsidR="003B207D" w:rsidRDefault="00C96635" w:rsidP="006A43BB">
      <w:pPr>
        <w:pStyle w:val="Body"/>
        <w:spacing w:line="360" w:lineRule="auto"/>
        <w:jc w:val="both"/>
        <w:rPr>
          <w:rStyle w:val="NoneA"/>
        </w:rPr>
      </w:pPr>
      <w:r>
        <w:rPr>
          <w:b/>
          <w:bCs/>
          <w:lang w:val="en-US"/>
        </w:rPr>
        <w:t>Chapter four</w:t>
      </w:r>
      <w:r>
        <w:rPr>
          <w:rStyle w:val="NoneA"/>
        </w:rPr>
        <w:t xml:space="preserve"> provides critical analyses of the accountability of corporations. In particular, it examines the notion of corporate social responsibility, international legal personality, domestic regulation and criminal liability. </w:t>
      </w:r>
    </w:p>
    <w:p w14:paraId="73291836" w14:textId="77777777" w:rsidR="003B207D" w:rsidRDefault="003B207D" w:rsidP="006A43BB">
      <w:pPr>
        <w:pStyle w:val="Body"/>
        <w:spacing w:line="360" w:lineRule="auto"/>
        <w:jc w:val="both"/>
        <w:rPr>
          <w:rStyle w:val="NoneA"/>
        </w:rPr>
      </w:pPr>
    </w:p>
    <w:p w14:paraId="73291837" w14:textId="77777777" w:rsidR="003B207D" w:rsidRDefault="00C96635" w:rsidP="006A43BB">
      <w:pPr>
        <w:pStyle w:val="Body"/>
        <w:spacing w:line="360" w:lineRule="auto"/>
        <w:jc w:val="both"/>
        <w:rPr>
          <w:rStyle w:val="NoneA"/>
        </w:rPr>
      </w:pPr>
      <w:r>
        <w:rPr>
          <w:b/>
          <w:bCs/>
          <w:lang w:val="en-US"/>
        </w:rPr>
        <w:t>Chapter five</w:t>
      </w:r>
      <w:r>
        <w:rPr>
          <w:rStyle w:val="NoneA"/>
        </w:rPr>
        <w:t xml:space="preserve"> provides legal analysis and critical evaluation of the duty of states to protect human rights. It critically analyses the concept of extraterritorial regulation, jurisdiction, territorial sovereignty, principle of non-intervention, nationality principle and universal jurisdiction.  </w:t>
      </w:r>
    </w:p>
    <w:p w14:paraId="73291838" w14:textId="77777777" w:rsidR="003B207D" w:rsidRDefault="003B207D" w:rsidP="006A43BB">
      <w:pPr>
        <w:pStyle w:val="Body"/>
        <w:spacing w:line="360" w:lineRule="auto"/>
        <w:jc w:val="both"/>
        <w:rPr>
          <w:rStyle w:val="NoneA"/>
        </w:rPr>
      </w:pPr>
    </w:p>
    <w:p w14:paraId="73291839" w14:textId="77777777" w:rsidR="003B207D" w:rsidRDefault="00C96635" w:rsidP="006A43BB">
      <w:pPr>
        <w:pStyle w:val="Body"/>
        <w:spacing w:line="360" w:lineRule="auto"/>
        <w:jc w:val="both"/>
        <w:rPr>
          <w:rStyle w:val="NoneA"/>
        </w:rPr>
      </w:pPr>
      <w:r>
        <w:rPr>
          <w:b/>
          <w:bCs/>
          <w:lang w:val="en-US"/>
        </w:rPr>
        <w:t>Chapter six</w:t>
      </w:r>
      <w:r>
        <w:rPr>
          <w:rStyle w:val="NoneAA"/>
        </w:rPr>
        <w:t xml:space="preserve"> provides comprehensive examination of the need for binding business and human rights regulation. This chapter includes theoretical evaluation of the structure of the proposed treaty and recommendations for the future research. </w:t>
      </w:r>
    </w:p>
    <w:p w14:paraId="7329183A" w14:textId="77777777" w:rsidR="003B207D" w:rsidRDefault="003B207D" w:rsidP="006A43BB">
      <w:pPr>
        <w:pStyle w:val="Body"/>
        <w:spacing w:line="360" w:lineRule="auto"/>
        <w:jc w:val="both"/>
        <w:rPr>
          <w:rStyle w:val="NoneA"/>
        </w:rPr>
      </w:pPr>
    </w:p>
    <w:p w14:paraId="0718692A" w14:textId="30956D74" w:rsidR="00EC3B46" w:rsidRDefault="00C96635" w:rsidP="006A43BB">
      <w:pPr>
        <w:pStyle w:val="Body"/>
        <w:spacing w:line="360" w:lineRule="auto"/>
        <w:rPr>
          <w:b/>
          <w:bCs/>
          <w14:textOutline w14:w="12700" w14:cap="flat" w14:cmpd="sng" w14:algn="ctr">
            <w14:noFill/>
            <w14:prstDash w14:val="solid"/>
            <w14:miter w14:lim="400000"/>
          </w14:textOutline>
        </w:rPr>
      </w:pPr>
      <w:r>
        <w:rPr>
          <w:b/>
          <w:bCs/>
          <w:lang w:val="en-US"/>
        </w:rPr>
        <w:t xml:space="preserve">Chapter seven </w:t>
      </w:r>
      <w:r>
        <w:rPr>
          <w:rStyle w:val="NoneA"/>
        </w:rPr>
        <w:t xml:space="preserve">concludes both theoretical and legal requirement for business and human rights treaty. </w:t>
      </w:r>
    </w:p>
    <w:p w14:paraId="32168D99" w14:textId="2642FB41" w:rsidR="00EC3B46" w:rsidRDefault="00EC3B46" w:rsidP="006A43BB">
      <w:pPr>
        <w:pStyle w:val="Body"/>
        <w:spacing w:line="360" w:lineRule="auto"/>
        <w:rPr>
          <w:b/>
          <w:bCs/>
          <w14:textOutline w14:w="12700" w14:cap="flat" w14:cmpd="sng" w14:algn="ctr">
            <w14:noFill/>
            <w14:prstDash w14:val="solid"/>
            <w14:miter w14:lim="400000"/>
          </w14:textOutline>
        </w:rPr>
      </w:pPr>
    </w:p>
    <w:p w14:paraId="72ADA9D4" w14:textId="0B591338" w:rsidR="00EC3B46" w:rsidRDefault="00EC3B46" w:rsidP="006A43BB">
      <w:pPr>
        <w:pStyle w:val="Body"/>
        <w:spacing w:line="360" w:lineRule="auto"/>
        <w:rPr>
          <w:b/>
          <w:bCs/>
          <w14:textOutline w14:w="12700" w14:cap="flat" w14:cmpd="sng" w14:algn="ctr">
            <w14:noFill/>
            <w14:prstDash w14:val="solid"/>
            <w14:miter w14:lim="400000"/>
          </w14:textOutline>
        </w:rPr>
      </w:pPr>
    </w:p>
    <w:p w14:paraId="7342FFB7" w14:textId="6C590E68" w:rsidR="00EC3B46" w:rsidRDefault="00EC3B46" w:rsidP="006A43BB">
      <w:pPr>
        <w:pStyle w:val="Body"/>
        <w:spacing w:line="360" w:lineRule="auto"/>
        <w:rPr>
          <w:b/>
          <w:bCs/>
          <w14:textOutline w14:w="12700" w14:cap="flat" w14:cmpd="sng" w14:algn="ctr">
            <w14:noFill/>
            <w14:prstDash w14:val="solid"/>
            <w14:miter w14:lim="400000"/>
          </w14:textOutline>
        </w:rPr>
      </w:pPr>
    </w:p>
    <w:p w14:paraId="2F8AA099" w14:textId="743FC7F3" w:rsidR="00EC3B46" w:rsidRDefault="00EC3B46" w:rsidP="006A43BB">
      <w:pPr>
        <w:pStyle w:val="Body"/>
        <w:spacing w:line="360" w:lineRule="auto"/>
        <w:rPr>
          <w:b/>
          <w:bCs/>
          <w14:textOutline w14:w="12700" w14:cap="flat" w14:cmpd="sng" w14:algn="ctr">
            <w14:noFill/>
            <w14:prstDash w14:val="solid"/>
            <w14:miter w14:lim="400000"/>
          </w14:textOutline>
        </w:rPr>
      </w:pPr>
    </w:p>
    <w:p w14:paraId="4DE6A239" w14:textId="23EA42BE" w:rsidR="00EC3B46" w:rsidRDefault="00EC3B46" w:rsidP="006A43BB">
      <w:pPr>
        <w:pStyle w:val="Body"/>
        <w:spacing w:line="360" w:lineRule="auto"/>
        <w:rPr>
          <w:b/>
          <w:bCs/>
          <w14:textOutline w14:w="12700" w14:cap="flat" w14:cmpd="sng" w14:algn="ctr">
            <w14:noFill/>
            <w14:prstDash w14:val="solid"/>
            <w14:miter w14:lim="400000"/>
          </w14:textOutline>
        </w:rPr>
      </w:pPr>
    </w:p>
    <w:p w14:paraId="68C6DEDA" w14:textId="77777777" w:rsidR="00AF6CE3" w:rsidRDefault="00AF6CE3" w:rsidP="006A43BB">
      <w:pPr>
        <w:pStyle w:val="Body"/>
        <w:spacing w:line="360" w:lineRule="auto"/>
        <w:rPr>
          <w:b/>
          <w:bCs/>
          <w14:textOutline w14:w="12700" w14:cap="flat" w14:cmpd="sng" w14:algn="ctr">
            <w14:noFill/>
            <w14:prstDash w14:val="solid"/>
            <w14:miter w14:lim="400000"/>
          </w14:textOutline>
        </w:rPr>
      </w:pPr>
    </w:p>
    <w:p w14:paraId="73291852" w14:textId="0F23BAED" w:rsidR="003B207D" w:rsidRDefault="00C96635" w:rsidP="006A43BB">
      <w:pPr>
        <w:pStyle w:val="Body"/>
        <w:spacing w:line="360" w:lineRule="auto"/>
        <w:rPr>
          <w:b/>
          <w:bCs/>
          <w14:textOutline w14:w="12700" w14:cap="flat" w14:cmpd="sng" w14:algn="ctr">
            <w14:noFill/>
            <w14:prstDash w14:val="solid"/>
            <w14:miter w14:lim="400000"/>
          </w14:textOutline>
        </w:rPr>
      </w:pPr>
      <w:r>
        <w:rPr>
          <w:b/>
          <w:bCs/>
          <w:lang w:val="en-US"/>
          <w14:textOutline w14:w="12700" w14:cap="flat" w14:cmpd="sng" w14:algn="ctr">
            <w14:noFill/>
            <w14:prstDash w14:val="solid"/>
            <w14:miter w14:lim="400000"/>
          </w14:textOutline>
        </w:rPr>
        <w:lastRenderedPageBreak/>
        <w:t xml:space="preserve">II Business and Human Rights: Historical Background </w:t>
      </w:r>
    </w:p>
    <w:p w14:paraId="73291853" w14:textId="77777777" w:rsidR="003B207D" w:rsidRDefault="003B207D" w:rsidP="006A43BB">
      <w:pPr>
        <w:pStyle w:val="Body"/>
        <w:spacing w:line="360" w:lineRule="auto"/>
        <w:rPr>
          <w:b/>
          <w:bCs/>
          <w14:textOutline w14:w="12700" w14:cap="flat" w14:cmpd="sng" w14:algn="ctr">
            <w14:noFill/>
            <w14:prstDash w14:val="solid"/>
            <w14:miter w14:lim="400000"/>
          </w14:textOutline>
        </w:rPr>
      </w:pPr>
    </w:p>
    <w:p w14:paraId="73291854" w14:textId="73EA9A19" w:rsidR="003B207D" w:rsidRDefault="00C96635" w:rsidP="006A43BB">
      <w:pPr>
        <w:pStyle w:val="Body"/>
        <w:numPr>
          <w:ilvl w:val="1"/>
          <w:numId w:val="18"/>
        </w:numPr>
        <w:spacing w:line="360" w:lineRule="auto"/>
        <w:rPr>
          <w:b/>
          <w:bCs/>
          <w:lang w:val="en-US"/>
        </w:rPr>
      </w:pPr>
      <w:r>
        <w:rPr>
          <w:b/>
          <w:bCs/>
          <w:lang w:val="en-US"/>
          <w14:textOutline w14:w="12700" w14:cap="flat" w14:cmpd="sng" w14:algn="ctr">
            <w14:noFill/>
            <w14:prstDash w14:val="solid"/>
            <w14:miter w14:lim="400000"/>
          </w14:textOutline>
        </w:rPr>
        <w:t xml:space="preserve">The Colonial Era and its Aftermath </w:t>
      </w:r>
    </w:p>
    <w:p w14:paraId="73291855" w14:textId="77777777" w:rsidR="003B207D" w:rsidRDefault="003B207D" w:rsidP="006A43BB">
      <w:pPr>
        <w:pStyle w:val="Body"/>
        <w:spacing w:line="360" w:lineRule="auto"/>
        <w:jc w:val="both"/>
        <w:rPr>
          <w:b/>
          <w:bCs/>
          <w14:textOutline w14:w="12700" w14:cap="flat" w14:cmpd="sng" w14:algn="ctr">
            <w14:noFill/>
            <w14:prstDash w14:val="solid"/>
            <w14:miter w14:lim="400000"/>
          </w14:textOutline>
        </w:rPr>
      </w:pPr>
    </w:p>
    <w:p w14:paraId="73291856" w14:textId="25C5DF16" w:rsidR="003B207D" w:rsidRDefault="00C96635" w:rsidP="006A43BB">
      <w:pPr>
        <w:pStyle w:val="Body"/>
        <w:spacing w:line="360" w:lineRule="auto"/>
        <w:jc w:val="both"/>
        <w:rPr>
          <w14:textOutline w14:w="12700" w14:cap="flat" w14:cmpd="sng" w14:algn="ctr">
            <w14:noFill/>
            <w14:prstDash w14:val="solid"/>
            <w14:miter w14:lim="400000"/>
          </w14:textOutline>
        </w:rPr>
      </w:pPr>
      <w:r>
        <w:rPr>
          <w:lang w:val="en-US"/>
          <w14:textOutline w14:w="12700" w14:cap="flat" w14:cmpd="sng" w14:algn="ctr">
            <w14:noFill/>
            <w14:prstDash w14:val="solid"/>
            <w14:miter w14:lim="400000"/>
          </w14:textOutline>
        </w:rPr>
        <w:t xml:space="preserve">The last century was </w:t>
      </w:r>
      <w:proofErr w:type="spellStart"/>
      <w:r>
        <w:rPr>
          <w:lang w:val="en-US"/>
          <w14:textOutline w14:w="12700" w14:cap="flat" w14:cmpd="sng" w14:algn="ctr">
            <w14:noFill/>
            <w14:prstDash w14:val="solid"/>
            <w14:miter w14:lim="400000"/>
          </w14:textOutline>
        </w:rPr>
        <w:t>characterised</w:t>
      </w:r>
      <w:proofErr w:type="spellEnd"/>
      <w:r>
        <w:rPr>
          <w:lang w:val="en-US"/>
          <w14:textOutline w14:w="12700" w14:cap="flat" w14:cmpd="sng" w14:algn="ctr">
            <w14:noFill/>
            <w14:prstDash w14:val="solid"/>
            <w14:miter w14:lim="400000"/>
          </w14:textOutline>
        </w:rPr>
        <w:t xml:space="preserve"> with new ambitious approaches to protect human rights. During European colonialism direct control has been established through different mechanisms in order to strengthen colonial relationships which were widely supported and </w:t>
      </w:r>
      <w:proofErr w:type="spellStart"/>
      <w:r>
        <w:rPr>
          <w:lang w:val="en-US"/>
          <w14:textOutline w14:w="12700" w14:cap="flat" w14:cmpd="sng" w14:algn="ctr">
            <w14:noFill/>
            <w14:prstDash w14:val="solid"/>
            <w14:miter w14:lim="400000"/>
          </w14:textOutline>
        </w:rPr>
        <w:t>recognised</w:t>
      </w:r>
      <w:proofErr w:type="spellEnd"/>
      <w:r>
        <w:rPr>
          <w:lang w:val="en-US"/>
          <w14:textOutline w14:w="12700" w14:cap="flat" w14:cmpd="sng" w14:algn="ctr">
            <w14:noFill/>
            <w14:prstDash w14:val="solid"/>
            <w14:miter w14:lim="400000"/>
          </w14:textOutline>
        </w:rPr>
        <w:t xml:space="preserve"> by international law.</w:t>
      </w:r>
      <w:r>
        <w:rPr>
          <w:vertAlign w:val="superscript"/>
          <w14:textOutline w14:w="12700" w14:cap="flat" w14:cmpd="sng" w14:algn="ctr">
            <w14:noFill/>
            <w14:prstDash w14:val="solid"/>
            <w14:miter w14:lim="400000"/>
          </w14:textOutline>
        </w:rPr>
        <w:footnoteReference w:id="22"/>
      </w:r>
      <w:r>
        <w:rPr>
          <w14:textOutline w14:w="12700" w14:cap="flat" w14:cmpd="sng" w14:algn="ctr">
            <w14:noFill/>
            <w14:prstDash w14:val="solid"/>
            <w14:miter w14:lim="400000"/>
          </w14:textOutline>
        </w:rPr>
        <w:t xml:space="preserve"> </w:t>
      </w:r>
    </w:p>
    <w:p w14:paraId="4502B903" w14:textId="39E2E0C0" w:rsidR="00954C9C" w:rsidRDefault="00C96635" w:rsidP="006A43BB">
      <w:pPr>
        <w:pStyle w:val="NoSpacing"/>
        <w:spacing w:line="360" w:lineRule="auto"/>
        <w:jc w:val="both"/>
      </w:pPr>
      <w:r>
        <w:br/>
        <w:t xml:space="preserve">TNC’s were creations of domestic law and were placed effectively under control of states. This period is </w:t>
      </w:r>
      <w:proofErr w:type="spellStart"/>
      <w:r>
        <w:t>characterised</w:t>
      </w:r>
      <w:proofErr w:type="spellEnd"/>
      <w:r>
        <w:t xml:space="preserve"> by the economic exploitation of the colonial territories by European companies. The legal term “concessions” was used to describe this relationship between home states and its companies which was based on investments and profits.</w:t>
      </w:r>
      <w:r>
        <w:rPr>
          <w:vertAlign w:val="superscript"/>
        </w:rPr>
        <w:footnoteReference w:id="23"/>
      </w:r>
      <w:r>
        <w:t xml:space="preserve"> </w:t>
      </w:r>
      <w:r w:rsidR="00954C9C">
        <w:t>For instance, this happened in United States, Europe and Latin America.</w:t>
      </w:r>
      <w:r w:rsidR="00954C9C">
        <w:rPr>
          <w:rStyle w:val="FootnoteReference"/>
        </w:rPr>
        <w:footnoteReference w:id="24"/>
      </w:r>
    </w:p>
    <w:p w14:paraId="219DB248" w14:textId="77777777" w:rsidR="00954C9C" w:rsidRDefault="00954C9C" w:rsidP="006A43BB">
      <w:pPr>
        <w:pStyle w:val="NoSpacing"/>
        <w:spacing w:line="360" w:lineRule="auto"/>
        <w:jc w:val="both"/>
      </w:pPr>
    </w:p>
    <w:p w14:paraId="73291859" w14:textId="37AA428E" w:rsidR="003B207D" w:rsidRDefault="00C96635" w:rsidP="006A43BB">
      <w:pPr>
        <w:pStyle w:val="NoSpacing"/>
        <w:spacing w:line="360" w:lineRule="auto"/>
        <w:jc w:val="both"/>
      </w:pPr>
      <w:r>
        <w:t>The notions of sovereign and judicial equality became central in global economic transformation.</w:t>
      </w:r>
      <w:r>
        <w:rPr>
          <w:vertAlign w:val="superscript"/>
        </w:rPr>
        <w:footnoteReference w:id="25"/>
      </w:r>
      <w:r>
        <w:t xml:space="preserve"> Furthermore, more developing countries became members of different non-governmental organizations that resulted in adoption of a number of resolutions aimed to achieve equality between North and South.</w:t>
      </w:r>
      <w:r>
        <w:rPr>
          <w:vertAlign w:val="superscript"/>
        </w:rPr>
        <w:footnoteReference w:id="26"/>
      </w:r>
      <w:r>
        <w:t xml:space="preserve"> This led to the adoption of a Charter of Economic Rights and Duties of States which included duties and obligations of the North and South.</w:t>
      </w:r>
      <w:r>
        <w:rPr>
          <w:vertAlign w:val="superscript"/>
        </w:rPr>
        <w:footnoteReference w:id="27"/>
      </w:r>
      <w:r>
        <w:t xml:space="preserve"> </w:t>
      </w:r>
      <w:r>
        <w:rPr>
          <w:rFonts w:ascii="Arial" w:hAnsi="Arial"/>
          <w:sz w:val="22"/>
          <w:szCs w:val="22"/>
        </w:rPr>
        <w:t xml:space="preserve"> </w:t>
      </w:r>
      <w:r>
        <w:t>With the establishment of United Nations and the UN Charter</w:t>
      </w:r>
      <w:r>
        <w:rPr>
          <w:vertAlign w:val="superscript"/>
        </w:rPr>
        <w:footnoteReference w:id="28"/>
      </w:r>
      <w:r>
        <w:t xml:space="preserve"> the concept of non-interference into the internal affairs of other states became </w:t>
      </w:r>
      <w:proofErr w:type="spellStart"/>
      <w:r>
        <w:t>recognised</w:t>
      </w:r>
      <w:proofErr w:type="spellEnd"/>
      <w:r>
        <w:t>. Few years later, the Universal Declaration on Human Rights</w:t>
      </w:r>
      <w:r>
        <w:rPr>
          <w:vertAlign w:val="superscript"/>
        </w:rPr>
        <w:footnoteReference w:id="29"/>
      </w:r>
      <w:r>
        <w:t xml:space="preserve"> was promulgated along with the International Covenant on Economic, Social, and Cultural </w:t>
      </w:r>
      <w:r w:rsidRPr="006A43BB">
        <w:t xml:space="preserve">Rights (hereinafter - </w:t>
      </w:r>
      <w:r w:rsidRPr="006A43BB">
        <w:rPr>
          <w:rtl/>
          <w:lang w:val="ar-SA"/>
        </w:rPr>
        <w:t>“</w:t>
      </w:r>
      <w:r w:rsidRPr="006A43BB">
        <w:rPr>
          <w:lang w:val="en-IE"/>
        </w:rPr>
        <w:t>ICESCR</w:t>
      </w:r>
      <w:r w:rsidRPr="006A43BB">
        <w:t>”)</w:t>
      </w:r>
      <w:r w:rsidRPr="006A43BB">
        <w:rPr>
          <w:vertAlign w:val="superscript"/>
        </w:rPr>
        <w:footnoteReference w:id="30"/>
      </w:r>
      <w:r w:rsidRPr="006A43BB">
        <w:t xml:space="preserve"> and the International Covenant on Civil and Political Rights (hereinafter - </w:t>
      </w:r>
      <w:r w:rsidRPr="006A43BB">
        <w:rPr>
          <w:rtl/>
          <w:lang w:val="ar-SA"/>
        </w:rPr>
        <w:t>“</w:t>
      </w:r>
      <w:r w:rsidRPr="006A43BB">
        <w:rPr>
          <w:lang w:val="pt-PT"/>
        </w:rPr>
        <w:t>ICCPR</w:t>
      </w:r>
      <w:r w:rsidRPr="006A43BB">
        <w:t>”)</w:t>
      </w:r>
      <w:r w:rsidRPr="006A43BB">
        <w:rPr>
          <w:vertAlign w:val="superscript"/>
        </w:rPr>
        <w:footnoteReference w:id="31"/>
      </w:r>
      <w:r w:rsidRPr="006A43BB">
        <w:t>.</w:t>
      </w:r>
      <w:r w:rsidR="00C02C2D">
        <w:t xml:space="preserve"> This was considered as a </w:t>
      </w:r>
      <w:r w:rsidR="00C02C2D">
        <w:lastRenderedPageBreak/>
        <w:t>positive development</w:t>
      </w:r>
      <w:r>
        <w:t>.</w:t>
      </w:r>
      <w:r>
        <w:rPr>
          <w:vertAlign w:val="superscript"/>
        </w:rPr>
        <w:footnoteReference w:id="32"/>
      </w:r>
      <w:r>
        <w:t xml:space="preserve">  However, tension between North and South was quite strong. This is </w:t>
      </w:r>
      <w:proofErr w:type="spellStart"/>
      <w:r>
        <w:t>characterised</w:t>
      </w:r>
      <w:proofErr w:type="spellEnd"/>
      <w:r>
        <w:t xml:space="preserve"> by several changes, in particular a significant expropriation from the side on developing world countries towards foreign investment and economic development agreements that included duties of foreign investors and obligations of the host state.</w:t>
      </w:r>
      <w:r>
        <w:rPr>
          <w:vertAlign w:val="superscript"/>
        </w:rPr>
        <w:footnoteReference w:id="33"/>
      </w:r>
      <w:r>
        <w:t xml:space="preserve"> One of such agreements was the Oil Concession Agreement between the Government of Abu Dhabi and Amoco Abu Dhabi Exploration Company.</w:t>
      </w:r>
      <w:r>
        <w:rPr>
          <w:vertAlign w:val="superscript"/>
        </w:rPr>
        <w:footnoteReference w:id="34"/>
      </w:r>
      <w:r>
        <w:t xml:space="preserve"> Those agreements clearly defined legal responsibilities and duties between host states and TNC</w:t>
      </w:r>
      <w:r>
        <w:rPr>
          <w:rtl/>
        </w:rPr>
        <w:t>’</w:t>
      </w:r>
      <w:r>
        <w:t>s. These developments led to the establishment of the Centre for Transnational Corporations by the UN in 1974.</w:t>
      </w:r>
      <w:r>
        <w:rPr>
          <w:vertAlign w:val="superscript"/>
        </w:rPr>
        <w:footnoteReference w:id="35"/>
      </w:r>
      <w:r>
        <w:t xml:space="preserve"> The aim of this mechanism was to ensure that foreign investors are following economic policies and domestic laws of the host states. However, this attempt </w:t>
      </w:r>
      <w:proofErr w:type="spellStart"/>
      <w:r>
        <w:t>wasn</w:t>
      </w:r>
      <w:proofErr w:type="spellEnd"/>
      <w:r>
        <w:rPr>
          <w:rtl/>
        </w:rPr>
        <w:t>’</w:t>
      </w:r>
      <w:r>
        <w:t>t successful due to the weak policies and regulation.</w:t>
      </w:r>
      <w:r>
        <w:rPr>
          <w:vertAlign w:val="superscript"/>
        </w:rPr>
        <w:footnoteReference w:id="36"/>
      </w:r>
      <w:r>
        <w:rPr>
          <w:rFonts w:ascii="Arial" w:hAnsi="Arial"/>
          <w:sz w:val="22"/>
          <w:szCs w:val="22"/>
        </w:rPr>
        <w:t xml:space="preserve"> </w:t>
      </w:r>
    </w:p>
    <w:p w14:paraId="7329185A" w14:textId="77777777" w:rsidR="003B207D" w:rsidRDefault="003B207D">
      <w:pPr>
        <w:pStyle w:val="Body"/>
        <w:spacing w:line="276" w:lineRule="auto"/>
        <w:jc w:val="both"/>
        <w:rPr>
          <w14:textOutline w14:w="12700" w14:cap="flat" w14:cmpd="sng" w14:algn="ctr">
            <w14:noFill/>
            <w14:prstDash w14:val="solid"/>
            <w14:miter w14:lim="400000"/>
          </w14:textOutline>
        </w:rPr>
      </w:pPr>
    </w:p>
    <w:p w14:paraId="7329185B" w14:textId="77777777" w:rsidR="003B207D" w:rsidRPr="006A43BB" w:rsidRDefault="00C96635" w:rsidP="006A43BB">
      <w:pPr>
        <w:pStyle w:val="Body"/>
        <w:spacing w:line="360" w:lineRule="auto"/>
        <w:jc w:val="both"/>
        <w:rPr>
          <w:rFonts w:cs="Times New Roman"/>
          <w14:textOutline w14:w="12700" w14:cap="flat" w14:cmpd="sng" w14:algn="ctr">
            <w14:noFill/>
            <w14:prstDash w14:val="solid"/>
            <w14:miter w14:lim="400000"/>
          </w14:textOutline>
        </w:rPr>
      </w:pPr>
      <w:r w:rsidRPr="006A43BB">
        <w:rPr>
          <w:rFonts w:cs="Times New Roman"/>
          <w:lang w:val="en-US"/>
          <w14:textOutline w14:w="12700" w14:cap="flat" w14:cmpd="sng" w14:algn="ctr">
            <w14:noFill/>
            <w14:prstDash w14:val="solid"/>
            <w14:miter w14:lim="400000"/>
          </w14:textOutline>
        </w:rPr>
        <w:t xml:space="preserve">In general, the period of </w:t>
      </w:r>
      <w:proofErr w:type="spellStart"/>
      <w:r w:rsidRPr="006A43BB">
        <w:rPr>
          <w:rFonts w:cs="Times New Roman"/>
          <w:lang w:val="en-US"/>
          <w14:textOutline w14:w="12700" w14:cap="flat" w14:cmpd="sng" w14:algn="ctr">
            <w14:noFill/>
            <w14:prstDash w14:val="solid"/>
            <w14:miter w14:lim="400000"/>
          </w14:textOutline>
        </w:rPr>
        <w:t>decolonisation</w:t>
      </w:r>
      <w:proofErr w:type="spellEnd"/>
      <w:r w:rsidRPr="006A43BB">
        <w:rPr>
          <w:rFonts w:cs="Times New Roman"/>
          <w:lang w:val="en-US"/>
          <w14:textOutline w14:w="12700" w14:cap="flat" w14:cmpd="sng" w14:algn="ctr">
            <w14:noFill/>
            <w14:prstDash w14:val="solid"/>
            <w14:miter w14:lim="400000"/>
          </w14:textOutline>
        </w:rPr>
        <w:t xml:space="preserve"> is </w:t>
      </w:r>
      <w:proofErr w:type="spellStart"/>
      <w:r w:rsidRPr="006A43BB">
        <w:rPr>
          <w:rFonts w:cs="Times New Roman"/>
          <w:lang w:val="en-US"/>
          <w14:textOutline w14:w="12700" w14:cap="flat" w14:cmpd="sng" w14:algn="ctr">
            <w14:noFill/>
            <w14:prstDash w14:val="solid"/>
            <w14:miter w14:lim="400000"/>
          </w14:textOutline>
        </w:rPr>
        <w:t>characterised</w:t>
      </w:r>
      <w:proofErr w:type="spellEnd"/>
      <w:r w:rsidRPr="006A43BB">
        <w:rPr>
          <w:rFonts w:cs="Times New Roman"/>
          <w:lang w:val="en-US"/>
          <w14:textOutline w14:w="12700" w14:cap="flat" w14:cmpd="sng" w14:algn="ctr">
            <w14:noFill/>
            <w14:prstDash w14:val="solid"/>
            <w14:miter w14:lim="400000"/>
          </w14:textOutline>
        </w:rPr>
        <w:t xml:space="preserve"> as the period of identification of rights and duties for corporations and host states, including duties of investors and economic development agreements.</w:t>
      </w:r>
      <w:r w:rsidRPr="006A43BB">
        <w:rPr>
          <w:rFonts w:cs="Times New Roman"/>
          <w:vertAlign w:val="superscript"/>
          <w14:textOutline w14:w="12700" w14:cap="flat" w14:cmpd="sng" w14:algn="ctr">
            <w14:noFill/>
            <w14:prstDash w14:val="solid"/>
            <w14:miter w14:lim="400000"/>
          </w14:textOutline>
        </w:rPr>
        <w:footnoteReference w:id="37"/>
      </w:r>
      <w:r w:rsidRPr="006A43BB">
        <w:rPr>
          <w:rFonts w:cs="Times New Roman"/>
          <w:lang w:val="en-US"/>
          <w14:textOutline w14:w="12700" w14:cap="flat" w14:cmpd="sng" w14:algn="ctr">
            <w14:noFill/>
            <w14:prstDash w14:val="solid"/>
            <w14:miter w14:lim="400000"/>
          </w14:textOutline>
        </w:rPr>
        <w:t xml:space="preserve"> In 1950, most of the United Nations diplomats had a strong position toward universality, however the durability of human rights notion in the context of the Third World should not only be examined under the auspices of Amnesty International or Human Rights Watch. It was evidenced in many movements including the Bandung Final Communique.</w:t>
      </w:r>
      <w:r w:rsidRPr="006A43BB">
        <w:rPr>
          <w:rFonts w:cs="Times New Roman"/>
          <w:vertAlign w:val="superscript"/>
          <w14:textOutline w14:w="12700" w14:cap="flat" w14:cmpd="sng" w14:algn="ctr">
            <w14:noFill/>
            <w14:prstDash w14:val="solid"/>
            <w14:miter w14:lim="400000"/>
          </w14:textOutline>
        </w:rPr>
        <w:footnoteReference w:id="38"/>
      </w:r>
    </w:p>
    <w:p w14:paraId="7329185C" w14:textId="77777777" w:rsidR="003B207D" w:rsidRPr="006A43BB" w:rsidRDefault="003B207D" w:rsidP="006A43BB">
      <w:pPr>
        <w:pStyle w:val="Body"/>
        <w:spacing w:line="360" w:lineRule="auto"/>
        <w:rPr>
          <w:rFonts w:cs="Times New Roman"/>
          <w:b/>
          <w:bCs/>
          <w14:textOutline w14:w="12700" w14:cap="flat" w14:cmpd="sng" w14:algn="ctr">
            <w14:noFill/>
            <w14:prstDash w14:val="solid"/>
            <w14:miter w14:lim="400000"/>
          </w14:textOutline>
        </w:rPr>
      </w:pPr>
    </w:p>
    <w:p w14:paraId="7329185D" w14:textId="5349B8B4" w:rsidR="003B207D" w:rsidRPr="006A43BB" w:rsidRDefault="00C96635" w:rsidP="006A43BB">
      <w:pPr>
        <w:pStyle w:val="Body"/>
        <w:numPr>
          <w:ilvl w:val="1"/>
          <w:numId w:val="18"/>
        </w:numPr>
        <w:spacing w:line="360" w:lineRule="auto"/>
        <w:rPr>
          <w:rFonts w:cs="Times New Roman"/>
          <w:b/>
          <w:bCs/>
          <w:lang w:val="en-US"/>
        </w:rPr>
      </w:pPr>
      <w:r w:rsidRPr="006A43BB">
        <w:rPr>
          <w:rFonts w:cs="Times New Roman"/>
          <w:b/>
          <w:bCs/>
          <w:lang w:val="en-US"/>
          <w14:textOutline w14:w="12700" w14:cap="flat" w14:cmpd="sng" w14:algn="ctr">
            <w14:noFill/>
            <w14:prstDash w14:val="solid"/>
            <w14:miter w14:lim="400000"/>
          </w14:textOutline>
        </w:rPr>
        <w:t xml:space="preserve">First Wave of Corporate Responsibility </w:t>
      </w:r>
    </w:p>
    <w:p w14:paraId="7329185E" w14:textId="77777777" w:rsidR="003B207D" w:rsidRPr="006A43BB" w:rsidRDefault="003B207D" w:rsidP="006A43BB">
      <w:pPr>
        <w:pStyle w:val="Body"/>
        <w:spacing w:line="360" w:lineRule="auto"/>
        <w:rPr>
          <w:rFonts w:cs="Times New Roman"/>
          <w:b/>
          <w:bCs/>
          <w14:textOutline w14:w="12700" w14:cap="flat" w14:cmpd="sng" w14:algn="ctr">
            <w14:noFill/>
            <w14:prstDash w14:val="solid"/>
            <w14:miter w14:lim="400000"/>
          </w14:textOutline>
        </w:rPr>
      </w:pPr>
    </w:p>
    <w:p w14:paraId="61E173CB" w14:textId="3D6724F2" w:rsidR="008E3D2C" w:rsidRDefault="00C96635" w:rsidP="006A43BB">
      <w:pPr>
        <w:pStyle w:val="NoSpacing"/>
        <w:spacing w:line="360" w:lineRule="auto"/>
        <w:jc w:val="both"/>
        <w:rPr>
          <w:rFonts w:eastAsia="Arial Unicode MS"/>
        </w:rPr>
      </w:pPr>
      <w:r w:rsidRPr="006A43BB">
        <w:rPr>
          <w:rFonts w:eastAsia="Arial Unicode MS"/>
        </w:rPr>
        <w:t>The business and human rights debate is not new. Calls for</w:t>
      </w:r>
      <w:r w:rsidR="00705C40">
        <w:rPr>
          <w:rFonts w:eastAsia="Arial Unicode MS"/>
        </w:rPr>
        <w:t xml:space="preserve"> the</w:t>
      </w:r>
      <w:r w:rsidRPr="006A43BB">
        <w:rPr>
          <w:rFonts w:eastAsia="Arial Unicode MS"/>
        </w:rPr>
        <w:t xml:space="preserve"> improved measures to control activities of corporations have accompanied adoption of the </w:t>
      </w:r>
      <w:r w:rsidR="008E3D2C">
        <w:rPr>
          <w:rFonts w:eastAsia="Arial Unicode MS"/>
        </w:rPr>
        <w:t>‘</w:t>
      </w:r>
      <w:r w:rsidRPr="006A43BB">
        <w:rPr>
          <w:rFonts w:eastAsia="Arial Unicode MS"/>
        </w:rPr>
        <w:t>New International</w:t>
      </w:r>
      <w:r w:rsidR="008E3D2C">
        <w:rPr>
          <w:rFonts w:eastAsia="Arial Unicode MS"/>
        </w:rPr>
        <w:t xml:space="preserve"> Economic Order’ in 1974.</w:t>
      </w:r>
      <w:r w:rsidR="008E3D2C">
        <w:rPr>
          <w:rStyle w:val="FootnoteReference"/>
          <w:rFonts w:eastAsia="Arial Unicode MS"/>
        </w:rPr>
        <w:footnoteReference w:id="39"/>
      </w:r>
    </w:p>
    <w:p w14:paraId="15792889" w14:textId="77777777" w:rsidR="008E3D2C" w:rsidRPr="00914855" w:rsidRDefault="008E3D2C" w:rsidP="006A43BB">
      <w:pPr>
        <w:pStyle w:val="NoSpacing"/>
        <w:spacing w:line="360" w:lineRule="auto"/>
      </w:pPr>
    </w:p>
    <w:p w14:paraId="73291860" w14:textId="56B583DB" w:rsidR="003B207D" w:rsidRDefault="00C96635" w:rsidP="006A43BB">
      <w:pPr>
        <w:pStyle w:val="NoSpacing"/>
        <w:spacing w:line="360" w:lineRule="auto"/>
        <w:jc w:val="both"/>
      </w:pPr>
      <w:r w:rsidRPr="006A43BB">
        <w:t xml:space="preserve">The 1955 Asian-African Conference in Bandung, Indonesia illuminated the expansion of human rights in the early post-colonial period when Asia and Africa for the first time rallied to </w:t>
      </w:r>
      <w:r w:rsidRPr="006A43BB">
        <w:lastRenderedPageBreak/>
        <w:t>denounce Western imperialism and called for changes in global economic order.</w:t>
      </w:r>
      <w:r w:rsidRPr="006A43BB">
        <w:rPr>
          <w:vertAlign w:val="superscript"/>
        </w:rPr>
        <w:footnoteReference w:id="40"/>
      </w:r>
      <w:r w:rsidRPr="006A43BB">
        <w:t xml:space="preserve"> Contrary to many Western </w:t>
      </w:r>
      <w:r w:rsidR="005B1986">
        <w:t>c</w:t>
      </w:r>
      <w:r w:rsidR="00B468C8">
        <w:t>ountries’</w:t>
      </w:r>
      <w:r w:rsidRPr="006A43BB">
        <w:rPr>
          <w:rtl/>
        </w:rPr>
        <w:t xml:space="preserve"> </w:t>
      </w:r>
      <w:r w:rsidRPr="006A43BB">
        <w:t>new policies have been adopted by developing states, in particular sovereignty matters such as regulation of investment and foreign trade and control over natural</w:t>
      </w:r>
      <w:r>
        <w:t xml:space="preserve"> resources.</w:t>
      </w:r>
      <w:r>
        <w:rPr>
          <w:vertAlign w:val="superscript"/>
        </w:rPr>
        <w:footnoteReference w:id="41"/>
      </w:r>
      <w:r>
        <w:t xml:space="preserve"> This event was one of the most important in the beginning of the independent Third World as it was a milestone in </w:t>
      </w:r>
      <w:proofErr w:type="spellStart"/>
      <w:r>
        <w:t>decolonisation</w:t>
      </w:r>
      <w:proofErr w:type="spellEnd"/>
      <w:r>
        <w:t xml:space="preserve"> when united approach has been formulated regarding international relations.</w:t>
      </w:r>
      <w:r>
        <w:rPr>
          <w:vertAlign w:val="superscript"/>
        </w:rPr>
        <w:footnoteReference w:id="42"/>
      </w:r>
      <w:r w:rsidR="005B1986">
        <w:t xml:space="preserve"> </w:t>
      </w:r>
    </w:p>
    <w:p w14:paraId="73291861" w14:textId="77777777" w:rsidR="003B207D" w:rsidRPr="00B468C8" w:rsidRDefault="003B207D" w:rsidP="006A43BB">
      <w:pPr>
        <w:pStyle w:val="Body"/>
        <w:spacing w:line="360" w:lineRule="auto"/>
        <w:jc w:val="both"/>
        <w:rPr>
          <w:rFonts w:cs="Times New Roman"/>
          <w:lang w:val="en-US"/>
          <w14:textOutline w14:w="12700" w14:cap="flat" w14:cmpd="sng" w14:algn="ctr">
            <w14:noFill/>
            <w14:prstDash w14:val="solid"/>
            <w14:miter w14:lim="400000"/>
          </w14:textOutline>
        </w:rPr>
      </w:pPr>
    </w:p>
    <w:p w14:paraId="73291862" w14:textId="37103C3C" w:rsidR="003B207D" w:rsidRPr="006A43BB" w:rsidRDefault="00C96635" w:rsidP="006A43BB">
      <w:pPr>
        <w:pStyle w:val="Body"/>
        <w:spacing w:line="360" w:lineRule="auto"/>
        <w:jc w:val="both"/>
        <w:rPr>
          <w:rFonts w:cs="Times New Roman"/>
          <w14:textOutline w14:w="12700" w14:cap="flat" w14:cmpd="sng" w14:algn="ctr">
            <w14:noFill/>
            <w14:prstDash w14:val="solid"/>
            <w14:miter w14:lim="400000"/>
          </w14:textOutline>
        </w:rPr>
      </w:pPr>
      <w:r w:rsidRPr="006A43BB">
        <w:rPr>
          <w:rFonts w:cs="Times New Roman"/>
          <w:lang w:val="en-US"/>
          <w14:textOutline w14:w="12700" w14:cap="flat" w14:cmpd="sng" w14:algn="ctr">
            <w14:noFill/>
            <w14:prstDash w14:val="solid"/>
            <w14:miter w14:lim="400000"/>
          </w14:textOutline>
        </w:rPr>
        <w:t xml:space="preserve">However, this ambitious debate has started far earlier. Trade unions played a major part in this process, such trade unions as the International Metalworkers Union and the US union, Agricultural Implement Workers and Aerospace Union have brought this debate to the UN agenda in 1950. These </w:t>
      </w:r>
      <w:r w:rsidRPr="006A43BB">
        <w:rPr>
          <w:rFonts w:cs="Times New Roman"/>
          <w14:textOutline w14:w="12700" w14:cap="flat" w14:cmpd="sng" w14:algn="ctr">
            <w14:noFill/>
            <w14:prstDash w14:val="solid"/>
            <w14:miter w14:lim="400000"/>
          </w14:textOutline>
        </w:rPr>
        <w:t>u</w:t>
      </w:r>
      <w:proofErr w:type="spellStart"/>
      <w:r w:rsidRPr="006A43BB">
        <w:rPr>
          <w:rFonts w:cs="Times New Roman"/>
          <w:lang w:val="en-US"/>
          <w14:textOutline w14:w="12700" w14:cap="flat" w14:cmpd="sng" w14:algn="ctr">
            <w14:noFill/>
            <w14:prstDash w14:val="solid"/>
            <w14:miter w14:lim="400000"/>
          </w14:textOutline>
        </w:rPr>
        <w:t>nions</w:t>
      </w:r>
      <w:proofErr w:type="spellEnd"/>
      <w:r w:rsidRPr="006A43BB">
        <w:rPr>
          <w:rFonts w:cs="Times New Roman"/>
          <w:lang w:val="en-US"/>
          <w14:textOutline w14:w="12700" w14:cap="flat" w14:cmpd="sng" w14:algn="ctr">
            <w14:noFill/>
            <w14:prstDash w14:val="solid"/>
            <w14:miter w14:lim="400000"/>
          </w14:textOutline>
        </w:rPr>
        <w:t xml:space="preserve"> were raising many important matters in relation to job losses, exploitation and low wages.</w:t>
      </w:r>
      <w:r w:rsidRPr="006A43BB">
        <w:rPr>
          <w:rFonts w:cs="Times New Roman"/>
          <w:vertAlign w:val="superscript"/>
          <w14:textOutline w14:w="12700" w14:cap="flat" w14:cmpd="sng" w14:algn="ctr">
            <w14:noFill/>
            <w14:prstDash w14:val="solid"/>
            <w14:miter w14:lim="400000"/>
          </w14:textOutline>
        </w:rPr>
        <w:footnoteReference w:id="43"/>
      </w:r>
      <w:r w:rsidRPr="006A43BB">
        <w:rPr>
          <w:rFonts w:cs="Times New Roman"/>
          <w:lang w:val="en-US"/>
          <w14:textOutline w14:w="12700" w14:cap="flat" w14:cmpd="sng" w14:algn="ctr">
            <w14:noFill/>
            <w14:prstDash w14:val="solid"/>
            <w14:miter w14:lim="400000"/>
          </w14:textOutline>
        </w:rPr>
        <w:t xml:space="preserve"> Later the International Confederation of Free Trade Unions (ICFTU) was reassuring the ILO to identify the impact of TNC</w:t>
      </w:r>
      <w:r w:rsidRPr="00E17B98">
        <w:rPr>
          <w:rFonts w:cs="Times New Roman"/>
          <w:rtl/>
          <w14:textOutline w14:w="12700" w14:cap="flat" w14:cmpd="sng" w14:algn="ctr">
            <w14:noFill/>
            <w14:prstDash w14:val="solid"/>
            <w14:miter w14:lim="400000"/>
          </w14:textOutline>
        </w:rPr>
        <w:t>’</w:t>
      </w:r>
      <w:r w:rsidRPr="006A43BB">
        <w:rPr>
          <w:rFonts w:cs="Times New Roman"/>
          <w:lang w:val="en-US"/>
          <w14:textOutline w14:w="12700" w14:cap="flat" w14:cmpd="sng" w14:algn="ctr">
            <w14:noFill/>
            <w14:prstDash w14:val="solid"/>
            <w14:miter w14:lim="400000"/>
          </w14:textOutline>
        </w:rPr>
        <w:t>s on human rights.</w:t>
      </w:r>
      <w:r w:rsidRPr="006A43BB">
        <w:rPr>
          <w:rFonts w:cs="Times New Roman"/>
          <w:vertAlign w:val="superscript"/>
          <w14:textOutline w14:w="12700" w14:cap="flat" w14:cmpd="sng" w14:algn="ctr">
            <w14:noFill/>
            <w14:prstDash w14:val="solid"/>
            <w14:miter w14:lim="400000"/>
          </w14:textOutline>
        </w:rPr>
        <w:footnoteReference w:id="44"/>
      </w:r>
      <w:r w:rsidRPr="006A43BB">
        <w:rPr>
          <w:rFonts w:cs="Times New Roman"/>
          <w:sz w:val="22"/>
          <w:szCs w:val="22"/>
          <w14:textOutline w14:w="12700" w14:cap="flat" w14:cmpd="sng" w14:algn="ctr">
            <w14:noFill/>
            <w14:prstDash w14:val="solid"/>
            <w14:miter w14:lim="400000"/>
          </w14:textOutline>
        </w:rPr>
        <w:t xml:space="preserve"> </w:t>
      </w:r>
      <w:r w:rsidRPr="006A43BB">
        <w:rPr>
          <w:rFonts w:cs="Times New Roman"/>
          <w:lang w:val="en-US"/>
          <w14:textOutline w14:w="12700" w14:cap="flat" w14:cmpd="sng" w14:algn="ctr">
            <w14:noFill/>
            <w14:prstDash w14:val="solid"/>
            <w14:miter w14:lim="400000"/>
          </w14:textOutline>
        </w:rPr>
        <w:t xml:space="preserve">There were many attempts initiated by the UN to make corporations accountable for human rights violations. In 1972 the UN Economic and Social Council passed Resolution 1721 which called for examination of </w:t>
      </w:r>
      <w:r w:rsidRPr="00E17B98">
        <w:rPr>
          <w:rFonts w:cs="Times New Roman"/>
          <w:rtl/>
          <w:lang w:val="ar-SA"/>
          <w14:textOutline w14:w="12700" w14:cap="flat" w14:cmpd="sng" w14:algn="ctr">
            <w14:noFill/>
            <w14:prstDash w14:val="solid"/>
            <w14:miter w14:lim="400000"/>
          </w14:textOutline>
        </w:rPr>
        <w:t>“</w:t>
      </w:r>
      <w:r w:rsidRPr="006A43BB">
        <w:rPr>
          <w:rFonts w:cs="Times New Roman"/>
          <w:lang w:val="en-US"/>
          <w14:textOutline w14:w="12700" w14:cap="flat" w14:cmpd="sng" w14:algn="ctr">
            <w14:noFill/>
            <w14:prstDash w14:val="solid"/>
            <w14:miter w14:lim="400000"/>
          </w14:textOutline>
        </w:rPr>
        <w:t>the role of multinational corporations and their impact on the process of development</w:t>
      </w:r>
      <w:r w:rsidRPr="006A43BB">
        <w:rPr>
          <w:rFonts w:cs="Times New Roman"/>
          <w14:textOutline w14:w="12700" w14:cap="flat" w14:cmpd="sng" w14:algn="ctr">
            <w14:noFill/>
            <w14:prstDash w14:val="solid"/>
            <w14:miter w14:lim="400000"/>
          </w14:textOutline>
        </w:rPr>
        <w:t>”.</w:t>
      </w:r>
      <w:r w:rsidRPr="006A43BB">
        <w:rPr>
          <w:rFonts w:cs="Times New Roman"/>
          <w:vertAlign w:val="superscript"/>
          <w14:textOutline w14:w="12700" w14:cap="flat" w14:cmpd="sng" w14:algn="ctr">
            <w14:noFill/>
            <w14:prstDash w14:val="solid"/>
            <w14:miter w14:lim="400000"/>
          </w14:textOutline>
        </w:rPr>
        <w:footnoteReference w:id="45"/>
      </w:r>
      <w:r w:rsidRPr="006A43BB">
        <w:rPr>
          <w:rFonts w:cs="Times New Roman"/>
          <w14:textOutline w14:w="12700" w14:cap="flat" w14:cmpd="sng" w14:algn="ctr">
            <w14:noFill/>
            <w14:prstDash w14:val="solid"/>
            <w14:miter w14:lim="400000"/>
          </w14:textOutline>
        </w:rPr>
        <w:t xml:space="preserve"> </w:t>
      </w:r>
    </w:p>
    <w:p w14:paraId="73291863" w14:textId="77777777" w:rsidR="003B207D" w:rsidRPr="006A43BB" w:rsidRDefault="003B207D" w:rsidP="006A43BB">
      <w:pPr>
        <w:pStyle w:val="Body"/>
        <w:spacing w:line="360" w:lineRule="auto"/>
        <w:jc w:val="both"/>
        <w:rPr>
          <w:rFonts w:cs="Times New Roman"/>
          <w14:textOutline w14:w="12700" w14:cap="flat" w14:cmpd="sng" w14:algn="ctr">
            <w14:noFill/>
            <w14:prstDash w14:val="solid"/>
            <w14:miter w14:lim="400000"/>
          </w14:textOutline>
        </w:rPr>
      </w:pPr>
    </w:p>
    <w:p w14:paraId="73291864" w14:textId="6EBC9006" w:rsidR="003B207D" w:rsidRPr="007B7BA9" w:rsidRDefault="00C96635" w:rsidP="006A43BB">
      <w:pPr>
        <w:pStyle w:val="Body"/>
        <w:spacing w:line="360" w:lineRule="auto"/>
        <w:jc w:val="both"/>
        <w:rPr>
          <w:rFonts w:cs="Times New Roman"/>
          <w:lang w:val="en-US"/>
          <w14:textOutline w14:w="12700" w14:cap="flat" w14:cmpd="sng" w14:algn="ctr">
            <w14:noFill/>
            <w14:prstDash w14:val="solid"/>
            <w14:miter w14:lim="400000"/>
          </w14:textOutline>
        </w:rPr>
      </w:pPr>
      <w:r w:rsidRPr="006A43BB">
        <w:rPr>
          <w:rFonts w:cs="Times New Roman"/>
          <w:lang w:val="en-US"/>
          <w14:textOutline w14:w="12700" w14:cap="flat" w14:cmpd="sng" w14:algn="ctr">
            <w14:noFill/>
            <w14:prstDash w14:val="solid"/>
            <w14:miter w14:lim="400000"/>
          </w14:textOutline>
        </w:rPr>
        <w:t>It should be noted that these important developments in the world of business and human rights happened in 1970. This was the period when developing countries had certain fear in relation to TNCs, in particular in the context of abuses and their interference with political processes.</w:t>
      </w:r>
      <w:r w:rsidRPr="006A43BB">
        <w:rPr>
          <w:rFonts w:cs="Times New Roman"/>
          <w:vertAlign w:val="superscript"/>
          <w14:textOutline w14:w="12700" w14:cap="flat" w14:cmpd="sng" w14:algn="ctr">
            <w14:noFill/>
            <w14:prstDash w14:val="solid"/>
            <w14:miter w14:lim="400000"/>
          </w14:textOutline>
        </w:rPr>
        <w:footnoteReference w:id="46"/>
      </w:r>
      <w:r w:rsidRPr="006A43BB">
        <w:rPr>
          <w:rFonts w:cs="Times New Roman"/>
          <w14:textOutline w14:w="12700" w14:cap="flat" w14:cmpd="sng" w14:algn="ctr">
            <w14:noFill/>
            <w14:prstDash w14:val="solid"/>
            <w14:miter w14:lim="400000"/>
          </w14:textOutline>
        </w:rPr>
        <w:t xml:space="preserve">  </w:t>
      </w:r>
      <w:r w:rsidRPr="006A43BB">
        <w:rPr>
          <w:rFonts w:cs="Times New Roman"/>
          <w:sz w:val="22"/>
          <w:szCs w:val="22"/>
          <w14:textOutline w14:w="12700" w14:cap="flat" w14:cmpd="sng" w14:algn="ctr">
            <w14:noFill/>
            <w14:prstDash w14:val="solid"/>
            <w14:miter w14:lim="400000"/>
          </w14:textOutline>
        </w:rPr>
        <w:t xml:space="preserve"> </w:t>
      </w:r>
      <w:r w:rsidRPr="006A43BB">
        <w:rPr>
          <w:rFonts w:cs="Times New Roman"/>
          <w:lang w:val="en-US"/>
          <w14:textOutline w14:w="12700" w14:cap="flat" w14:cmpd="sng" w14:algn="ctr">
            <w14:noFill/>
            <w14:prstDash w14:val="solid"/>
            <w14:miter w14:lim="400000"/>
          </w14:textOutline>
        </w:rPr>
        <w:t>In 1992 a draft Code of Conduct on Transnational Corporations was introduced by the UN</w:t>
      </w:r>
      <w:r w:rsidR="005F71CE">
        <w:rPr>
          <w:rFonts w:cs="Times New Roman"/>
          <w:lang w:val="en-US"/>
          <w14:textOutline w14:w="12700" w14:cap="flat" w14:cmpd="sng" w14:algn="ctr">
            <w14:noFill/>
            <w14:prstDash w14:val="solid"/>
            <w14:miter w14:lim="400000"/>
          </w14:textOutline>
        </w:rPr>
        <w:t xml:space="preserve"> that clearly stated that </w:t>
      </w:r>
      <w:r w:rsidR="002A6B75">
        <w:rPr>
          <w:rFonts w:cs="Times New Roman"/>
          <w:lang w:val="en-US"/>
          <w14:textOutline w14:w="12700" w14:cap="flat" w14:cmpd="sng" w14:algn="ctr">
            <w14:noFill/>
            <w14:prstDash w14:val="solid"/>
            <w14:miter w14:lim="400000"/>
          </w14:textOutline>
        </w:rPr>
        <w:t>corporations</w:t>
      </w:r>
      <w:r w:rsidR="002A6B75" w:rsidRPr="002A6B75">
        <w:t xml:space="preserve"> </w:t>
      </w:r>
      <w:r w:rsidR="002A6B75" w:rsidRPr="002A6B75">
        <w:rPr>
          <w:rFonts w:cs="Times New Roman"/>
          <w:lang w:val="en-US"/>
          <w14:textOutline w14:w="12700" w14:cap="flat" w14:cmpd="sng" w14:algn="ctr">
            <w14:noFill/>
            <w14:prstDash w14:val="solid"/>
            <w14:miter w14:lim="400000"/>
          </w14:textOutline>
        </w:rPr>
        <w:t>shall respect fundamental freedoms and human rights in the countries where they operate</w:t>
      </w:r>
      <w:r w:rsidR="002A6B75">
        <w:rPr>
          <w:rFonts w:cs="Times New Roman"/>
          <w:lang w:val="en-US"/>
          <w14:textOutline w14:w="12700" w14:cap="flat" w14:cmpd="sng" w14:algn="ctr">
            <w14:noFill/>
            <w14:prstDash w14:val="solid"/>
            <w14:miter w14:lim="400000"/>
          </w14:textOutline>
        </w:rPr>
        <w:t>.</w:t>
      </w:r>
      <w:r w:rsidRPr="006A43BB">
        <w:rPr>
          <w:rFonts w:cs="Times New Roman"/>
          <w:vertAlign w:val="superscript"/>
          <w14:textOutline w14:w="12700" w14:cap="flat" w14:cmpd="sng" w14:algn="ctr">
            <w14:noFill/>
            <w14:prstDash w14:val="solid"/>
            <w14:miter w14:lim="400000"/>
          </w14:textOutline>
        </w:rPr>
        <w:footnoteReference w:id="47"/>
      </w:r>
      <w:r w:rsidRPr="006A43BB">
        <w:rPr>
          <w:rFonts w:cs="Times New Roman"/>
          <w:lang w:val="en-US"/>
          <w14:textOutline w14:w="12700" w14:cap="flat" w14:cmpd="sng" w14:algn="ctr">
            <w14:noFill/>
            <w14:prstDash w14:val="solid"/>
            <w14:miter w14:lim="400000"/>
          </w14:textOutline>
        </w:rPr>
        <w:t xml:space="preserve"> </w:t>
      </w:r>
      <w:r w:rsidR="002A6B75">
        <w:rPr>
          <w:rFonts w:cs="Times New Roman"/>
          <w:lang w:val="en-US"/>
          <w14:textOutline w14:w="12700" w14:cap="flat" w14:cmpd="sng" w14:algn="ctr">
            <w14:noFill/>
            <w14:prstDash w14:val="solid"/>
            <w14:miter w14:lim="400000"/>
          </w14:textOutline>
        </w:rPr>
        <w:t>There should not be any practice of discrimination on various grounds including religion</w:t>
      </w:r>
      <w:r w:rsidR="007B7BA9">
        <w:rPr>
          <w:rFonts w:cs="Times New Roman"/>
          <w:lang w:val="en-US"/>
          <w14:textOutline w14:w="12700" w14:cap="flat" w14:cmpd="sng" w14:algn="ctr">
            <w14:noFill/>
            <w14:prstDash w14:val="solid"/>
            <w14:miter w14:lim="400000"/>
          </w14:textOutline>
        </w:rPr>
        <w:t>, origin or political views</w:t>
      </w:r>
      <w:r w:rsidRPr="006A43BB">
        <w:rPr>
          <w:rFonts w:cs="Times New Roman"/>
          <w:lang w:val="en-US"/>
          <w14:textOutline w14:w="12700" w14:cap="flat" w14:cmpd="sng" w14:algn="ctr">
            <w14:noFill/>
            <w14:prstDash w14:val="solid"/>
            <w14:miter w14:lim="400000"/>
          </w14:textOutline>
        </w:rPr>
        <w:t>.</w:t>
      </w:r>
      <w:r w:rsidRPr="006A43BB">
        <w:rPr>
          <w:rFonts w:cs="Times New Roman"/>
          <w:vertAlign w:val="superscript"/>
          <w14:textOutline w14:w="12700" w14:cap="flat" w14:cmpd="sng" w14:algn="ctr">
            <w14:noFill/>
            <w14:prstDash w14:val="solid"/>
            <w14:miter w14:lim="400000"/>
          </w14:textOutline>
        </w:rPr>
        <w:footnoteReference w:id="48"/>
      </w:r>
      <w:r w:rsidRPr="006A43BB">
        <w:rPr>
          <w:rFonts w:cs="Times New Roman"/>
          <w:lang w:val="en-US"/>
          <w14:textOutline w14:w="12700" w14:cap="flat" w14:cmpd="sng" w14:algn="ctr">
            <w14:noFill/>
            <w14:prstDash w14:val="solid"/>
            <w14:miter w14:lim="400000"/>
          </w14:textOutline>
        </w:rPr>
        <w:t xml:space="preserve"> However, this </w:t>
      </w:r>
      <w:r w:rsidR="003363FF">
        <w:rPr>
          <w:rFonts w:cs="Times New Roman"/>
          <w:lang w:val="en-US"/>
          <w14:textOutline w14:w="12700" w14:cap="flat" w14:cmpd="sng" w14:algn="ctr">
            <w14:noFill/>
            <w14:prstDash w14:val="solid"/>
            <w14:miter w14:lim="400000"/>
          </w14:textOutline>
        </w:rPr>
        <w:t>document</w:t>
      </w:r>
      <w:r w:rsidRPr="006A43BB">
        <w:rPr>
          <w:rFonts w:cs="Times New Roman"/>
          <w:lang w:val="en-US"/>
          <w14:textOutline w14:w="12700" w14:cap="flat" w14:cmpd="sng" w14:algn="ctr">
            <w14:noFill/>
            <w14:prstDash w14:val="solid"/>
            <w14:miter w14:lim="400000"/>
          </w14:textOutline>
        </w:rPr>
        <w:t xml:space="preserve"> was</w:t>
      </w:r>
      <w:r w:rsidR="002F62E7">
        <w:rPr>
          <w:rFonts w:cs="Times New Roman"/>
          <w:lang w:val="en-US"/>
          <w14:textOutline w14:w="12700" w14:cap="flat" w14:cmpd="sng" w14:algn="ctr">
            <w14:noFill/>
            <w14:prstDash w14:val="solid"/>
            <w14:miter w14:lim="400000"/>
          </w14:textOutline>
        </w:rPr>
        <w:t xml:space="preserve">n’t </w:t>
      </w:r>
      <w:r w:rsidR="003363FF">
        <w:rPr>
          <w:rFonts w:cs="Times New Roman"/>
          <w:lang w:val="en-US"/>
          <w14:textOutline w14:w="12700" w14:cap="flat" w14:cmpd="sng" w14:algn="ctr">
            <w14:noFill/>
            <w14:prstDash w14:val="solid"/>
            <w14:miter w14:lim="400000"/>
          </w14:textOutline>
        </w:rPr>
        <w:t xml:space="preserve">successful </w:t>
      </w:r>
      <w:r w:rsidRPr="006A43BB">
        <w:rPr>
          <w:rFonts w:cs="Times New Roman"/>
          <w:lang w:val="en-US"/>
          <w14:textOutline w14:w="12700" w14:cap="flat" w14:cmpd="sng" w14:algn="ctr">
            <w14:noFill/>
            <w14:prstDash w14:val="solid"/>
            <w14:miter w14:lim="400000"/>
          </w14:textOutline>
        </w:rPr>
        <w:t xml:space="preserve">due to many arguments between developing and </w:t>
      </w:r>
      <w:proofErr w:type="spellStart"/>
      <w:r w:rsidRPr="006A43BB">
        <w:rPr>
          <w:rFonts w:cs="Times New Roman"/>
          <w:lang w:val="en-US"/>
          <w14:textOutline w14:w="12700" w14:cap="flat" w14:cmpd="sng" w14:algn="ctr">
            <w14:noFill/>
            <w14:prstDash w14:val="solid"/>
            <w14:miter w14:lim="400000"/>
          </w14:textOutline>
        </w:rPr>
        <w:t>industrialised</w:t>
      </w:r>
      <w:proofErr w:type="spellEnd"/>
      <w:r w:rsidRPr="006A43BB">
        <w:rPr>
          <w:rFonts w:cs="Times New Roman"/>
          <w:lang w:val="en-US"/>
          <w14:textOutline w14:w="12700" w14:cap="flat" w14:cmpd="sng" w14:algn="ctr">
            <w14:noFill/>
            <w14:prstDash w14:val="solid"/>
            <w14:miter w14:lim="400000"/>
          </w14:textOutline>
        </w:rPr>
        <w:t xml:space="preserve"> countries in relation </w:t>
      </w:r>
      <w:r w:rsidRPr="006A43BB">
        <w:rPr>
          <w:rFonts w:cs="Times New Roman"/>
          <w:lang w:val="en-US"/>
          <w14:textOutline w14:w="12700" w14:cap="flat" w14:cmpd="sng" w14:algn="ctr">
            <w14:noFill/>
            <w14:prstDash w14:val="solid"/>
            <w14:miter w14:lim="400000"/>
          </w14:textOutline>
        </w:rPr>
        <w:lastRenderedPageBreak/>
        <w:t>to obligations for corporations.</w:t>
      </w:r>
      <w:r w:rsidRPr="006A43BB">
        <w:rPr>
          <w:rFonts w:cs="Times New Roman"/>
          <w:vertAlign w:val="superscript"/>
          <w14:textOutline w14:w="12700" w14:cap="flat" w14:cmpd="sng" w14:algn="ctr">
            <w14:noFill/>
            <w14:prstDash w14:val="solid"/>
            <w14:miter w14:lim="400000"/>
          </w14:textOutline>
        </w:rPr>
        <w:footnoteReference w:id="49"/>
      </w:r>
      <w:r w:rsidRPr="006A43BB">
        <w:rPr>
          <w:rFonts w:cs="Times New Roman"/>
          <w:lang w:val="en-US"/>
          <w14:textOutline w14:w="12700" w14:cap="flat" w14:cmpd="sng" w14:algn="ctr">
            <w14:noFill/>
            <w14:prstDash w14:val="solid"/>
            <w14:miter w14:lim="400000"/>
          </w14:textOutline>
        </w:rPr>
        <w:t xml:space="preserve"> Thus, they agreed on a compromise solution to include two parts, one related to treatment of corporations and another focused on regulation.</w:t>
      </w:r>
      <w:r w:rsidRPr="006A43BB">
        <w:rPr>
          <w:rFonts w:cs="Times New Roman"/>
          <w:vertAlign w:val="superscript"/>
          <w14:textOutline w14:w="12700" w14:cap="flat" w14:cmpd="sng" w14:algn="ctr">
            <w14:noFill/>
            <w14:prstDash w14:val="solid"/>
            <w14:miter w14:lim="400000"/>
          </w14:textOutline>
        </w:rPr>
        <w:footnoteReference w:id="50"/>
      </w:r>
    </w:p>
    <w:p w14:paraId="73291865" w14:textId="77777777" w:rsidR="003B207D" w:rsidRDefault="003B207D">
      <w:pPr>
        <w:pStyle w:val="Body"/>
        <w:spacing w:line="276" w:lineRule="auto"/>
        <w:jc w:val="both"/>
        <w:rPr>
          <w14:textOutline w14:w="12700" w14:cap="flat" w14:cmpd="sng" w14:algn="ctr">
            <w14:noFill/>
            <w14:prstDash w14:val="solid"/>
            <w14:miter w14:lim="400000"/>
          </w14:textOutline>
        </w:rPr>
      </w:pPr>
    </w:p>
    <w:p w14:paraId="73291866" w14:textId="7392BB08" w:rsidR="003B207D" w:rsidRPr="006A43BB" w:rsidRDefault="00C96635" w:rsidP="006A43BB">
      <w:pPr>
        <w:pStyle w:val="Body"/>
        <w:spacing w:line="360" w:lineRule="auto"/>
        <w:jc w:val="both"/>
        <w:rPr>
          <w:rFonts w:cs="Times New Roman"/>
          <w14:textOutline w14:w="12700" w14:cap="flat" w14:cmpd="sng" w14:algn="ctr">
            <w14:noFill/>
            <w14:prstDash w14:val="solid"/>
            <w14:miter w14:lim="400000"/>
          </w14:textOutline>
        </w:rPr>
      </w:pPr>
      <w:r w:rsidRPr="006A43BB">
        <w:rPr>
          <w:rFonts w:cs="Times New Roman"/>
          <w:lang w:val="en-US"/>
          <w14:textOutline w14:w="12700" w14:cap="flat" w14:cmpd="sng" w14:algn="ctr">
            <w14:noFill/>
            <w14:prstDash w14:val="solid"/>
            <w14:miter w14:lim="400000"/>
          </w14:textOutline>
        </w:rPr>
        <w:t xml:space="preserve">In 1976 the OECD adopted the Guidelines for Multinational Enterprises which has been revised a </w:t>
      </w:r>
      <w:r w:rsidR="00F93309">
        <w:rPr>
          <w:rFonts w:cs="Times New Roman"/>
          <w:lang w:val="en-US"/>
          <w14:textOutline w14:w="12700" w14:cap="flat" w14:cmpd="sng" w14:algn="ctr">
            <w14:noFill/>
            <w14:prstDash w14:val="solid"/>
            <w14:miter w14:lim="400000"/>
          </w14:textOutline>
        </w:rPr>
        <w:t xml:space="preserve">considerable </w:t>
      </w:r>
      <w:r w:rsidRPr="006A43BB">
        <w:rPr>
          <w:rFonts w:cs="Times New Roman"/>
          <w:lang w:val="en-US"/>
          <w14:textOutline w14:w="12700" w14:cap="flat" w14:cmpd="sng" w14:algn="ctr">
            <w14:noFill/>
            <w14:prstDash w14:val="solid"/>
            <w14:miter w14:lim="400000"/>
          </w14:textOutline>
        </w:rPr>
        <w:t>number of times and only in 2000 has been finally stipulated. The Guidelines are considered as the most widely used international instrument which defines obligations for TNC</w:t>
      </w:r>
      <w:r w:rsidRPr="002D32BA">
        <w:rPr>
          <w:rFonts w:cs="Times New Roman"/>
          <w:rtl/>
          <w14:textOutline w14:w="12700" w14:cap="flat" w14:cmpd="sng" w14:algn="ctr">
            <w14:noFill/>
            <w14:prstDash w14:val="solid"/>
            <w14:miter w14:lim="400000"/>
          </w14:textOutline>
        </w:rPr>
        <w:t>’</w:t>
      </w:r>
      <w:r w:rsidRPr="006A43BB">
        <w:rPr>
          <w:rFonts w:cs="Times New Roman"/>
          <w:lang w:val="pt-PT"/>
          <w14:textOutline w14:w="12700" w14:cap="flat" w14:cmpd="sng" w14:algn="ctr">
            <w14:noFill/>
            <w14:prstDash w14:val="solid"/>
            <w14:miter w14:lim="400000"/>
          </w14:textOutline>
        </w:rPr>
        <w:t>s.</w:t>
      </w:r>
      <w:r w:rsidRPr="006A43BB">
        <w:rPr>
          <w:rFonts w:cs="Times New Roman"/>
          <w:vertAlign w:val="superscript"/>
          <w14:textOutline w14:w="12700" w14:cap="flat" w14:cmpd="sng" w14:algn="ctr">
            <w14:noFill/>
            <w14:prstDash w14:val="solid"/>
            <w14:miter w14:lim="400000"/>
          </w14:textOutline>
        </w:rPr>
        <w:footnoteReference w:id="51"/>
      </w:r>
      <w:r w:rsidRPr="006A43BB">
        <w:rPr>
          <w:rFonts w:cs="Times New Roman"/>
          <w14:textOutline w14:w="12700" w14:cap="flat" w14:cmpd="sng" w14:algn="ctr">
            <w14:noFill/>
            <w14:prstDash w14:val="solid"/>
            <w14:miter w14:lim="400000"/>
          </w14:textOutline>
        </w:rPr>
        <w:t xml:space="preserve">  </w:t>
      </w:r>
    </w:p>
    <w:p w14:paraId="73291867" w14:textId="77777777" w:rsidR="003B207D" w:rsidRPr="006A43BB" w:rsidRDefault="003B207D" w:rsidP="006A43BB">
      <w:pPr>
        <w:pStyle w:val="Body"/>
        <w:spacing w:line="360" w:lineRule="auto"/>
        <w:jc w:val="both"/>
        <w:rPr>
          <w:rFonts w:cs="Times New Roman"/>
          <w14:textOutline w14:w="12700" w14:cap="flat" w14:cmpd="sng" w14:algn="ctr">
            <w14:noFill/>
            <w14:prstDash w14:val="solid"/>
            <w14:miter w14:lim="400000"/>
          </w14:textOutline>
        </w:rPr>
      </w:pPr>
    </w:p>
    <w:p w14:paraId="73291868" w14:textId="59381FA5" w:rsidR="003B207D" w:rsidRPr="006A43BB" w:rsidRDefault="00C96635" w:rsidP="006A43BB">
      <w:pPr>
        <w:pStyle w:val="Body"/>
        <w:spacing w:line="360" w:lineRule="auto"/>
        <w:jc w:val="both"/>
        <w:rPr>
          <w:rStyle w:val="None"/>
          <w:rFonts w:cs="Times New Roman"/>
          <w14:textOutline w14:w="12700" w14:cap="flat" w14:cmpd="sng" w14:algn="ctr">
            <w14:noFill/>
            <w14:prstDash w14:val="solid"/>
            <w14:miter w14:lim="400000"/>
          </w14:textOutline>
        </w:rPr>
      </w:pPr>
      <w:r w:rsidRPr="006A43BB">
        <w:rPr>
          <w:rFonts w:cs="Times New Roman"/>
          <w:lang w:val="en-US"/>
          <w14:textOutline w14:w="12700" w14:cap="flat" w14:cmpd="sng" w14:algn="ctr">
            <w14:noFill/>
            <w14:prstDash w14:val="solid"/>
            <w14:miter w14:lim="400000"/>
          </w14:textOutline>
        </w:rPr>
        <w:t>Almost at the same time, the ILO introduced the Tripartite Declaration of Principles concerning Multinational Enterprises and Social Policy.</w:t>
      </w:r>
      <w:r w:rsidRPr="006A43BB">
        <w:rPr>
          <w:rFonts w:cs="Times New Roman"/>
          <w:vertAlign w:val="superscript"/>
          <w14:textOutline w14:w="12700" w14:cap="flat" w14:cmpd="sng" w14:algn="ctr">
            <w14:noFill/>
            <w14:prstDash w14:val="solid"/>
            <w14:miter w14:lim="400000"/>
          </w14:textOutline>
        </w:rPr>
        <w:footnoteReference w:id="52"/>
      </w:r>
      <w:r w:rsidRPr="006A43BB">
        <w:rPr>
          <w:rStyle w:val="None"/>
          <w:rFonts w:cs="Times New Roman"/>
          <w:lang w:val="en-US"/>
          <w14:textOutline w14:w="12700" w14:cap="flat" w14:cmpd="sng" w14:algn="ctr">
            <w14:noFill/>
            <w14:prstDash w14:val="solid"/>
            <w14:miter w14:lim="400000"/>
          </w14:textOutline>
        </w:rPr>
        <w:t xml:space="preserve"> The main objective of The Tripartite Declaration</w:t>
      </w:r>
      <w:r w:rsidR="002F62E7">
        <w:rPr>
          <w:rStyle w:val="None"/>
          <w:rFonts w:cs="Times New Roman"/>
          <w:lang w:val="en-US"/>
          <w14:textOutline w14:w="12700" w14:cap="flat" w14:cmpd="sng" w14:algn="ctr">
            <w14:noFill/>
            <w14:prstDash w14:val="solid"/>
            <w14:miter w14:lim="400000"/>
          </w14:textOutline>
        </w:rPr>
        <w:t xml:space="preserve"> was:</w:t>
      </w:r>
      <w:r w:rsidRPr="006A43BB">
        <w:rPr>
          <w:rStyle w:val="None"/>
          <w:rFonts w:cs="Times New Roman"/>
          <w:lang w:val="en-US"/>
          <w14:textOutline w14:w="12700" w14:cap="flat" w14:cmpd="sng" w14:algn="ctr">
            <w14:noFill/>
            <w14:prstDash w14:val="solid"/>
            <w14:miter w14:lim="400000"/>
          </w14:textOutline>
        </w:rPr>
        <w:t xml:space="preserve"> </w:t>
      </w:r>
    </w:p>
    <w:p w14:paraId="73291869" w14:textId="77777777" w:rsidR="003B207D" w:rsidRPr="006A43BB" w:rsidRDefault="003B207D" w:rsidP="006A43BB">
      <w:pPr>
        <w:pStyle w:val="Body"/>
        <w:spacing w:line="360" w:lineRule="auto"/>
        <w:jc w:val="both"/>
        <w:rPr>
          <w:rStyle w:val="None"/>
          <w:rFonts w:cs="Times New Roman"/>
          <w14:textOutline w14:w="12700" w14:cap="flat" w14:cmpd="sng" w14:algn="ctr">
            <w14:noFill/>
            <w14:prstDash w14:val="solid"/>
            <w14:miter w14:lim="400000"/>
          </w14:textOutline>
        </w:rPr>
      </w:pPr>
    </w:p>
    <w:p w14:paraId="7329186A" w14:textId="77777777" w:rsidR="003B207D" w:rsidRPr="006A43BB" w:rsidRDefault="00C96635" w:rsidP="006A43BB">
      <w:pPr>
        <w:pStyle w:val="Body"/>
        <w:spacing w:line="360" w:lineRule="auto"/>
        <w:jc w:val="both"/>
        <w:rPr>
          <w:rStyle w:val="None"/>
          <w:rFonts w:cs="Times New Roman"/>
          <w:i/>
          <w:iCs/>
          <w:shd w:val="clear" w:color="auto" w:fill="FFFFFF"/>
          <w14:textOutline w14:w="12700" w14:cap="flat" w14:cmpd="sng" w14:algn="ctr">
            <w14:noFill/>
            <w14:prstDash w14:val="solid"/>
            <w14:miter w14:lim="400000"/>
          </w14:textOutline>
        </w:rPr>
      </w:pPr>
      <w:r w:rsidRPr="002D32BA">
        <w:rPr>
          <w:rStyle w:val="None"/>
          <w:rFonts w:cs="Times New Roman"/>
          <w:i/>
          <w:iCs/>
          <w:rtl/>
          <w:lang w:val="ar-SA"/>
          <w14:textOutline w14:w="12700" w14:cap="flat" w14:cmpd="sng" w14:algn="ctr">
            <w14:noFill/>
            <w14:prstDash w14:val="solid"/>
            <w14:miter w14:lim="400000"/>
          </w14:textOutline>
        </w:rPr>
        <w:t>“</w:t>
      </w:r>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to encourage the positive contributions which multinational enterprises can make to economic and social progress and to </w:t>
      </w:r>
      <w:proofErr w:type="spellStart"/>
      <w:r w:rsidRPr="006A43BB">
        <w:rPr>
          <w:rStyle w:val="None"/>
          <w:rFonts w:cs="Times New Roman"/>
          <w:i/>
          <w:iCs/>
          <w:shd w:val="clear" w:color="auto" w:fill="FFFFFF"/>
          <w:lang w:val="en-US"/>
          <w14:textOutline w14:w="12700" w14:cap="flat" w14:cmpd="sng" w14:algn="ctr">
            <w14:noFill/>
            <w14:prstDash w14:val="solid"/>
            <w14:miter w14:lim="400000"/>
          </w14:textOutline>
        </w:rPr>
        <w:t>minimise</w:t>
      </w:r>
      <w:proofErr w:type="spellEnd"/>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 and resolve the difficulties to which their various operations may give rise</w:t>
      </w:r>
      <w:r w:rsidRPr="006A43BB">
        <w:rPr>
          <w:rStyle w:val="None"/>
          <w:rFonts w:cs="Times New Roman"/>
          <w:i/>
          <w:iCs/>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53"/>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Moreover, the Declaration states that </w:t>
      </w:r>
      <w:r w:rsidRPr="002D32BA">
        <w:rPr>
          <w:rStyle w:val="None"/>
          <w:rFonts w:cs="Times New Roman"/>
          <w:i/>
          <w:iCs/>
          <w:rtl/>
          <w:lang w:val="ar-SA"/>
          <w14:textOutline w14:w="12700" w14:cap="flat" w14:cmpd="sng" w14:algn="ctr">
            <w14:noFill/>
            <w14:prstDash w14:val="solid"/>
            <w14:miter w14:lim="400000"/>
          </w14:textOutline>
        </w:rPr>
        <w:t>“</w:t>
      </w:r>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the advances made by multinational enterprises in </w:t>
      </w:r>
      <w:proofErr w:type="spellStart"/>
      <w:r w:rsidRPr="006A43BB">
        <w:rPr>
          <w:rStyle w:val="None"/>
          <w:rFonts w:cs="Times New Roman"/>
          <w:i/>
          <w:iCs/>
          <w:shd w:val="clear" w:color="auto" w:fill="FFFFFF"/>
          <w:lang w:val="en-US"/>
          <w14:textOutline w14:w="12700" w14:cap="flat" w14:cmpd="sng" w14:algn="ctr">
            <w14:noFill/>
            <w14:prstDash w14:val="solid"/>
            <w14:miter w14:lim="400000"/>
          </w14:textOutline>
        </w:rPr>
        <w:t>organising</w:t>
      </w:r>
      <w:proofErr w:type="spellEnd"/>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 their operations beyond the national framework may lead to abuse of concentrations of economic power and to conflicts with national policy objectives. In addition, the complexity of these multinational enterprises and the difficulty of clearly perceiving their diverse structures, operations and policies sometimes give rise to concern</w:t>
      </w:r>
      <w:r w:rsidRPr="006A43BB">
        <w:rPr>
          <w:rStyle w:val="None"/>
          <w:rFonts w:cs="Times New Roman"/>
          <w:i/>
          <w:iCs/>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54"/>
      </w:r>
    </w:p>
    <w:p w14:paraId="7329186B"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6C"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Importantly, the Tripartite Declaration makes it clear that all parties to the Declaration must respect the sovereign rights of States and have to take into consideration general policy objectives of those counties.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55"/>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The ILO Tripartite Declaration went far beyond the OECD Guidelines by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emphasising</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on the duty of multinational enterprises to respect the human rights of those affected by activities of corporations. However, even considering the moral importance of this instrument it still remains non-binding. Governments can report to the </w:t>
      </w:r>
      <w:r w:rsidRPr="006A43BB">
        <w:rPr>
          <w:rStyle w:val="None"/>
          <w:rFonts w:cs="Times New Roman"/>
          <w:shd w:val="clear" w:color="auto" w:fill="FFFFFF"/>
          <w:lang w:val="en-US"/>
          <w14:textOutline w14:w="12700" w14:cap="flat" w14:cmpd="sng" w14:algn="ctr">
            <w14:noFill/>
            <w14:prstDash w14:val="solid"/>
            <w14:miter w14:lim="400000"/>
          </w14:textOutline>
        </w:rPr>
        <w:lastRenderedPageBreak/>
        <w:t>Governing body established under the ILO Declaration and the Governing Body can issue recommendations after examination of those reports.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56"/>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6D"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6E"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However, even considering important provisions with deep societal meaning, neither the ILO Tripartite Declaration or the OECD Guidelines can be described as effective instruments which can make corporations accountable for human rights violations.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57"/>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Moreover, most procedures initiated by the OECD Guidelines are weak and unsatisfactory with the lack of investigative powers and transparency. Most importantly, there are no sanctions which can be imposed on TNC</w:t>
      </w:r>
      <w:r w:rsidRPr="00EC1542">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s for human rights violations under those two instruments.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58"/>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Thus, until the mid-1970 there was only an indirect approach towards human rights and corporations. However, this changed with the appearance of OECD Guidelines and ILO Tripartite Declaration.</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59"/>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6F" w14:textId="77777777" w:rsidR="003B207D" w:rsidRDefault="003B207D">
      <w:pPr>
        <w:pStyle w:val="Body"/>
        <w:spacing w:line="276" w:lineRule="auto"/>
        <w:jc w:val="both"/>
        <w:rPr>
          <w:rStyle w:val="None"/>
          <w:shd w:val="clear" w:color="auto" w:fill="FFFFFF"/>
          <w14:textOutline w14:w="12700" w14:cap="flat" w14:cmpd="sng" w14:algn="ctr">
            <w14:noFill/>
            <w14:prstDash w14:val="solid"/>
            <w14:miter w14:lim="400000"/>
          </w14:textOutline>
        </w:rPr>
      </w:pPr>
    </w:p>
    <w:p w14:paraId="73291870"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71" w14:textId="77777777" w:rsidR="003B207D" w:rsidRPr="006A43BB" w:rsidRDefault="00C96635" w:rsidP="006A43BB">
      <w:pPr>
        <w:pStyle w:val="Body"/>
        <w:numPr>
          <w:ilvl w:val="1"/>
          <w:numId w:val="18"/>
        </w:numPr>
        <w:spacing w:line="360" w:lineRule="auto"/>
        <w:jc w:val="both"/>
        <w:rPr>
          <w:rFonts w:cs="Times New Roman"/>
          <w:b/>
          <w:bCs/>
          <w:lang w:val="en-US"/>
        </w:rPr>
      </w:pPr>
      <w:r w:rsidRPr="006A43BB">
        <w:rPr>
          <w:rStyle w:val="None"/>
          <w:rFonts w:cs="Times New Roman"/>
          <w:b/>
          <w:bCs/>
          <w:shd w:val="clear" w:color="auto" w:fill="FFFFFF"/>
          <w:lang w:val="en-US"/>
          <w14:textOutline w14:w="12700" w14:cap="flat" w14:cmpd="sng" w14:algn="ctr">
            <w14:noFill/>
            <w14:prstDash w14:val="solid"/>
            <w14:miter w14:lim="400000"/>
          </w14:textOutline>
        </w:rPr>
        <w:t xml:space="preserve">Second Wave of Corporate Responsibility </w:t>
      </w:r>
    </w:p>
    <w:p w14:paraId="73291872"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73"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Economic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globalisation</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has had a significant impact on the development of human rights responsibilities of TNCs and after 1990 this has been revived. The process of revival has been accompanied by legal cases filed before European and US courts in the respect of corporations.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60"/>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This was also a period of more explicit relationship between human rights and corporations, in particular debates in relation to whether binding standards should be incorporated in international law in the form of binding agreement or treaty.</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61"/>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In addition, there was an attempt to impose extraterritorial laws on corporations in order to make them accountable. </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62"/>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74"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75" w14:textId="77777777" w:rsidR="003B207D" w:rsidRDefault="00C96635" w:rsidP="006A43BB">
      <w:pPr>
        <w:pStyle w:val="Body"/>
        <w:spacing w:line="360" w:lineRule="auto"/>
        <w:jc w:val="both"/>
        <w:rPr>
          <w:rStyle w:val="None"/>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In the United States those cases have been based on the Alien Tort Claims Act (hereinafter - </w:t>
      </w:r>
      <w:r w:rsidRPr="00AA504A">
        <w:rPr>
          <w:rStyle w:val="None"/>
          <w:rFonts w:cs="Times New Roman"/>
          <w:shd w:val="clear" w:color="auto" w:fill="FFFFFF"/>
          <w:rtl/>
          <w:lang w:val="ar-SA"/>
          <w14:textOutline w14:w="12700" w14:cap="flat" w14:cmpd="sng" w14:algn="ctr">
            <w14:noFill/>
            <w14:prstDash w14:val="solid"/>
            <w14:miter w14:lim="400000"/>
          </w14:textOutline>
        </w:rPr>
        <w:t>“</w:t>
      </w:r>
      <w:r w:rsidRPr="006A43BB">
        <w:rPr>
          <w:rStyle w:val="None"/>
          <w:rFonts w:cs="Times New Roman"/>
          <w:shd w:val="clear" w:color="auto" w:fill="FFFFFF"/>
          <w:lang w:val="pt-PT"/>
          <w14:textOutline w14:w="12700" w14:cap="flat" w14:cmpd="sng" w14:algn="ctr">
            <w14:noFill/>
            <w14:prstDash w14:val="solid"/>
            <w14:miter w14:lim="400000"/>
          </w14:textOutline>
        </w:rPr>
        <w:t>ATCA</w:t>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63"/>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which stated that </w:t>
      </w:r>
      <w:r w:rsidRPr="00AA504A">
        <w:rPr>
          <w:rStyle w:val="None"/>
          <w:rFonts w:cs="Times New Roman"/>
          <w:shd w:val="clear" w:color="auto" w:fill="FFFFFF"/>
          <w:rtl/>
          <w:lang w:val="ar-SA"/>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district courts shall have original jurisdiction of any civil action by an alien for a tort only, committed in violation of the law of nations or a treaty of the United States</w:t>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64"/>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This provision is understood as federal courts in the United States have jurisdiction </w:t>
      </w:r>
      <w:r w:rsidRPr="006A43BB">
        <w:rPr>
          <w:rStyle w:val="None"/>
          <w:rFonts w:cs="Times New Roman"/>
          <w:shd w:val="clear" w:color="auto" w:fill="FFFFFF"/>
          <w:lang w:val="en-US"/>
          <w14:textOutline w14:w="12700" w14:cap="flat" w14:cmpd="sng" w14:algn="ctr">
            <w14:noFill/>
            <w14:prstDash w14:val="solid"/>
            <w14:miter w14:lim="400000"/>
          </w14:textOutline>
        </w:rPr>
        <w:lastRenderedPageBreak/>
        <w:t>over enterprises either having continuous business relationships or incorporated in the US. The ATCA became an important instrument in the litigation process, especially in relation to human rights violations committed by TNC</w:t>
      </w:r>
      <w:r w:rsidRPr="00AA504A">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s and risks associated with this.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65"/>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However, litigation</w:t>
      </w:r>
      <w:r>
        <w:rPr>
          <w:rStyle w:val="None"/>
          <w:shd w:val="clear" w:color="auto" w:fill="FFFFFF"/>
          <w:lang w:val="en-US"/>
          <w14:textOutline w14:w="12700" w14:cap="flat" w14:cmpd="sng" w14:algn="ctr">
            <w14:noFill/>
            <w14:prstDash w14:val="solid"/>
            <w14:miter w14:lim="400000"/>
          </w14:textOutline>
        </w:rPr>
        <w:t xml:space="preserve"> under the ATCA faced a number of issues. Almost any case against TNC</w:t>
      </w:r>
      <w:r>
        <w:rPr>
          <w:rStyle w:val="None"/>
          <w:shd w:val="clear" w:color="auto" w:fill="FFFFFF"/>
          <w:rtl/>
          <w14:textOutline w14:w="12700" w14:cap="flat" w14:cmpd="sng" w14:algn="ctr">
            <w14:noFill/>
            <w14:prstDash w14:val="solid"/>
            <w14:miter w14:lim="400000"/>
          </w14:textOutline>
        </w:rPr>
        <w:t>’</w:t>
      </w:r>
      <w:r>
        <w:rPr>
          <w:rStyle w:val="None"/>
          <w:shd w:val="clear" w:color="auto" w:fill="FFFFFF"/>
          <w:lang w:val="en-US"/>
          <w14:textOutline w14:w="12700" w14:cap="flat" w14:cmpd="sng" w14:algn="ctr">
            <w14:noFill/>
            <w14:prstDash w14:val="solid"/>
            <w14:miter w14:lim="400000"/>
          </w14:textOutline>
        </w:rPr>
        <w:t xml:space="preserve">s were decided on the merits. One of the most famous examples is </w:t>
      </w:r>
      <w:proofErr w:type="spellStart"/>
      <w:r>
        <w:rPr>
          <w:rStyle w:val="None"/>
          <w:i/>
          <w:iCs/>
          <w:shd w:val="clear" w:color="auto" w:fill="FFFFFF"/>
          <w14:textOutline w14:w="12700" w14:cap="flat" w14:cmpd="sng" w14:algn="ctr">
            <w14:noFill/>
            <w14:prstDash w14:val="solid"/>
            <w14:miter w14:lim="400000"/>
          </w14:textOutline>
        </w:rPr>
        <w:t>Kiobel</w:t>
      </w:r>
      <w:proofErr w:type="spellEnd"/>
      <w:r>
        <w:rPr>
          <w:rStyle w:val="None"/>
          <w:i/>
          <w:iCs/>
          <w:shd w:val="clear" w:color="auto" w:fill="FFFFFF"/>
          <w14:textOutline w14:w="12700" w14:cap="flat" w14:cmpd="sng" w14:algn="ctr">
            <w14:noFill/>
            <w14:prstDash w14:val="solid"/>
            <w14:miter w14:lim="400000"/>
          </w14:textOutline>
        </w:rPr>
        <w:t xml:space="preserve"> v. Royal Dutch Petroleum Co</w:t>
      </w:r>
      <w:r>
        <w:rPr>
          <w:rStyle w:val="None"/>
          <w:shd w:val="clear" w:color="auto" w:fill="FFFFFF"/>
          <w:lang w:val="en-US"/>
          <w14:textOutline w14:w="12700" w14:cap="flat" w14:cmpd="sng" w14:algn="ctr">
            <w14:noFill/>
            <w14:prstDash w14:val="solid"/>
            <w14:miter w14:lim="400000"/>
          </w14:textOutline>
        </w:rPr>
        <w:t xml:space="preserve"> where court ruled that TNC</w:t>
      </w:r>
      <w:r>
        <w:rPr>
          <w:rStyle w:val="None"/>
          <w:shd w:val="clear" w:color="auto" w:fill="FFFFFF"/>
          <w:rtl/>
          <w14:textOutline w14:w="12700" w14:cap="flat" w14:cmpd="sng" w14:algn="ctr">
            <w14:noFill/>
            <w14:prstDash w14:val="solid"/>
            <w14:miter w14:lim="400000"/>
          </w14:textOutline>
        </w:rPr>
        <w:t>’</w:t>
      </w:r>
      <w:r>
        <w:rPr>
          <w:rStyle w:val="None"/>
          <w:shd w:val="clear" w:color="auto" w:fill="FFFFFF"/>
          <w:lang w:val="en-US"/>
          <w14:textOutline w14:w="12700" w14:cap="flat" w14:cmpd="sng" w14:algn="ctr">
            <w14:noFill/>
            <w14:prstDash w14:val="solid"/>
            <w14:miter w14:lim="400000"/>
          </w14:textOutline>
        </w:rPr>
        <w:t>s cannot be sued under ATCA due to the lack of criminal liability under customary international law.</w:t>
      </w:r>
      <w:r>
        <w:rPr>
          <w:rStyle w:val="None"/>
          <w:shd w:val="clear" w:color="auto" w:fill="FFFFFF"/>
          <w:vertAlign w:val="superscript"/>
          <w14:textOutline w14:w="12700" w14:cap="flat" w14:cmpd="sng" w14:algn="ctr">
            <w14:noFill/>
            <w14:prstDash w14:val="solid"/>
            <w14:miter w14:lim="400000"/>
          </w14:textOutline>
        </w:rPr>
        <w:footnoteReference w:id="66"/>
      </w:r>
      <w:r>
        <w:rPr>
          <w:rStyle w:val="None"/>
          <w:shd w:val="clear" w:color="auto" w:fill="FFFFFF"/>
          <w14:textOutline w14:w="12700" w14:cap="flat" w14:cmpd="sng" w14:algn="ctr">
            <w14:noFill/>
            <w14:prstDash w14:val="solid"/>
            <w14:miter w14:lim="400000"/>
          </w14:textOutline>
        </w:rPr>
        <w:t xml:space="preserve">  </w:t>
      </w:r>
    </w:p>
    <w:p w14:paraId="73291876" w14:textId="77777777" w:rsidR="003B207D" w:rsidRDefault="003B207D">
      <w:pPr>
        <w:pStyle w:val="Body"/>
        <w:spacing w:line="276" w:lineRule="auto"/>
        <w:jc w:val="both"/>
        <w:rPr>
          <w:rStyle w:val="None"/>
          <w:shd w:val="clear" w:color="auto" w:fill="FFFFFF"/>
          <w14:textOutline w14:w="12700" w14:cap="flat" w14:cmpd="sng" w14:algn="ctr">
            <w14:noFill/>
            <w14:prstDash w14:val="solid"/>
            <w14:miter w14:lim="400000"/>
          </w14:textOutline>
        </w:rPr>
      </w:pPr>
    </w:p>
    <w:p w14:paraId="73291877" w14:textId="77777777" w:rsidR="003B207D" w:rsidRDefault="00C96635">
      <w:pPr>
        <w:pStyle w:val="Body"/>
        <w:spacing w:line="276" w:lineRule="auto"/>
        <w:jc w:val="both"/>
        <w:rPr>
          <w:rStyle w:val="None"/>
          <w:shd w:val="clear" w:color="auto" w:fill="FFFFFF"/>
          <w14:textOutline w14:w="12700" w14:cap="flat" w14:cmpd="sng" w14:algn="ctr">
            <w14:noFill/>
            <w14:prstDash w14:val="solid"/>
            <w14:miter w14:lim="400000"/>
          </w14:textOutline>
        </w:rPr>
      </w:pPr>
      <w:r>
        <w:rPr>
          <w:rStyle w:val="None"/>
          <w:shd w:val="clear" w:color="auto" w:fill="FFFFFF"/>
          <w:lang w:val="en-US"/>
          <w14:textOutline w14:w="12700" w14:cap="flat" w14:cmpd="sng" w14:algn="ctr">
            <w14:noFill/>
            <w14:prstDash w14:val="solid"/>
            <w14:miter w14:lim="400000"/>
          </w14:textOutline>
        </w:rPr>
        <w:t>The Second Circuit Court of Appeals stated as follows:</w:t>
      </w:r>
    </w:p>
    <w:p w14:paraId="73291878" w14:textId="77777777" w:rsidR="003B207D" w:rsidRDefault="003B207D">
      <w:pPr>
        <w:pStyle w:val="Body"/>
        <w:spacing w:line="276" w:lineRule="auto"/>
        <w:jc w:val="both"/>
        <w:rPr>
          <w:rStyle w:val="None"/>
          <w:shd w:val="clear" w:color="auto" w:fill="FFFFFF"/>
          <w14:textOutline w14:w="12700" w14:cap="flat" w14:cmpd="sng" w14:algn="ctr">
            <w14:noFill/>
            <w14:prstDash w14:val="solid"/>
            <w14:miter w14:lim="400000"/>
          </w14:textOutline>
        </w:rPr>
      </w:pPr>
    </w:p>
    <w:p w14:paraId="73291879" w14:textId="77777777" w:rsidR="003B207D" w:rsidRDefault="00C96635">
      <w:pPr>
        <w:pStyle w:val="Body"/>
        <w:spacing w:line="276" w:lineRule="auto"/>
        <w:jc w:val="both"/>
        <w:rPr>
          <w:rStyle w:val="None"/>
          <w:shd w:val="clear" w:color="auto" w:fill="FFFFFF"/>
          <w14:textOutline w14:w="12700" w14:cap="flat" w14:cmpd="sng" w14:algn="ctr">
            <w14:noFill/>
            <w14:prstDash w14:val="solid"/>
            <w14:miter w14:lim="400000"/>
          </w14:textOutline>
        </w:rPr>
      </w:pPr>
      <w:r>
        <w:rPr>
          <w:rStyle w:val="None"/>
          <w:i/>
          <w:iCs/>
          <w:shd w:val="clear" w:color="auto" w:fill="FFFFFF"/>
          <w:rtl/>
          <w:lang w:val="ar-SA"/>
          <w14:textOutline w14:w="12700" w14:cap="flat" w14:cmpd="sng" w14:algn="ctr">
            <w14:noFill/>
            <w14:prstDash w14:val="solid"/>
            <w14:miter w14:lim="400000"/>
          </w14:textOutline>
        </w:rPr>
        <w:t>“</w:t>
      </w:r>
      <w:r>
        <w:rPr>
          <w:rStyle w:val="None"/>
          <w:i/>
          <w:iCs/>
          <w:shd w:val="clear" w:color="auto" w:fill="FFFFFF"/>
          <w:lang w:val="en-US"/>
          <w14:textOutline w14:w="12700" w14:cap="flat" w14:cmpd="sng" w14:algn="ctr">
            <w14:noFill/>
            <w14:prstDash w14:val="solid"/>
            <w14:miter w14:lim="400000"/>
          </w14:textOutline>
        </w:rPr>
        <w:t>Corporate liability has not attained a discernable, much less universal, acceptance among nations of the world in their relations inter se, [</w:t>
      </w:r>
      <w:r>
        <w:rPr>
          <w:rStyle w:val="None"/>
          <w:i/>
          <w:iCs/>
          <w:shd w:val="clear" w:color="auto" w:fill="FFFFFF"/>
          <w14:textOutline w14:w="12700" w14:cap="flat" w14:cmpd="sng" w14:algn="ctr">
            <w14:noFill/>
            <w14:prstDash w14:val="solid"/>
            <w14:miter w14:lim="400000"/>
          </w14:textOutline>
        </w:rPr>
        <w:t>…</w:t>
      </w:r>
      <w:r>
        <w:rPr>
          <w:rStyle w:val="None"/>
          <w:i/>
          <w:iCs/>
          <w:shd w:val="clear" w:color="auto" w:fill="FFFFFF"/>
          <w:lang w:val="en-US"/>
          <w14:textOutline w14:w="12700" w14:cap="flat" w14:cmpd="sng" w14:algn="ctr">
            <w14:noFill/>
            <w14:prstDash w14:val="solid"/>
            <w14:miter w14:lim="400000"/>
          </w14:textOutline>
        </w:rPr>
        <w:t>] it cannot [</w:t>
      </w:r>
      <w:r>
        <w:rPr>
          <w:rStyle w:val="None"/>
          <w:i/>
          <w:iCs/>
          <w:shd w:val="clear" w:color="auto" w:fill="FFFFFF"/>
          <w14:textOutline w14:w="12700" w14:cap="flat" w14:cmpd="sng" w14:algn="ctr">
            <w14:noFill/>
            <w14:prstDash w14:val="solid"/>
            <w14:miter w14:lim="400000"/>
          </w14:textOutline>
        </w:rPr>
        <w:t>…</w:t>
      </w:r>
      <w:r>
        <w:rPr>
          <w:rStyle w:val="None"/>
          <w:i/>
          <w:iCs/>
          <w:shd w:val="clear" w:color="auto" w:fill="FFFFFF"/>
          <w:lang w:val="en-US"/>
          <w14:textOutline w14:w="12700" w14:cap="flat" w14:cmpd="sng" w14:algn="ctr">
            <w14:noFill/>
            <w14:prstDash w14:val="solid"/>
            <w14:miter w14:lim="400000"/>
          </w14:textOutline>
        </w:rPr>
        <w:t>] form the basis of a suit under the ATS</w:t>
      </w:r>
      <w:r>
        <w:rPr>
          <w:rStyle w:val="None"/>
          <w:i/>
          <w:iCs/>
          <w:shd w:val="clear" w:color="auto" w:fill="FFFFFF"/>
          <w14:textOutline w14:w="12700" w14:cap="flat" w14:cmpd="sng" w14:algn="ctr">
            <w14:noFill/>
            <w14:prstDash w14:val="solid"/>
            <w14:miter w14:lim="400000"/>
          </w14:textOutline>
        </w:rPr>
        <w:t>”.</w:t>
      </w:r>
      <w:r>
        <w:rPr>
          <w:rStyle w:val="None"/>
          <w:i/>
          <w:iCs/>
          <w:shd w:val="clear" w:color="auto" w:fill="FFFFFF"/>
          <w:vertAlign w:val="superscript"/>
          <w14:textOutline w14:w="12700" w14:cap="flat" w14:cmpd="sng" w14:algn="ctr">
            <w14:noFill/>
            <w14:prstDash w14:val="solid"/>
            <w14:miter w14:lim="400000"/>
          </w14:textOutline>
        </w:rPr>
        <w:footnoteReference w:id="67"/>
      </w:r>
    </w:p>
    <w:p w14:paraId="7329187A" w14:textId="77777777" w:rsidR="003B207D" w:rsidRDefault="003B207D">
      <w:pPr>
        <w:pStyle w:val="Body"/>
        <w:spacing w:line="276" w:lineRule="auto"/>
        <w:jc w:val="both"/>
        <w:rPr>
          <w:rStyle w:val="None"/>
          <w:shd w:val="clear" w:color="auto" w:fill="FFFFFF"/>
          <w14:textOutline w14:w="12700" w14:cap="flat" w14:cmpd="sng" w14:algn="ctr">
            <w14:noFill/>
            <w14:prstDash w14:val="solid"/>
            <w14:miter w14:lim="400000"/>
          </w14:textOutline>
        </w:rPr>
      </w:pPr>
    </w:p>
    <w:p w14:paraId="7329187B"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The second wave of responsibility for corporations can be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characterised</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by two important developments. In 1999 the UN Secretary General Kofi Annan, at the Davos World Economic Forum, introduced the United Nations Global Compact. The principles of Global Compact included those incorporated in the Rio Declaration on Environment and Development, the Universal Declaration of Human Rights, the ILO</w:t>
      </w:r>
      <w:r w:rsidRPr="00C46C00">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s Declaration on Fundamental Principles and the Rights at Work.</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68"/>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Global Compact contains important human rights principles, such as Principle 1 </w:t>
      </w:r>
      <w:r w:rsidRPr="00C46C00">
        <w:rPr>
          <w:rStyle w:val="None"/>
          <w:rFonts w:cs="Times New Roman"/>
          <w:shd w:val="clear" w:color="auto" w:fill="FFFFFF"/>
          <w:rtl/>
          <w:lang w:val="ar-SA"/>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Businesses should support and respect the protection of internationally proclaimed human rights</w:t>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and Principle 2 </w:t>
      </w:r>
      <w:r w:rsidRPr="00C46C00">
        <w:rPr>
          <w:rStyle w:val="None"/>
          <w:rFonts w:cs="Times New Roman"/>
          <w:shd w:val="clear" w:color="auto" w:fill="FFFFFF"/>
          <w:rtl/>
          <w:lang w:val="ar-SA"/>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make sure that they are not complicit in human rights abuses</w:t>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69"/>
      </w:r>
      <w:r w:rsidRPr="006A43BB">
        <w:rPr>
          <w:rStyle w:val="None"/>
          <w:rFonts w:cs="Times New Roman"/>
          <w:shd w:val="clear" w:color="auto" w:fill="FFFFFF"/>
          <w14:textOutline w14:w="12700" w14:cap="flat" w14:cmpd="sng" w14:algn="ctr">
            <w14:noFill/>
            <w14:prstDash w14:val="solid"/>
            <w14:miter w14:lim="400000"/>
          </w14:textOutline>
        </w:rPr>
        <w:br/>
      </w:r>
    </w:p>
    <w:p w14:paraId="7329187C" w14:textId="3E7BD7A9"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The second important development was the Resolution 2003/16 </w:t>
      </w:r>
      <w:r w:rsidRPr="00C46C00">
        <w:rPr>
          <w:rStyle w:val="None"/>
          <w:rFonts w:cs="Times New Roman"/>
          <w:shd w:val="clear" w:color="auto" w:fill="FFFFFF"/>
          <w:rtl/>
          <w:lang w:val="ar-SA"/>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Norms on the Responsibilities of Transnational Corporations and Other Business Enterprises with regard to Human Rights</w:t>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adopted by the UN Sub-Commission for the Promotion and Protection of Human Rights.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70"/>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It is also well-known as the draft Norms. This instrument is a restatement of human rights duties for corporations. It argues that </w:t>
      </w:r>
      <w:r w:rsidRPr="00C46C00">
        <w:rPr>
          <w:rStyle w:val="None"/>
          <w:rFonts w:cs="Times New Roman"/>
          <w:shd w:val="clear" w:color="auto" w:fill="FFFFFF"/>
          <w:rtl/>
          <w:lang w:val="ar-SA"/>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States have the primary responsibility to promote, secure the fulfilment of, respect, ensure respect of and protect human rights recognized in international as well as national law, including ensuring that transnational </w:t>
      </w:r>
      <w:r w:rsidRPr="006A43BB">
        <w:rPr>
          <w:rStyle w:val="None"/>
          <w:rFonts w:cs="Times New Roman"/>
          <w:shd w:val="clear" w:color="auto" w:fill="FFFFFF"/>
          <w:lang w:val="en-US"/>
          <w14:textOutline w14:w="12700" w14:cap="flat" w14:cmpd="sng" w14:algn="ctr">
            <w14:noFill/>
            <w14:prstDash w14:val="solid"/>
            <w14:miter w14:lim="400000"/>
          </w14:textOutline>
        </w:rPr>
        <w:lastRenderedPageBreak/>
        <w:t>corporations and other business enterprises respect human rights.</w:t>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71"/>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On the one hand, this principle reflects the general approach taken by the Norms in the respect of human rights obligations for corporations.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72"/>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7F" w14:textId="596A9B49" w:rsidR="003B207D" w:rsidRPr="00E30AFB" w:rsidRDefault="00C96635" w:rsidP="006A43BB">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Pr>
          <w:rStyle w:val="None"/>
          <w:shd w:val="clear" w:color="auto" w:fill="FFFFFF"/>
          <w14:textOutline w14:w="12700" w14:cap="flat" w14:cmpd="sng" w14:algn="ctr">
            <w14:noFill/>
            <w14:prstDash w14:val="solid"/>
            <w14:miter w14:lim="400000"/>
          </w14:textOutline>
        </w:rPr>
        <w:br/>
      </w:r>
      <w:r w:rsidRPr="006A43BB">
        <w:rPr>
          <w:rStyle w:val="None"/>
          <w:rFonts w:cs="Times New Roman"/>
          <w:shd w:val="clear" w:color="auto" w:fill="FFFFFF"/>
          <w:lang w:val="en-US"/>
          <w14:textOutline w14:w="12700" w14:cap="flat" w14:cmpd="sng" w14:algn="ctr">
            <w14:noFill/>
            <w14:prstDash w14:val="solid"/>
            <w14:miter w14:lim="400000"/>
          </w14:textOutline>
        </w:rPr>
        <w:t xml:space="preserve">On the other hand, the Norms have been widely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critici</w:t>
      </w:r>
      <w:proofErr w:type="spellEnd"/>
      <w:r w:rsidRPr="006A43BB">
        <w:rPr>
          <w:rStyle w:val="None"/>
          <w:rFonts w:cs="Times New Roman"/>
          <w:shd w:val="clear" w:color="auto" w:fill="FFFFFF"/>
          <w14:textOutline w14:w="12700" w14:cap="flat" w14:cmpd="sng" w14:algn="ctr">
            <w14:noFill/>
            <w14:prstDash w14:val="solid"/>
            <w14:miter w14:lim="400000"/>
          </w14:textOutline>
        </w:rPr>
        <w:t>s</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ed. For example, </w:t>
      </w:r>
      <w:r w:rsidR="00E43EF6">
        <w:rPr>
          <w:rStyle w:val="None"/>
          <w:rFonts w:cs="Times New Roman"/>
          <w:shd w:val="clear" w:color="auto" w:fill="FFFFFF"/>
          <w:lang w:val="en-US"/>
          <w14:textOutline w14:w="12700" w14:cap="flat" w14:cmpd="sng" w14:algn="ctr">
            <w14:noFill/>
            <w14:prstDash w14:val="solid"/>
            <w14:miter w14:lim="400000"/>
          </w14:textOutline>
        </w:rPr>
        <w:t xml:space="preserve">in the report published by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the Office of the United Nations High Commissioner for Human Rights (hereinafter </w:t>
      </w:r>
      <w:r w:rsidRPr="00C6582E">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the OHCHR</w:t>
      </w:r>
      <w:r w:rsidRPr="00C6582E">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w:t>
      </w:r>
      <w:r w:rsidR="00E43EF6">
        <w:rPr>
          <w:rStyle w:val="None"/>
          <w:rFonts w:cs="Times New Roman"/>
          <w:shd w:val="clear" w:color="auto" w:fill="FFFFFF"/>
          <w:lang w:val="en-US"/>
          <w14:textOutline w14:w="12700" w14:cap="flat" w14:cmpd="sng" w14:algn="ctr">
            <w14:noFill/>
            <w14:prstDash w14:val="solid"/>
            <w14:miter w14:lim="400000"/>
          </w14:textOutline>
        </w:rPr>
        <w:t xml:space="preserve">has been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argued that the approach </w:t>
      </w:r>
      <w:r w:rsidR="00E43EF6">
        <w:rPr>
          <w:rStyle w:val="None"/>
          <w:rFonts w:cs="Times New Roman"/>
          <w:shd w:val="clear" w:color="auto" w:fill="FFFFFF"/>
          <w:lang w:val="en-US"/>
          <w14:textOutline w14:w="12700" w14:cap="flat" w14:cmpd="sng" w14:algn="ctr">
            <w14:noFill/>
            <w14:prstDash w14:val="solid"/>
            <w14:miter w14:lim="400000"/>
          </w14:textOutline>
        </w:rPr>
        <w:t xml:space="preserve">currently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taken </w:t>
      </w:r>
      <w:r w:rsidR="00E43EF6">
        <w:rPr>
          <w:rStyle w:val="None"/>
          <w:rFonts w:cs="Times New Roman"/>
          <w:shd w:val="clear" w:color="auto" w:fill="FFFFFF"/>
          <w:lang w:val="en-US"/>
          <w14:textOutline w14:w="12700" w14:cap="flat" w14:cmpd="sng" w14:algn="ctr">
            <w14:noFill/>
            <w14:prstDash w14:val="solid"/>
            <w14:miter w14:lim="400000"/>
          </w14:textOutline>
        </w:rPr>
        <w:t xml:space="preserve">in this document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is counterproductive </w:t>
      </w:r>
      <w:r w:rsidR="00E43EF6">
        <w:rPr>
          <w:rStyle w:val="None"/>
          <w:rFonts w:cs="Times New Roman"/>
          <w:shd w:val="clear" w:color="auto" w:fill="FFFFFF"/>
          <w:lang w:val="en-US"/>
          <w14:textOutline w14:w="12700" w14:cap="flat" w14:cmpd="sng" w14:algn="ctr">
            <w14:noFill/>
            <w14:prstDash w14:val="solid"/>
            <w14:miter w14:lim="400000"/>
          </w14:textOutline>
        </w:rPr>
        <w:t xml:space="preserve">including </w:t>
      </w:r>
      <w:r w:rsidR="00053D9E">
        <w:rPr>
          <w:rStyle w:val="None"/>
          <w:rFonts w:cs="Times New Roman"/>
          <w:shd w:val="clear" w:color="auto" w:fill="FFFFFF"/>
          <w:lang w:val="en-US"/>
          <w14:textOutline w14:w="12700" w14:cap="flat" w14:cmpd="sng" w14:algn="ctr">
            <w14:noFill/>
            <w14:prstDash w14:val="solid"/>
            <w14:miter w14:lim="400000"/>
          </w14:textOutline>
        </w:rPr>
        <w:t>unclear responsibilities for states</w:t>
      </w:r>
      <w:r w:rsidRPr="006A43BB">
        <w:rPr>
          <w:rStyle w:val="None"/>
          <w:rFonts w:cs="Times New Roman"/>
          <w:shd w:val="clear" w:color="auto" w:fill="FFFFFF"/>
          <w:lang w:val="en-US"/>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73"/>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000F2CAB">
        <w:rPr>
          <w:rStyle w:val="None"/>
          <w:rFonts w:cs="Times New Roman"/>
          <w:shd w:val="clear" w:color="auto" w:fill="FFFFFF"/>
          <w14:textOutline w14:w="12700" w14:cap="flat" w14:cmpd="sng" w14:algn="ctr">
            <w14:noFill/>
            <w14:prstDash w14:val="solid"/>
            <w14:miter w14:lim="400000"/>
          </w14:textOutline>
        </w:rPr>
        <w:t xml:space="preserve">Moreover, the wording of this document is considered as wide </w:t>
      </w:r>
      <w:r w:rsidR="00E30AFB">
        <w:rPr>
          <w:rStyle w:val="None"/>
          <w:rFonts w:cs="Times New Roman"/>
          <w:shd w:val="clear" w:color="auto" w:fill="FFFFFF"/>
          <w14:textOutline w14:w="12700" w14:cap="flat" w14:cmpd="sng" w14:algn="ctr">
            <w14:noFill/>
            <w14:prstDash w14:val="solid"/>
            <w14:miter w14:lim="400000"/>
          </w14:textOutline>
        </w:rPr>
        <w:t xml:space="preserve">which has </w:t>
      </w:r>
      <w:r w:rsidRPr="006A43BB">
        <w:rPr>
          <w:rStyle w:val="None"/>
          <w:rFonts w:cs="Times New Roman"/>
          <w:shd w:val="clear" w:color="auto" w:fill="FFFFFF"/>
          <w:lang w:val="en-US"/>
          <w14:textOutline w14:w="12700" w14:cap="flat" w14:cmpd="sng" w14:algn="ctr">
            <w14:noFill/>
            <w14:prstDash w14:val="solid"/>
            <w14:miter w14:lim="400000"/>
          </w14:textOutline>
        </w:rPr>
        <w:t>negative impact on its implementation.</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74"/>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80"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81" w14:textId="3C26948A" w:rsidR="003B207D" w:rsidRPr="00A04462" w:rsidRDefault="00C96635" w:rsidP="006A43BB">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Many scholars and practitioners are calling for clarification of those obligations imposed by Norms as well as establishment of monitoring mechanism which would ensure full compliance.</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75"/>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In 2005, Professor John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Ruggie</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was appointed as Special Representative by the UN Commission on Human Rights to prepare an </w:t>
      </w:r>
      <w:proofErr w:type="spellStart"/>
      <w:r w:rsidRPr="006A43BB">
        <w:rPr>
          <w:rStyle w:val="None"/>
          <w:rFonts w:cs="Times New Roman"/>
          <w:shd w:val="clear" w:color="auto" w:fill="FFFFFF"/>
          <w14:textOutline w14:w="12700" w14:cap="flat" w14:cmpd="sng" w14:algn="ctr">
            <w14:noFill/>
            <w14:prstDash w14:val="solid"/>
            <w14:miter w14:lim="400000"/>
          </w14:textOutline>
        </w:rPr>
        <w:t>analys</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is of how to improve accountability for corporations under international law.</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76"/>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His task was to clarify and research implications for transnational corporations</w:t>
      </w:r>
      <w:r w:rsidR="00A04462">
        <w:rPr>
          <w:rStyle w:val="None"/>
          <w:rFonts w:cs="Times New Roman"/>
          <w:shd w:val="clear" w:color="auto" w:fill="FFFFFF"/>
          <w:lang w:val="en-US"/>
          <w14:textOutline w14:w="12700" w14:cap="flat" w14:cmpd="sng" w14:algn="ctr">
            <w14:noFill/>
            <w14:prstDash w14:val="solid"/>
            <w14:miter w14:lim="400000"/>
          </w14:textOutline>
        </w:rPr>
        <w:t xml:space="preserve"> and</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undertake human rights impact assessments of TNC</w:t>
      </w:r>
      <w:r w:rsidRPr="00C6582E">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s activities</w:t>
      </w:r>
      <w:r w:rsidR="00A04462">
        <w:rPr>
          <w:rStyle w:val="None"/>
          <w:rFonts w:cs="Times New Roman"/>
          <w:shd w:val="clear" w:color="auto" w:fill="FFFFFF"/>
          <w:lang w:val="en-US"/>
          <w14:textOutline w14:w="12700" w14:cap="flat" w14:cmpd="sng" w14:algn="ctr">
            <w14:noFill/>
            <w14:prstDash w14:val="solid"/>
            <w14:miter w14:lim="400000"/>
          </w14:textOutline>
        </w:rPr>
        <w:t xml:space="preserve"> in in order to see if there is an effective way to improve accountability</w:t>
      </w:r>
      <w:r w:rsidRPr="006A43BB">
        <w:rPr>
          <w:rStyle w:val="None"/>
          <w:rFonts w:cs="Times New Roman"/>
          <w:shd w:val="clear" w:color="auto" w:fill="FFFFFF"/>
          <w:lang w:val="en-US"/>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77"/>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However, even considering the significant contribution made by Prof John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Ruggie</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to regulate business in this field, it is still impossible to hold corporations directly accountable for human rights violations at international level. </w:t>
      </w:r>
    </w:p>
    <w:p w14:paraId="73291882"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83" w14:textId="3651EA7E" w:rsidR="003B207D" w:rsidRDefault="00C96635" w:rsidP="00C6582E">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Considerable impact of the Norms and other Codes of Conduct and its impact on human obligations for corporations will be discussed in more detail in the next chapter. </w:t>
      </w:r>
    </w:p>
    <w:p w14:paraId="7F9DA4F5" w14:textId="5DCE4C41" w:rsidR="00EF4834" w:rsidRDefault="00EF4834" w:rsidP="00C6582E">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p>
    <w:p w14:paraId="4E504031" w14:textId="77BB64D3" w:rsidR="00EF4834" w:rsidRDefault="00EF4834" w:rsidP="00C6582E">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p>
    <w:p w14:paraId="6B17E85D" w14:textId="77777777" w:rsidR="00EF4834" w:rsidRDefault="00EF4834" w:rsidP="00C6582E">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p>
    <w:p w14:paraId="137FF15F" w14:textId="77777777" w:rsidR="00C6582E" w:rsidRPr="006A43BB" w:rsidRDefault="00C6582E"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84" w14:textId="77777777" w:rsidR="003B207D" w:rsidRDefault="003B207D">
      <w:pPr>
        <w:pStyle w:val="Body"/>
        <w:spacing w:line="276" w:lineRule="auto"/>
        <w:jc w:val="both"/>
        <w:rPr>
          <w:rStyle w:val="None"/>
          <w:b/>
          <w:bCs/>
          <w:shd w:val="clear" w:color="auto" w:fill="FFFFFF"/>
          <w14:textOutline w14:w="12700" w14:cap="flat" w14:cmpd="sng" w14:algn="ctr">
            <w14:noFill/>
            <w14:prstDash w14:val="solid"/>
            <w14:miter w14:lim="400000"/>
          </w14:textOutline>
        </w:rPr>
      </w:pPr>
    </w:p>
    <w:p w14:paraId="73291885" w14:textId="77777777" w:rsidR="003B207D" w:rsidRDefault="00C96635">
      <w:pPr>
        <w:pStyle w:val="Body"/>
        <w:spacing w:line="276" w:lineRule="auto"/>
        <w:jc w:val="both"/>
        <w:rPr>
          <w:rStyle w:val="None"/>
          <w:b/>
          <w:bCs/>
          <w:shd w:val="clear" w:color="auto" w:fill="FFFFFF"/>
          <w14:textOutline w14:w="12700" w14:cap="flat" w14:cmpd="sng" w14:algn="ctr">
            <w14:noFill/>
            <w14:prstDash w14:val="solid"/>
            <w14:miter w14:lim="400000"/>
          </w14:textOutline>
        </w:rPr>
      </w:pPr>
      <w:r>
        <w:rPr>
          <w:rStyle w:val="None"/>
          <w:b/>
          <w:bCs/>
          <w:shd w:val="clear" w:color="auto" w:fill="FFFFFF"/>
          <w:lang w:val="en-US"/>
          <w14:textOutline w14:w="12700" w14:cap="flat" w14:cmpd="sng" w14:algn="ctr">
            <w14:noFill/>
            <w14:prstDash w14:val="solid"/>
            <w14:miter w14:lim="400000"/>
          </w14:textOutline>
        </w:rPr>
        <w:lastRenderedPageBreak/>
        <w:t>III Corporations and international law</w:t>
      </w:r>
    </w:p>
    <w:p w14:paraId="73291886" w14:textId="77777777" w:rsidR="003B207D" w:rsidRDefault="003B207D">
      <w:pPr>
        <w:pStyle w:val="Body"/>
        <w:spacing w:line="276" w:lineRule="auto"/>
        <w:jc w:val="both"/>
        <w:rPr>
          <w:rStyle w:val="None"/>
          <w:b/>
          <w:bCs/>
          <w:shd w:val="clear" w:color="auto" w:fill="FFFFFF"/>
          <w14:textOutline w14:w="12700" w14:cap="flat" w14:cmpd="sng" w14:algn="ctr">
            <w14:noFill/>
            <w14:prstDash w14:val="solid"/>
            <w14:miter w14:lim="400000"/>
          </w14:textOutline>
        </w:rPr>
      </w:pPr>
    </w:p>
    <w:p w14:paraId="73291887" w14:textId="77777777" w:rsidR="003B207D" w:rsidRDefault="00C96635">
      <w:pPr>
        <w:pStyle w:val="Body"/>
        <w:spacing w:line="276" w:lineRule="auto"/>
        <w:jc w:val="both"/>
        <w:rPr>
          <w:rStyle w:val="None"/>
          <w:b/>
          <w:bCs/>
          <w:shd w:val="clear" w:color="auto" w:fill="FFFFFF"/>
          <w14:textOutline w14:w="12700" w14:cap="flat" w14:cmpd="sng" w14:algn="ctr">
            <w14:noFill/>
            <w14:prstDash w14:val="solid"/>
            <w14:miter w14:lim="400000"/>
          </w14:textOutline>
        </w:rPr>
      </w:pPr>
      <w:r>
        <w:rPr>
          <w:rStyle w:val="None"/>
          <w:b/>
          <w:bCs/>
          <w:shd w:val="clear" w:color="auto" w:fill="FFFFFF"/>
          <w:lang w:val="en-US"/>
          <w14:textOutline w14:w="12700" w14:cap="flat" w14:cmpd="sng" w14:algn="ctr">
            <w14:noFill/>
            <w14:prstDash w14:val="solid"/>
            <w14:miter w14:lim="400000"/>
          </w14:textOutline>
        </w:rPr>
        <w:t xml:space="preserve">3.1 Existing Regulatory Initiatives </w:t>
      </w:r>
    </w:p>
    <w:p w14:paraId="73291888" w14:textId="77777777" w:rsidR="003B207D" w:rsidRDefault="003B207D">
      <w:pPr>
        <w:pStyle w:val="Body"/>
        <w:spacing w:line="276" w:lineRule="auto"/>
        <w:jc w:val="both"/>
        <w:rPr>
          <w:rStyle w:val="None"/>
          <w:b/>
          <w:bCs/>
          <w:shd w:val="clear" w:color="auto" w:fill="FFFFFF"/>
          <w14:textOutline w14:w="12700" w14:cap="flat" w14:cmpd="sng" w14:algn="ctr">
            <w14:noFill/>
            <w14:prstDash w14:val="solid"/>
            <w14:miter w14:lim="400000"/>
          </w14:textOutline>
        </w:rPr>
      </w:pPr>
    </w:p>
    <w:p w14:paraId="73291889" w14:textId="77777777" w:rsidR="003B207D" w:rsidRDefault="00C96635">
      <w:pPr>
        <w:pStyle w:val="Body"/>
        <w:spacing w:line="276" w:lineRule="auto"/>
        <w:jc w:val="both"/>
        <w:rPr>
          <w:rStyle w:val="None"/>
          <w:shd w:val="clear" w:color="auto" w:fill="FFFFFF"/>
          <w14:textOutline w14:w="12700" w14:cap="flat" w14:cmpd="sng" w14:algn="ctr">
            <w14:noFill/>
            <w14:prstDash w14:val="solid"/>
            <w14:miter w14:lim="400000"/>
          </w14:textOutline>
        </w:rPr>
      </w:pPr>
      <w:r>
        <w:rPr>
          <w:rStyle w:val="None"/>
          <w:shd w:val="clear" w:color="auto" w:fill="FFFFFF"/>
          <w:lang w:val="en-US"/>
          <w14:textOutline w14:w="12700" w14:cap="flat" w14:cmpd="sng" w14:algn="ctr">
            <w14:noFill/>
            <w14:prstDash w14:val="solid"/>
            <w14:miter w14:lim="400000"/>
          </w14:textOutline>
        </w:rPr>
        <w:t>Regulatory initiatives are playing an important role in evaluating corporations from international law perspective. The adequacy of those initiatives seek to enforce and impose obligations on companies that should be judged in the context of their efficacy.</w:t>
      </w:r>
      <w:r>
        <w:rPr>
          <w:rStyle w:val="None"/>
          <w:shd w:val="clear" w:color="auto" w:fill="FFFFFF"/>
          <w:vertAlign w:val="superscript"/>
          <w14:textOutline w14:w="12700" w14:cap="flat" w14:cmpd="sng" w14:algn="ctr">
            <w14:noFill/>
            <w14:prstDash w14:val="solid"/>
            <w14:miter w14:lim="400000"/>
          </w14:textOutline>
        </w:rPr>
        <w:footnoteReference w:id="78"/>
      </w:r>
      <w:r>
        <w:rPr>
          <w:rStyle w:val="None"/>
          <w:shd w:val="clear" w:color="auto" w:fill="FFFFFF"/>
          <w:lang w:val="en-US"/>
          <w14:textOutline w14:w="12700" w14:cap="flat" w14:cmpd="sng" w14:algn="ctr">
            <w14:noFill/>
            <w14:prstDash w14:val="solid"/>
            <w14:miter w14:lim="400000"/>
          </w14:textOutline>
        </w:rPr>
        <w:t xml:space="preserve"> The adequacy of some of the existing regulatory initiatives has been briefly discussed in the previous chapter. However, this chapter aims to provide more deep analysis and establish whether those initiatives achieved its objectives in the context of human rights. By making this distinction on the basis of the source of regulation, one can measure the gap between corporate acceptance of their human rights responsibilities through internal codes of conduct and regulatory initiatives.</w:t>
      </w:r>
    </w:p>
    <w:p w14:paraId="7329188A" w14:textId="77777777" w:rsidR="003B207D" w:rsidRDefault="003B207D">
      <w:pPr>
        <w:pStyle w:val="Body"/>
        <w:spacing w:line="276" w:lineRule="auto"/>
        <w:jc w:val="both"/>
        <w:rPr>
          <w:rStyle w:val="None"/>
          <w:shd w:val="clear" w:color="auto" w:fill="FFFFFF"/>
          <w14:textOutline w14:w="12700" w14:cap="flat" w14:cmpd="sng" w14:algn="ctr">
            <w14:noFill/>
            <w14:prstDash w14:val="solid"/>
            <w14:miter w14:lim="400000"/>
          </w14:textOutline>
        </w:rPr>
      </w:pPr>
    </w:p>
    <w:p w14:paraId="7329188B" w14:textId="77777777" w:rsidR="003B207D" w:rsidRDefault="00C96635">
      <w:pPr>
        <w:pStyle w:val="Body"/>
        <w:spacing w:line="276" w:lineRule="auto"/>
        <w:jc w:val="both"/>
        <w:rPr>
          <w:rStyle w:val="None"/>
          <w:shd w:val="clear" w:color="auto" w:fill="FFFFFF"/>
          <w14:textOutline w14:w="12700" w14:cap="flat" w14:cmpd="sng" w14:algn="ctr">
            <w14:noFill/>
            <w14:prstDash w14:val="solid"/>
            <w14:miter w14:lim="400000"/>
          </w14:textOutline>
        </w:rPr>
      </w:pPr>
      <w:r>
        <w:rPr>
          <w:rStyle w:val="None"/>
          <w:shd w:val="clear" w:color="auto" w:fill="FFFFFF"/>
          <w:lang w:val="en-US"/>
          <w14:textOutline w14:w="12700" w14:cap="flat" w14:cmpd="sng" w14:algn="ctr">
            <w14:noFill/>
            <w14:prstDash w14:val="solid"/>
            <w14:miter w14:lim="400000"/>
          </w14:textOutline>
        </w:rPr>
        <w:t>According to Surya Deva, the main dilemma in the regulation of corporate activities arises through their complicated regulatory nature: the taxonomy of current regulatory initiatives can be understood using five different variables (see Figure 1).</w:t>
      </w:r>
      <w:r>
        <w:rPr>
          <w:rStyle w:val="None"/>
          <w:shd w:val="clear" w:color="auto" w:fill="FFFFFF"/>
          <w:vertAlign w:val="superscript"/>
          <w14:textOutline w14:w="12700" w14:cap="flat" w14:cmpd="sng" w14:algn="ctr">
            <w14:noFill/>
            <w14:prstDash w14:val="solid"/>
            <w14:miter w14:lim="400000"/>
          </w14:textOutline>
        </w:rPr>
        <w:footnoteReference w:id="79"/>
      </w:r>
    </w:p>
    <w:p w14:paraId="7329188C" w14:textId="77777777" w:rsidR="003B207D" w:rsidRDefault="003B207D">
      <w:pPr>
        <w:pStyle w:val="Body"/>
        <w:spacing w:line="276" w:lineRule="auto"/>
        <w:jc w:val="both"/>
        <w:rPr>
          <w:rStyle w:val="None"/>
          <w:shd w:val="clear" w:color="auto" w:fill="FFFFFF"/>
          <w14:textOutline w14:w="12700" w14:cap="flat" w14:cmpd="sng" w14:algn="ctr">
            <w14:noFill/>
            <w14:prstDash w14:val="solid"/>
            <w14:miter w14:lim="400000"/>
          </w14:textOutline>
        </w:rPr>
      </w:pPr>
    </w:p>
    <w:p w14:paraId="7329188D" w14:textId="77777777" w:rsidR="003B207D" w:rsidRDefault="00C96635">
      <w:pPr>
        <w:pStyle w:val="Body"/>
        <w:jc w:val="both"/>
        <w:rPr>
          <w:rStyle w:val="None"/>
          <w:b/>
          <w:bCs/>
          <w14:textOutline w14:w="12700" w14:cap="flat" w14:cmpd="sng" w14:algn="ctr">
            <w14:noFill/>
            <w14:prstDash w14:val="solid"/>
            <w14:miter w14:lim="400000"/>
          </w14:textOutline>
        </w:rPr>
      </w:pPr>
      <w:r>
        <w:rPr>
          <w:rStyle w:val="None"/>
          <w:b/>
          <w:bCs/>
          <w:lang w:val="en-US"/>
          <w14:textOutline w14:w="12700" w14:cap="flat" w14:cmpd="sng" w14:algn="ctr">
            <w14:noFill/>
            <w14:prstDash w14:val="solid"/>
            <w14:miter w14:lim="400000"/>
          </w14:textOutline>
        </w:rPr>
        <w:t>Figure 1: Bases and objective for classifying existing regulatory regimes.</w:t>
      </w:r>
      <w:r>
        <w:rPr>
          <w:rStyle w:val="None"/>
          <w:b/>
          <w:bCs/>
          <w14:textOutline w14:w="12700" w14:cap="flat" w14:cmpd="sng" w14:algn="ctr">
            <w14:noFill/>
            <w14:prstDash w14:val="solid"/>
            <w14:miter w14:lim="400000"/>
          </w14:textOutline>
        </w:rPr>
        <w:t> </w:t>
      </w:r>
    </w:p>
    <w:p w14:paraId="7329188E" w14:textId="77777777" w:rsidR="003B207D" w:rsidRDefault="003B207D">
      <w:pPr>
        <w:pStyle w:val="Body"/>
        <w:spacing w:after="240"/>
        <w:rPr>
          <w:rStyle w:val="None"/>
          <w14:textOutline w14:w="12700" w14:cap="flat" w14:cmpd="sng" w14:algn="ctr">
            <w14:noFill/>
            <w14:prstDash w14:val="solid"/>
            <w14:miter w14:lim="400000"/>
          </w14:textOutline>
        </w:rPr>
      </w:pPr>
    </w:p>
    <w:tbl>
      <w:tblPr>
        <w:tblW w:w="9026"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503"/>
        <w:gridCol w:w="1994"/>
        <w:gridCol w:w="4529"/>
      </w:tblGrid>
      <w:tr w:rsidR="003B207D" w14:paraId="73291892" w14:textId="77777777">
        <w:trPr>
          <w:trHeight w:val="650"/>
        </w:trPr>
        <w:tc>
          <w:tcPr>
            <w:tcW w:w="2503" w:type="dxa"/>
            <w:tcBorders>
              <w:top w:val="single" w:sz="8" w:space="0" w:color="000000"/>
              <w:left w:val="single" w:sz="8" w:space="0" w:color="000000"/>
              <w:bottom w:val="single" w:sz="8" w:space="0" w:color="000000"/>
              <w:right w:val="single" w:sz="8" w:space="0" w:color="000000"/>
            </w:tcBorders>
            <w:shd w:val="clear" w:color="auto" w:fill="B8CCE4"/>
            <w:tcMar>
              <w:top w:w="80" w:type="dxa"/>
              <w:left w:w="80" w:type="dxa"/>
              <w:bottom w:w="80" w:type="dxa"/>
              <w:right w:w="80" w:type="dxa"/>
            </w:tcMar>
          </w:tcPr>
          <w:p w14:paraId="7329188F" w14:textId="77777777" w:rsidR="003B207D" w:rsidRDefault="00C96635">
            <w:pPr>
              <w:pStyle w:val="Body"/>
            </w:pPr>
            <w:bookmarkStart w:id="10" w:name="_Hlk73267183"/>
            <w:r>
              <w:rPr>
                <w:rStyle w:val="None"/>
                <w:b/>
                <w:bCs/>
                <w:lang w:val="en-US"/>
                <w14:textOutline w14:w="12700" w14:cap="flat" w14:cmpd="sng" w14:algn="ctr">
                  <w14:noFill/>
                  <w14:prstDash w14:val="solid"/>
                  <w14:miter w14:lim="400000"/>
                </w14:textOutline>
              </w:rPr>
              <w:t>Regulatory dilemmas </w:t>
            </w:r>
          </w:p>
        </w:tc>
        <w:tc>
          <w:tcPr>
            <w:tcW w:w="1994" w:type="dxa"/>
            <w:tcBorders>
              <w:top w:val="single" w:sz="8" w:space="0" w:color="000000"/>
              <w:left w:val="single" w:sz="8" w:space="0" w:color="000000"/>
              <w:bottom w:val="single" w:sz="8" w:space="0" w:color="000000"/>
              <w:right w:val="single" w:sz="8" w:space="0" w:color="000000"/>
            </w:tcBorders>
            <w:shd w:val="clear" w:color="auto" w:fill="B8CCE4"/>
            <w:tcMar>
              <w:top w:w="80" w:type="dxa"/>
              <w:left w:w="80" w:type="dxa"/>
              <w:bottom w:w="80" w:type="dxa"/>
              <w:right w:w="80" w:type="dxa"/>
            </w:tcMar>
          </w:tcPr>
          <w:p w14:paraId="73291890" w14:textId="77777777" w:rsidR="003B207D" w:rsidRDefault="00C96635">
            <w:pPr>
              <w:pStyle w:val="Body"/>
            </w:pPr>
            <w:r>
              <w:rPr>
                <w:rStyle w:val="None"/>
                <w:b/>
                <w:bCs/>
                <w:lang w:val="en-US"/>
                <w14:textOutline w14:w="12700" w14:cap="flat" w14:cmpd="sng" w14:algn="ctr">
                  <w14:noFill/>
                  <w14:prstDash w14:val="solid"/>
                  <w14:miter w14:lim="400000"/>
                </w14:textOutline>
              </w:rPr>
              <w:t>Differentiating variables </w:t>
            </w:r>
          </w:p>
        </w:tc>
        <w:tc>
          <w:tcPr>
            <w:tcW w:w="4529" w:type="dxa"/>
            <w:tcBorders>
              <w:top w:val="single" w:sz="8" w:space="0" w:color="000000"/>
              <w:left w:val="single" w:sz="8" w:space="0" w:color="000000"/>
              <w:bottom w:val="single" w:sz="8" w:space="0" w:color="000000"/>
              <w:right w:val="single" w:sz="8" w:space="0" w:color="000000"/>
            </w:tcBorders>
            <w:shd w:val="clear" w:color="auto" w:fill="B8CCE4"/>
            <w:tcMar>
              <w:top w:w="80" w:type="dxa"/>
              <w:left w:w="80" w:type="dxa"/>
              <w:bottom w:w="80" w:type="dxa"/>
              <w:right w:w="80" w:type="dxa"/>
            </w:tcMar>
          </w:tcPr>
          <w:p w14:paraId="73291891" w14:textId="77777777" w:rsidR="003B207D" w:rsidRDefault="00C96635">
            <w:pPr>
              <w:pStyle w:val="Body"/>
            </w:pPr>
            <w:r>
              <w:rPr>
                <w:rStyle w:val="None"/>
                <w:b/>
                <w:bCs/>
                <w:lang w:val="en-US"/>
                <w14:textOutline w14:w="12700" w14:cap="flat" w14:cmpd="sng" w14:algn="ctr">
                  <w14:noFill/>
                  <w14:prstDash w14:val="solid"/>
                  <w14:miter w14:lim="400000"/>
                </w14:textOutline>
              </w:rPr>
              <w:t>Analytical objective served </w:t>
            </w:r>
          </w:p>
        </w:tc>
      </w:tr>
      <w:tr w:rsidR="003B207D" w14:paraId="73291896" w14:textId="77777777">
        <w:trPr>
          <w:trHeight w:val="1250"/>
        </w:trPr>
        <w:tc>
          <w:tcPr>
            <w:tcW w:w="2503"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3291893" w14:textId="77777777" w:rsidR="003B207D" w:rsidRDefault="00C96635">
            <w:pPr>
              <w:pStyle w:val="Body"/>
            </w:pPr>
            <w:r>
              <w:rPr>
                <w:rStyle w:val="None"/>
                <w:lang w:val="en-US"/>
                <w14:textOutline w14:w="12700" w14:cap="flat" w14:cmpd="sng" w14:algn="ctr">
                  <w14:noFill/>
                  <w14:prstDash w14:val="solid"/>
                  <w14:miter w14:lim="400000"/>
                </w14:textOutline>
              </w:rPr>
              <w:t>Who should regulate</w:t>
            </w:r>
          </w:p>
        </w:tc>
        <w:tc>
          <w:tcPr>
            <w:tcW w:w="199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3291894" w14:textId="77777777" w:rsidR="003B207D" w:rsidRDefault="00C96635">
            <w:pPr>
              <w:pStyle w:val="Body"/>
            </w:pPr>
            <w:r>
              <w:rPr>
                <w:rStyle w:val="None"/>
                <w:lang w:val="en-US"/>
                <w14:textOutline w14:w="12700" w14:cap="flat" w14:cmpd="sng" w14:algn="ctr">
                  <w14:noFill/>
                  <w14:prstDash w14:val="solid"/>
                  <w14:miter w14:lim="400000"/>
                </w14:textOutline>
              </w:rPr>
              <w:t>Source </w:t>
            </w:r>
          </w:p>
        </w:tc>
        <w:tc>
          <w:tcPr>
            <w:tcW w:w="452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3291895" w14:textId="77777777" w:rsidR="003B207D" w:rsidRDefault="00C96635">
            <w:pPr>
              <w:pStyle w:val="Body"/>
            </w:pPr>
            <w:r>
              <w:rPr>
                <w:rStyle w:val="None"/>
                <w:lang w:val="en-US"/>
                <w14:textOutline w14:w="12700" w14:cap="flat" w14:cmpd="sng" w14:algn="ctr">
                  <w14:noFill/>
                  <w14:prstDash w14:val="solid"/>
                  <w14:miter w14:lim="400000"/>
                </w14:textOutline>
              </w:rPr>
              <w:t>Measuring the gap between corporate commitments and the expectations of stakeholders; judging the integrity of regulatory actors.</w:t>
            </w:r>
          </w:p>
        </w:tc>
      </w:tr>
      <w:tr w:rsidR="003B207D" w14:paraId="7329189A" w14:textId="77777777">
        <w:trPr>
          <w:trHeight w:val="950"/>
        </w:trPr>
        <w:tc>
          <w:tcPr>
            <w:tcW w:w="2503"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3291897" w14:textId="77777777" w:rsidR="003B207D" w:rsidRDefault="00C96635">
            <w:pPr>
              <w:pStyle w:val="Body"/>
            </w:pPr>
            <w:r>
              <w:rPr>
                <w:rStyle w:val="None"/>
                <w:lang w:val="en-US"/>
                <w14:textOutline w14:w="12700" w14:cap="flat" w14:cmpd="sng" w14:algn="ctr">
                  <w14:noFill/>
                  <w14:prstDash w14:val="solid"/>
                  <w14:miter w14:lim="400000"/>
                </w14:textOutline>
              </w:rPr>
              <w:t>Subjects of regulation</w:t>
            </w:r>
          </w:p>
        </w:tc>
        <w:tc>
          <w:tcPr>
            <w:tcW w:w="199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3291898" w14:textId="77777777" w:rsidR="003B207D" w:rsidRDefault="00C96635">
            <w:pPr>
              <w:pStyle w:val="Body"/>
            </w:pPr>
            <w:r>
              <w:rPr>
                <w:rStyle w:val="None"/>
                <w:lang w:val="en-US"/>
                <w14:textOutline w14:w="12700" w14:cap="flat" w14:cmpd="sng" w14:algn="ctr">
                  <w14:noFill/>
                  <w14:prstDash w14:val="solid"/>
                  <w14:miter w14:lim="400000"/>
                </w14:textOutline>
              </w:rPr>
              <w:t>Content</w:t>
            </w:r>
          </w:p>
        </w:tc>
        <w:tc>
          <w:tcPr>
            <w:tcW w:w="452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3291899" w14:textId="77777777" w:rsidR="003B207D" w:rsidRDefault="00C96635">
            <w:pPr>
              <w:pStyle w:val="Body"/>
            </w:pPr>
            <w:r>
              <w:rPr>
                <w:rStyle w:val="None"/>
                <w:lang w:val="en-US"/>
                <w14:textOutline w14:w="12700" w14:cap="flat" w14:cmpd="sng" w14:algn="ctr">
                  <w14:noFill/>
                  <w14:prstDash w14:val="solid"/>
                  <w14:miter w14:lim="400000"/>
                </w14:textOutline>
              </w:rPr>
              <w:t>Evaluating the amplitude and strength of human rights protection afforded by a regulatory initiative.</w:t>
            </w:r>
          </w:p>
        </w:tc>
      </w:tr>
      <w:tr w:rsidR="003B207D" w14:paraId="7329189E" w14:textId="77777777">
        <w:trPr>
          <w:trHeight w:val="1210"/>
        </w:trPr>
        <w:tc>
          <w:tcPr>
            <w:tcW w:w="2503"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329189B" w14:textId="77777777" w:rsidR="003B207D" w:rsidRDefault="00C96635">
            <w:pPr>
              <w:pStyle w:val="Body"/>
            </w:pPr>
            <w:r>
              <w:rPr>
                <w:rStyle w:val="None"/>
                <w:lang w:val="en-US"/>
                <w14:textOutline w14:w="12700" w14:cap="flat" w14:cmpd="sng" w14:algn="ctr">
                  <w14:noFill/>
                  <w14:prstDash w14:val="solid"/>
                  <w14:miter w14:lim="400000"/>
                </w14:textOutline>
              </w:rPr>
              <w:t>Which corporation of a corporate group is to be regulated </w:t>
            </w:r>
          </w:p>
        </w:tc>
        <w:tc>
          <w:tcPr>
            <w:tcW w:w="199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329189C" w14:textId="77777777" w:rsidR="003B207D" w:rsidRDefault="00C96635">
            <w:pPr>
              <w:pStyle w:val="Body"/>
            </w:pPr>
            <w:r>
              <w:rPr>
                <w:rStyle w:val="None"/>
                <w:lang w:val="en-US"/>
                <w14:textOutline w14:w="12700" w14:cap="flat" w14:cmpd="sng" w14:algn="ctr">
                  <w14:noFill/>
                  <w14:prstDash w14:val="solid"/>
                  <w14:miter w14:lim="400000"/>
                </w14:textOutline>
              </w:rPr>
              <w:t>Targeting approach</w:t>
            </w:r>
          </w:p>
        </w:tc>
        <w:tc>
          <w:tcPr>
            <w:tcW w:w="452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329189D" w14:textId="77777777" w:rsidR="003B207D" w:rsidRDefault="00C96635">
            <w:pPr>
              <w:pStyle w:val="Body"/>
            </w:pPr>
            <w:proofErr w:type="spellStart"/>
            <w:r>
              <w:rPr>
                <w:rStyle w:val="None"/>
                <w:lang w:val="en-US"/>
                <w14:textOutline w14:w="12700" w14:cap="flat" w14:cmpd="sng" w14:algn="ctr">
                  <w14:noFill/>
                  <w14:prstDash w14:val="solid"/>
                  <w14:miter w14:lim="400000"/>
                </w14:textOutline>
              </w:rPr>
              <w:t>Analysing</w:t>
            </w:r>
            <w:proofErr w:type="spellEnd"/>
            <w:r>
              <w:rPr>
                <w:rStyle w:val="None"/>
                <w:lang w:val="en-US"/>
                <w14:textOutline w14:w="12700" w14:cap="flat" w14:cmpd="sng" w14:algn="ctr">
                  <w14:noFill/>
                  <w14:prstDash w14:val="solid"/>
                  <w14:miter w14:lim="400000"/>
                </w14:textOutline>
              </w:rPr>
              <w:t xml:space="preserve"> the efficacy of relying on the entity versus enterprise principles; assessing the limits of state-</w:t>
            </w:r>
            <w:proofErr w:type="spellStart"/>
            <w:r>
              <w:rPr>
                <w:rStyle w:val="None"/>
                <w:lang w:val="en-US"/>
                <w14:textOutline w14:w="12700" w14:cap="flat" w14:cmpd="sng" w14:algn="ctr">
                  <w14:noFill/>
                  <w14:prstDash w14:val="solid"/>
                  <w14:miter w14:lim="400000"/>
                </w14:textOutline>
              </w:rPr>
              <w:t>centred</w:t>
            </w:r>
            <w:proofErr w:type="spellEnd"/>
            <w:r>
              <w:rPr>
                <w:rStyle w:val="None"/>
                <w:lang w:val="en-US"/>
                <w14:textOutline w14:w="12700" w14:cap="flat" w14:cmpd="sng" w14:algn="ctr">
                  <w14:noFill/>
                  <w14:prstDash w14:val="solid"/>
                  <w14:miter w14:lim="400000"/>
                </w14:textOutline>
              </w:rPr>
              <w:t xml:space="preserve"> enforcement.</w:t>
            </w:r>
          </w:p>
        </w:tc>
      </w:tr>
      <w:tr w:rsidR="003B207D" w14:paraId="732918A2" w14:textId="77777777">
        <w:trPr>
          <w:trHeight w:val="650"/>
        </w:trPr>
        <w:tc>
          <w:tcPr>
            <w:tcW w:w="2503"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329189F" w14:textId="77777777" w:rsidR="003B207D" w:rsidRDefault="00C96635">
            <w:pPr>
              <w:pStyle w:val="Body"/>
            </w:pPr>
            <w:r>
              <w:rPr>
                <w:rStyle w:val="None"/>
                <w:lang w:val="en-US"/>
                <w14:textOutline w14:w="12700" w14:cap="flat" w14:cmpd="sng" w14:algn="ctr">
                  <w14:noFill/>
                  <w14:prstDash w14:val="solid"/>
                  <w14:miter w14:lim="400000"/>
                </w14:textOutline>
              </w:rPr>
              <w:t>Place for regulation</w:t>
            </w:r>
          </w:p>
        </w:tc>
        <w:tc>
          <w:tcPr>
            <w:tcW w:w="199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32918A0" w14:textId="77777777" w:rsidR="003B207D" w:rsidRDefault="00C96635">
            <w:pPr>
              <w:pStyle w:val="Body"/>
            </w:pPr>
            <w:r>
              <w:rPr>
                <w:rStyle w:val="None"/>
                <w:lang w:val="en-US"/>
                <w14:textOutline w14:w="12700" w14:cap="flat" w14:cmpd="sng" w14:algn="ctr">
                  <w14:noFill/>
                  <w14:prstDash w14:val="solid"/>
                  <w14:miter w14:lim="400000"/>
                </w14:textOutline>
              </w:rPr>
              <w:t>Level of operation </w:t>
            </w:r>
          </w:p>
        </w:tc>
        <w:tc>
          <w:tcPr>
            <w:tcW w:w="452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32918A1" w14:textId="77777777" w:rsidR="003B207D" w:rsidRDefault="00C96635">
            <w:pPr>
              <w:pStyle w:val="Body"/>
            </w:pPr>
            <w:r>
              <w:rPr>
                <w:rStyle w:val="None"/>
                <w:lang w:val="en-US"/>
                <w14:textOutline w14:w="12700" w14:cap="flat" w14:cmpd="sng" w14:algn="ctr">
                  <w14:noFill/>
                  <w14:prstDash w14:val="solid"/>
                  <w14:miter w14:lim="400000"/>
                </w14:textOutline>
              </w:rPr>
              <w:t>Identifying the limitations and advantages of regularity initiatives at different levels. </w:t>
            </w:r>
          </w:p>
        </w:tc>
      </w:tr>
      <w:tr w:rsidR="003B207D" w14:paraId="732918A6" w14:textId="77777777">
        <w:trPr>
          <w:trHeight w:val="950"/>
        </w:trPr>
        <w:tc>
          <w:tcPr>
            <w:tcW w:w="2503"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32918A3" w14:textId="77777777" w:rsidR="003B207D" w:rsidRDefault="00C96635">
            <w:pPr>
              <w:pStyle w:val="Body"/>
            </w:pPr>
            <w:r>
              <w:rPr>
                <w:rStyle w:val="None"/>
                <w:lang w:val="en-US"/>
                <w14:textOutline w14:w="12700" w14:cap="flat" w14:cmpd="sng" w14:algn="ctr">
                  <w14:noFill/>
                  <w14:prstDash w14:val="solid"/>
                  <w14:miter w14:lim="400000"/>
                </w14:textOutline>
              </w:rPr>
              <w:t xml:space="preserve">Support for regulation </w:t>
            </w:r>
          </w:p>
        </w:tc>
        <w:tc>
          <w:tcPr>
            <w:tcW w:w="199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32918A4" w14:textId="77777777" w:rsidR="003B207D" w:rsidRDefault="00C96635">
            <w:pPr>
              <w:pStyle w:val="Body"/>
            </w:pPr>
            <w:r>
              <w:rPr>
                <w:rStyle w:val="None"/>
                <w:lang w:val="en-US"/>
                <w14:textOutline w14:w="12700" w14:cap="flat" w14:cmpd="sng" w14:algn="ctr">
                  <w14:noFill/>
                  <w14:prstDash w14:val="solid"/>
                  <w14:miter w14:lim="400000"/>
                </w14:textOutline>
              </w:rPr>
              <w:t>Nature </w:t>
            </w:r>
          </w:p>
        </w:tc>
        <w:tc>
          <w:tcPr>
            <w:tcW w:w="452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32918A5" w14:textId="77777777" w:rsidR="003B207D" w:rsidRDefault="00C96635">
            <w:pPr>
              <w:pStyle w:val="Body"/>
            </w:pPr>
            <w:r>
              <w:rPr>
                <w:rStyle w:val="None"/>
                <w:lang w:val="en-US"/>
                <w14:textOutline w14:w="12700" w14:cap="flat" w14:cmpd="sng" w14:algn="ctr">
                  <w14:noFill/>
                  <w14:prstDash w14:val="solid"/>
                  <w14:miter w14:lim="400000"/>
                </w14:textOutline>
              </w:rPr>
              <w:t>Understanding the relative viability and efficacy of compliance strategies as well as various types of sanctions. </w:t>
            </w:r>
          </w:p>
        </w:tc>
      </w:tr>
    </w:tbl>
    <w:bookmarkEnd w:id="10"/>
    <w:p w14:paraId="732918AA"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lastRenderedPageBreak/>
        <w:t xml:space="preserve">The first variable source is a response to the first regulatory dilemma of </w:t>
      </w:r>
      <w:r w:rsidRPr="0026704E">
        <w:rPr>
          <w:rStyle w:val="None"/>
          <w:rFonts w:cs="Times New Roman"/>
          <w:shd w:val="clear" w:color="auto" w:fill="FFFFFF"/>
          <w:rtl/>
          <w:lang w:val="ar-SA"/>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who</w:t>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should regulate TNC</w:t>
      </w:r>
      <w:r w:rsidRPr="0026704E">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s activities. The second dilemma is </w:t>
      </w:r>
      <w:r w:rsidRPr="0026704E">
        <w:rPr>
          <w:rStyle w:val="None"/>
          <w:rFonts w:cs="Times New Roman"/>
          <w:shd w:val="clear" w:color="auto" w:fill="FFFFFF"/>
          <w:rtl/>
          <w:lang w:val="ar-SA"/>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what</w:t>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should be regulated - translates into the content of human rights obligations. Which corporation of the corporate group should be regulated, corresponds to the third variable.</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80"/>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Where regulation should occur constitutes to advantages and limitations of regulatory initiatives. Finally, how regulation should be supported refers to the nature of those regulations including efficacy of compliance and viability. By making this distinction, one can measure the gap between corporate acceptance of human rights responsibilities through internal codes of conduct and regulatory initiatives.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81"/>
      </w:r>
      <w:r w:rsidRPr="006A43BB">
        <w:rPr>
          <w:rStyle w:val="None"/>
          <w:rFonts w:cs="Times New Roman"/>
          <w:shd w:val="clear" w:color="auto" w:fill="FFFFFF"/>
          <w14:textOutline w14:w="12700" w14:cap="flat" w14:cmpd="sng" w14:algn="ctr">
            <w14:noFill/>
            <w14:prstDash w14:val="solid"/>
            <w14:miter w14:lim="400000"/>
          </w14:textOutline>
        </w:rPr>
        <w:br/>
      </w:r>
    </w:p>
    <w:p w14:paraId="732918AB"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The question of </w:t>
      </w:r>
      <w:r w:rsidRPr="0026704E">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who should regulate</w:t>
      </w:r>
      <w:r w:rsidRPr="0026704E">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is referred to the source of regulatory initiatives that can be internal and external. It is internal when it has its origins in the potential violations of human rights caused by corporations. It is external if it flows from those organs of society that aim to promote human rights, for instance NGO</w:t>
      </w:r>
      <w:r w:rsidRPr="0026704E">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s or other bodies.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82"/>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Visible inadequacy of internal regulatory measures has led to search for more effective methods of external regulation, for example the Sullivan Principles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83"/>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The Clean Clothes Campaign,</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84"/>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the Sustainability Guidelines of the Global Reporting Initiative</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85"/>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and different codes of conduct. However, those external initiatives have a number of limitations, such as unwillingness of states to regulate corporations or inability to regulate them effectively. Moreover, the distinction between external and internal initiatives is not very clear, as well as there is an overlap in implementation and enforcement mechanism under those initiatives.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86"/>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AC"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AD" w14:textId="77777777" w:rsidR="003B207D" w:rsidRPr="006A43BB" w:rsidRDefault="00C96635" w:rsidP="006A43BB">
      <w:pPr>
        <w:pStyle w:val="Body"/>
        <w:spacing w:line="360" w:lineRule="auto"/>
        <w:jc w:val="both"/>
        <w:rPr>
          <w:rStyle w:val="None"/>
          <w:rFonts w:cs="Times New Roman"/>
          <w:i/>
          <w:iCs/>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There can be many areas that can be regulated, such as environmental rights or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labour</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rights. The absence of agreement on content of human rights obligations for corporations makes it hard to establish proper regulatory framework. In order to impose obligations on corporations states have responded in different ways including application of extraterritorial norms. However, it is still unclear of whether a parent company or the whole group of enterprise should be responsible for violations.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87"/>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AE"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lastRenderedPageBreak/>
        <w:t>In addition, particular attention should be paid to the level of operation that can be international, regional, municipal or regional.</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88"/>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For instance, at the institutional level there are a number of regulatory tools established with the purpose of evaluation of regional initiatives. One of the most famous examples is European Commission</w:t>
      </w:r>
      <w:r w:rsidRPr="0026704E">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s Green Paper that examined the issue of social responsibility of corporations which go beyond conventional and regulatory requirements.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89"/>
      </w:r>
    </w:p>
    <w:p w14:paraId="732918AF"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2BC91460" w14:textId="3864976E" w:rsidR="00C20D36" w:rsidRDefault="00C96635" w:rsidP="0026704E">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The most controversial question in this taxonomy would discuss the support for such regulation. The aim of the all existed regulatory initiatives is to impose obligations on companies, however the link between those regulations and human rights protection is weak. This is due to the voluntary nature of those regulations.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90"/>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In general, existing regulatory initiatives are not adequate enough to establish that level of protection that would be enough to ensure that human rights are protected. Current regulatory regime is not strong enough and existing regulatory initiatives failed to provide reassurances that corporations can be brought to responsibility in this context.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91"/>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w:t>
      </w:r>
      <w:r w:rsidR="00C20D36">
        <w:rPr>
          <w:rStyle w:val="None"/>
          <w:rFonts w:cs="Times New Roman"/>
          <w:shd w:val="clear" w:color="auto" w:fill="FFFFFF"/>
          <w:lang w:val="en-US"/>
          <w14:textOutline w14:w="12700" w14:cap="flat" w14:cmpd="sng" w14:algn="ctr">
            <w14:noFill/>
            <w14:prstDash w14:val="solid"/>
            <w14:miter w14:lim="400000"/>
          </w14:textOutline>
        </w:rPr>
        <w:t>Thus, it is reasonable to discuss each regulatory instrument one by one.</w:t>
      </w:r>
    </w:p>
    <w:p w14:paraId="3D88D5F3" w14:textId="77777777" w:rsidR="00C20D36" w:rsidRDefault="00C20D36" w:rsidP="0026704E">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p>
    <w:p w14:paraId="732918B2" w14:textId="77777777" w:rsidR="003B207D" w:rsidRPr="006A43BB" w:rsidRDefault="00C96635" w:rsidP="006A43BB">
      <w:pPr>
        <w:pStyle w:val="Body"/>
        <w:spacing w:line="360" w:lineRule="auto"/>
        <w:jc w:val="both"/>
        <w:rPr>
          <w:rStyle w:val="None"/>
          <w:rFonts w:cs="Times New Roman"/>
          <w:i/>
          <w:iCs/>
          <w:shd w:val="clear" w:color="auto" w:fill="FFFFFF"/>
          <w14:textOutline w14:w="12700" w14:cap="flat" w14:cmpd="sng" w14:algn="ctr">
            <w14:noFill/>
            <w14:prstDash w14:val="solid"/>
            <w14:miter w14:lim="400000"/>
          </w14:textOutline>
        </w:rPr>
      </w:pPr>
      <w:bookmarkStart w:id="11" w:name="_Hlk68464284"/>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The Alien Tort Claims Act  </w:t>
      </w:r>
      <w:bookmarkEnd w:id="11"/>
    </w:p>
    <w:p w14:paraId="732918B3" w14:textId="77777777" w:rsidR="003B207D" w:rsidRPr="006A43BB" w:rsidRDefault="003B207D" w:rsidP="006A43BB">
      <w:pPr>
        <w:pStyle w:val="Body"/>
        <w:spacing w:line="360" w:lineRule="auto"/>
        <w:jc w:val="both"/>
        <w:rPr>
          <w:rStyle w:val="None"/>
          <w:rFonts w:cs="Times New Roman"/>
          <w:i/>
          <w:iCs/>
          <w:shd w:val="clear" w:color="auto" w:fill="FFFFFF"/>
          <w14:textOutline w14:w="12700" w14:cap="flat" w14:cmpd="sng" w14:algn="ctr">
            <w14:noFill/>
            <w14:prstDash w14:val="solid"/>
            <w14:miter w14:lim="400000"/>
          </w14:textOutline>
        </w:rPr>
      </w:pPr>
    </w:p>
    <w:p w14:paraId="732918B4" w14:textId="673495B1" w:rsidR="003B207D" w:rsidRDefault="00C96635" w:rsidP="0026704E">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The ATCA states that </w:t>
      </w:r>
      <w:r w:rsidRPr="0026704E">
        <w:rPr>
          <w:rStyle w:val="None"/>
          <w:rFonts w:cs="Times New Roman"/>
          <w:i/>
          <w:iCs/>
          <w:shd w:val="clear" w:color="auto" w:fill="FFFFFF"/>
          <w:rtl/>
          <w:lang w:val="ar-SA"/>
          <w14:textOutline w14:w="12700" w14:cap="flat" w14:cmpd="sng" w14:algn="ctr">
            <w14:noFill/>
            <w14:prstDash w14:val="solid"/>
            <w14:miter w14:lim="400000"/>
          </w14:textOutline>
        </w:rPr>
        <w:t>“</w:t>
      </w:r>
      <w:r w:rsidRPr="006A43BB">
        <w:rPr>
          <w:rStyle w:val="None"/>
          <w:rFonts w:cs="Times New Roman"/>
          <w:i/>
          <w:iCs/>
          <w:shd w:val="clear" w:color="auto" w:fill="FFFFFF"/>
          <w:lang w:val="en-US"/>
          <w14:textOutline w14:w="12700" w14:cap="flat" w14:cmpd="sng" w14:algn="ctr">
            <w14:noFill/>
            <w14:prstDash w14:val="solid"/>
            <w14:miter w14:lim="400000"/>
          </w14:textOutline>
        </w:rPr>
        <w:t>the district courts shall have original jurisdiction of any civil action by an alien for a tort only, committed in violation of the law of nations or a treaty of the United States</w:t>
      </w:r>
      <w:r w:rsidRPr="006A43BB">
        <w:rPr>
          <w:rStyle w:val="None"/>
          <w:rFonts w:cs="Times New Roman"/>
          <w:i/>
          <w:iCs/>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92"/>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This document is widely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criticised</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for its uncertainty, scope, origin and limitations. However, even despite its uncertain nature litigation under this document succeeded in numerous occasions. For example, cases such as </w:t>
      </w:r>
      <w:r w:rsidRPr="006A43BB">
        <w:rPr>
          <w:rStyle w:val="None"/>
          <w:rFonts w:cs="Times New Roman"/>
          <w:i/>
          <w:iCs/>
          <w:shd w:val="clear" w:color="auto" w:fill="FFFFFF"/>
          <w:lang w:val="en-US"/>
          <w14:textOutline w14:w="12700" w14:cap="flat" w14:cmpd="sng" w14:algn="ctr">
            <w14:noFill/>
            <w14:prstDash w14:val="solid"/>
            <w14:miter w14:lim="400000"/>
          </w14:textOutline>
        </w:rPr>
        <w:t>Flores v Southern Peru Copper</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93"/>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about right to life and health and </w:t>
      </w:r>
      <w:r w:rsidRPr="006A43BB">
        <w:rPr>
          <w:rStyle w:val="None"/>
          <w:rFonts w:cs="Times New Roman"/>
          <w:i/>
          <w:iCs/>
          <w:shd w:val="clear" w:color="auto" w:fill="FFFFFF"/>
          <w14:textOutline w14:w="12700" w14:cap="flat" w14:cmpd="sng" w14:algn="ctr">
            <w14:noFill/>
            <w14:prstDash w14:val="solid"/>
            <w14:miter w14:lim="400000"/>
          </w14:textOutline>
        </w:rPr>
        <w:t>Doe v Unocal</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94"/>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about torture, rape and murder became historical examples of success under the ATCA. Usually cases have been decided on technical and procedural grounds, and rarely on merits.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95"/>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675F83C3" w14:textId="77777777" w:rsidR="001128BF" w:rsidRPr="006A43BB" w:rsidRDefault="001128BF"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B5"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B6"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lastRenderedPageBreak/>
        <w:t>There are the following limitations of the ATCA:</w:t>
      </w:r>
    </w:p>
    <w:p w14:paraId="732918B7"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B8" w14:textId="77777777" w:rsidR="003B207D" w:rsidRPr="006A43BB" w:rsidRDefault="00C96635" w:rsidP="006A43BB">
      <w:pPr>
        <w:pStyle w:val="Body"/>
        <w:numPr>
          <w:ilvl w:val="0"/>
          <w:numId w:val="6"/>
        </w:numPr>
        <w:spacing w:line="360" w:lineRule="auto"/>
        <w:jc w:val="both"/>
        <w:rPr>
          <w:rFonts w:cs="Times New Roman"/>
          <w:lang w:val="en-US"/>
        </w:rPr>
      </w:pPr>
      <w:r w:rsidRPr="006A43BB">
        <w:rPr>
          <w:rStyle w:val="None"/>
          <w:rFonts w:cs="Times New Roman"/>
          <w:shd w:val="clear" w:color="auto" w:fill="FFFFFF"/>
          <w:lang w:val="en-US"/>
          <w14:textOutline w14:w="12700" w14:cap="flat" w14:cmpd="sng" w14:algn="ctr">
            <w14:noFill/>
            <w14:prstDash w14:val="solid"/>
            <w14:miter w14:lim="400000"/>
          </w14:textOutline>
        </w:rPr>
        <w:t>Cases under the statute are subject to general requirement that personal jurisdiction of the US district courts are applied over the wrongdoer corporation. In cases of the absence of this jurisdiction, cases will be dismissed at the outset.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96"/>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B9" w14:textId="77777777" w:rsidR="003B207D" w:rsidRPr="006A43BB" w:rsidRDefault="00C96635" w:rsidP="006A43BB">
      <w:pPr>
        <w:pStyle w:val="Body"/>
        <w:numPr>
          <w:ilvl w:val="0"/>
          <w:numId w:val="6"/>
        </w:numPr>
        <w:spacing w:line="360" w:lineRule="auto"/>
        <w:jc w:val="both"/>
        <w:rPr>
          <w:rFonts w:cs="Times New Roman"/>
          <w:lang w:val="en-US"/>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State action requirement that pose limitations under international law. For example, in Doe v. Unocal it has been stated that appropriate requirement or standard is needed </w:t>
      </w:r>
      <w:r w:rsidRPr="006A43BB">
        <w:rPr>
          <w:rStyle w:val="None"/>
          <w:rFonts w:cs="Times New Roman"/>
          <w:i/>
          <w:iCs/>
          <w:shd w:val="clear" w:color="auto" w:fill="FFFFFF"/>
          <w:rtl/>
          <w:lang w:val="ar-SA"/>
          <w14:textOutline w14:w="12700" w14:cap="flat" w14:cmpd="sng" w14:algn="ctr">
            <w14:noFill/>
            <w14:prstDash w14:val="solid"/>
            <w14:miter w14:lim="400000"/>
          </w14:textOutline>
        </w:rPr>
        <w:t>“</w:t>
      </w:r>
      <w:r w:rsidRPr="006A43BB">
        <w:rPr>
          <w:rStyle w:val="None"/>
          <w:rFonts w:cs="Times New Roman"/>
          <w:i/>
          <w:iCs/>
          <w:shd w:val="clear" w:color="auto" w:fill="FFFFFF"/>
          <w:lang w:val="en-US"/>
          <w14:textOutline w14:w="12700" w14:cap="flat" w14:cmpd="sng" w14:algn="ctr">
            <w14:noFill/>
            <w14:prstDash w14:val="solid"/>
            <w14:miter w14:lim="400000"/>
          </w14:textOutline>
        </w:rPr>
        <w:t>knowingly practical assistance or encouragement that has substantial effect on the perpetration of the crime which requires actual or constructive knowledge</w:t>
      </w:r>
      <w:r w:rsidRPr="006A43BB">
        <w:rPr>
          <w:rStyle w:val="None"/>
          <w:rFonts w:cs="Times New Roman"/>
          <w:i/>
          <w:iCs/>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97"/>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However, in </w:t>
      </w:r>
      <w:r w:rsidRPr="006A43BB">
        <w:rPr>
          <w:rStyle w:val="None"/>
          <w:rFonts w:cs="Times New Roman"/>
          <w:i/>
          <w:iCs/>
          <w:shd w:val="clear" w:color="auto" w:fill="FFFFFF"/>
          <w:lang w:val="en-US"/>
          <w14:textOutline w14:w="12700" w14:cap="flat" w14:cmpd="sng" w14:algn="ctr">
            <w14:noFill/>
            <w14:prstDash w14:val="solid"/>
            <w14:miter w14:lim="400000"/>
          </w14:textOutline>
        </w:rPr>
        <w:t>The Presbyterian Church of Sudan v. Talisman Energy</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case it has been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emphasised</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that </w:t>
      </w:r>
      <w:r w:rsidRPr="001128BF">
        <w:rPr>
          <w:rStyle w:val="None"/>
          <w:rFonts w:cs="Times New Roman"/>
          <w:shd w:val="clear" w:color="auto" w:fill="FFFFFF"/>
          <w:rtl/>
          <w:lang w:val="ar-SA"/>
          <w14:textOutline w14:w="12700" w14:cap="flat" w14:cmpd="sng" w14:algn="ctr">
            <w14:noFill/>
            <w14:prstDash w14:val="solid"/>
            <w14:miter w14:lim="400000"/>
          </w14:textOutline>
        </w:rPr>
        <w:t>“</w:t>
      </w:r>
      <w:proofErr w:type="spellStart"/>
      <w:r w:rsidRPr="006A43BB">
        <w:rPr>
          <w:rStyle w:val="None"/>
          <w:rFonts w:cs="Times New Roman"/>
          <w:i/>
          <w:iCs/>
          <w:shd w:val="clear" w:color="auto" w:fill="FFFFFF"/>
          <w:lang w:val="en-US"/>
          <w14:textOutline w14:w="12700" w14:cap="flat" w14:cmpd="sng" w14:algn="ctr">
            <w14:noFill/>
            <w14:prstDash w14:val="solid"/>
            <w14:miter w14:lim="400000"/>
          </w14:textOutline>
        </w:rPr>
        <w:t>mens</w:t>
      </w:r>
      <w:proofErr w:type="spellEnd"/>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 rea standard for aiding and abetting liability in ATC actions is purpose rather than knowledge alone</w:t>
      </w:r>
      <w:r w:rsidRPr="006A43BB">
        <w:rPr>
          <w:rStyle w:val="None"/>
          <w:rFonts w:cs="Times New Roman"/>
          <w:i/>
          <w:iCs/>
          <w:shd w:val="clear" w:color="auto" w:fill="FFFFFF"/>
          <w14:textOutline w14:w="12700" w14:cap="flat" w14:cmpd="sng" w14:algn="ctr">
            <w14:noFill/>
            <w14:prstDash w14:val="solid"/>
            <w14:miter w14:lim="400000"/>
          </w14:textOutline>
        </w:rPr>
        <w:t>…</w:t>
      </w:r>
      <w:r w:rsidRPr="006A43BB">
        <w:rPr>
          <w:rStyle w:val="None"/>
          <w:rFonts w:cs="Times New Roman"/>
          <w:i/>
          <w:iCs/>
          <w:shd w:val="clear" w:color="auto" w:fill="FFFFFF"/>
          <w:lang w:val="en-US"/>
          <w14:textOutline w14:w="12700" w14:cap="flat" w14:cmpd="sng" w14:algn="ctr">
            <w14:noFill/>
            <w14:prstDash w14:val="solid"/>
            <w14:miter w14:lim="400000"/>
          </w14:textOutline>
        </w:rPr>
        <w:t>and that no liability can be imposed on individuals who knowingly aid and abet a violation of international law</w:t>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98"/>
      </w:r>
    </w:p>
    <w:p w14:paraId="732918BA" w14:textId="77777777" w:rsidR="003B207D" w:rsidRPr="006A43BB" w:rsidRDefault="00C96635" w:rsidP="006A43BB">
      <w:pPr>
        <w:pStyle w:val="Body"/>
        <w:numPr>
          <w:ilvl w:val="0"/>
          <w:numId w:val="6"/>
        </w:numPr>
        <w:spacing w:line="360" w:lineRule="auto"/>
        <w:jc w:val="both"/>
        <w:rPr>
          <w:rFonts w:cs="Times New Roman"/>
          <w:lang w:val="en-US"/>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One of the greatest limitations of the ATCA is the doctrine of </w:t>
      </w:r>
      <w:r w:rsidRPr="006A43BB">
        <w:rPr>
          <w:rStyle w:val="None"/>
          <w:rFonts w:cs="Times New Roman"/>
          <w:i/>
          <w:iCs/>
          <w:shd w:val="clear" w:color="auto" w:fill="FFFFFF"/>
          <w14:textOutline w14:w="12700" w14:cap="flat" w14:cmpd="sng" w14:algn="ctr">
            <w14:noFill/>
            <w14:prstDash w14:val="solid"/>
            <w14:miter w14:lim="400000"/>
          </w14:textOutline>
        </w:rPr>
        <w:t xml:space="preserve">forum non </w:t>
      </w:r>
      <w:proofErr w:type="spellStart"/>
      <w:r w:rsidRPr="006A43BB">
        <w:rPr>
          <w:rStyle w:val="None"/>
          <w:rFonts w:cs="Times New Roman"/>
          <w:i/>
          <w:iCs/>
          <w:shd w:val="clear" w:color="auto" w:fill="FFFFFF"/>
          <w14:textOutline w14:w="12700" w14:cap="flat" w14:cmpd="sng" w14:algn="ctr">
            <w14:noFill/>
            <w14:prstDash w14:val="solid"/>
            <w14:miter w14:lim="400000"/>
          </w14:textOutline>
        </w:rPr>
        <w:t>conveniens</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This doctrine will be discussed in more details in the next chapters of this research. Under this doctrine courts can dismiss cases on the grounds of private and public interest cases when trial takes place in a foreign jurisdiction.</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99"/>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For instance, in such cases as </w:t>
      </w:r>
      <w:proofErr w:type="spellStart"/>
      <w:r w:rsidRPr="006A43BB">
        <w:rPr>
          <w:rStyle w:val="None"/>
          <w:rFonts w:cs="Times New Roman"/>
          <w:i/>
          <w:iCs/>
          <w:shd w:val="clear" w:color="auto" w:fill="FFFFFF"/>
          <w:lang w:val="en-US"/>
          <w14:textOutline w14:w="12700" w14:cap="flat" w14:cmpd="sng" w14:algn="ctr">
            <w14:noFill/>
            <w14:prstDash w14:val="solid"/>
            <w14:miter w14:lim="400000"/>
          </w14:textOutline>
        </w:rPr>
        <w:t>Aguinda</w:t>
      </w:r>
      <w:proofErr w:type="spellEnd"/>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 v. Texaco and </w:t>
      </w:r>
      <w:proofErr w:type="spellStart"/>
      <w:r w:rsidRPr="006A43BB">
        <w:rPr>
          <w:rStyle w:val="None"/>
          <w:rFonts w:cs="Times New Roman"/>
          <w:i/>
          <w:iCs/>
          <w:shd w:val="clear" w:color="auto" w:fill="FFFFFF"/>
          <w:lang w:val="en-US"/>
          <w14:textOutline w14:w="12700" w14:cap="flat" w14:cmpd="sng" w14:algn="ctr">
            <w14:noFill/>
            <w14:prstDash w14:val="solid"/>
            <w14:miter w14:lim="400000"/>
          </w14:textOutline>
        </w:rPr>
        <w:t>Wiwa</w:t>
      </w:r>
      <w:proofErr w:type="spellEnd"/>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 v. Royal Dutch Petroleum Co plaintiffs</w:t>
      </w:r>
      <w:r w:rsidRPr="001128BF">
        <w:rPr>
          <w:rStyle w:val="None"/>
          <w:rFonts w:cs="Times New Roman"/>
          <w:i/>
          <w:iCs/>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claims were dismissed on the grounds of </w:t>
      </w:r>
      <w:r w:rsidRPr="006A43BB">
        <w:rPr>
          <w:rStyle w:val="None"/>
          <w:rFonts w:cs="Times New Roman"/>
          <w:i/>
          <w:iCs/>
          <w:shd w:val="clear" w:color="auto" w:fill="FFFFFF"/>
          <w14:textOutline w14:w="12700" w14:cap="flat" w14:cmpd="sng" w14:algn="ctr">
            <w14:noFill/>
            <w14:prstDash w14:val="solid"/>
            <w14:miter w14:lim="400000"/>
          </w14:textOutline>
        </w:rPr>
        <w:t xml:space="preserve">forum non </w:t>
      </w:r>
      <w:proofErr w:type="spellStart"/>
      <w:r w:rsidRPr="006A43BB">
        <w:rPr>
          <w:rStyle w:val="None"/>
          <w:rFonts w:cs="Times New Roman"/>
          <w:i/>
          <w:iCs/>
          <w:shd w:val="clear" w:color="auto" w:fill="FFFFFF"/>
          <w14:textOutline w14:w="12700" w14:cap="flat" w14:cmpd="sng" w14:algn="ctr">
            <w14:noFill/>
            <w14:prstDash w14:val="solid"/>
            <w14:miter w14:lim="400000"/>
          </w14:textOutline>
        </w:rPr>
        <w:t>conveniens</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even considering the fact that plaintiffs were implicated in grave human rights abuses.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00"/>
      </w:r>
    </w:p>
    <w:p w14:paraId="732918BB" w14:textId="06A1B97F" w:rsidR="003B207D" w:rsidRPr="006A43BB" w:rsidRDefault="00C96635" w:rsidP="006A43BB">
      <w:pPr>
        <w:pStyle w:val="Body"/>
        <w:numPr>
          <w:ilvl w:val="0"/>
          <w:numId w:val="6"/>
        </w:numPr>
        <w:spacing w:line="360" w:lineRule="auto"/>
        <w:jc w:val="both"/>
        <w:rPr>
          <w:rFonts w:cs="Times New Roman"/>
          <w:lang w:val="en-US"/>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The </w:t>
      </w:r>
      <w:r w:rsidRPr="001128BF">
        <w:rPr>
          <w:rStyle w:val="None"/>
          <w:rFonts w:cs="Times New Roman"/>
          <w:shd w:val="clear" w:color="auto" w:fill="FFFFFF"/>
          <w:rtl/>
          <w:lang w:val="ar-SA"/>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Law of Nations</w:t>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is another limitation. One of the most important cases in this context is </w:t>
      </w:r>
      <w:r w:rsidRPr="006A43BB">
        <w:rPr>
          <w:rStyle w:val="None"/>
          <w:rFonts w:cs="Times New Roman"/>
          <w:i/>
          <w:iCs/>
          <w:shd w:val="clear" w:color="auto" w:fill="FFFFFF"/>
          <w:lang w:val="pt-PT"/>
          <w14:textOutline w14:w="12700" w14:cap="flat" w14:cmpd="sng" w14:algn="ctr">
            <w14:noFill/>
            <w14:prstDash w14:val="solid"/>
            <w14:miter w14:lim="400000"/>
          </w14:textOutline>
        </w:rPr>
        <w:t>Sosa v. Alvarez-Machain</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that stated that </w:t>
      </w:r>
      <w:r w:rsidRPr="001128BF">
        <w:rPr>
          <w:rStyle w:val="None"/>
          <w:rFonts w:cs="Times New Roman"/>
          <w:i/>
          <w:iCs/>
          <w:shd w:val="clear" w:color="auto" w:fill="FFFFFF"/>
          <w:rtl/>
          <w:lang w:val="ar-SA"/>
          <w14:textOutline w14:w="12700" w14:cap="flat" w14:cmpd="sng" w14:algn="ctr">
            <w14:noFill/>
            <w14:prstDash w14:val="solid"/>
            <w14:miter w14:lim="400000"/>
          </w14:textOutline>
        </w:rPr>
        <w:t>“</w:t>
      </w:r>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federal courts should not </w:t>
      </w:r>
      <w:proofErr w:type="spellStart"/>
      <w:r w:rsidRPr="006A43BB">
        <w:rPr>
          <w:rStyle w:val="None"/>
          <w:rFonts w:cs="Times New Roman"/>
          <w:i/>
          <w:iCs/>
          <w:shd w:val="clear" w:color="auto" w:fill="FFFFFF"/>
          <w:lang w:val="en-US"/>
          <w14:textOutline w14:w="12700" w14:cap="flat" w14:cmpd="sng" w14:algn="ctr">
            <w14:noFill/>
            <w14:prstDash w14:val="solid"/>
            <w14:miter w14:lim="400000"/>
          </w14:textOutline>
        </w:rPr>
        <w:t>recognise</w:t>
      </w:r>
      <w:proofErr w:type="spellEnd"/>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 private claims under federal common law for violations of any international law norm which less definite content and acceptance among </w:t>
      </w:r>
      <w:proofErr w:type="spellStart"/>
      <w:r w:rsidRPr="006A43BB">
        <w:rPr>
          <w:rStyle w:val="None"/>
          <w:rFonts w:cs="Times New Roman"/>
          <w:i/>
          <w:iCs/>
          <w:shd w:val="clear" w:color="auto" w:fill="FFFFFF"/>
          <w:lang w:val="en-US"/>
          <w14:textOutline w14:w="12700" w14:cap="flat" w14:cmpd="sng" w14:algn="ctr">
            <w14:noFill/>
            <w14:prstDash w14:val="solid"/>
            <w14:miter w14:lim="400000"/>
          </w14:textOutline>
        </w:rPr>
        <w:t>civilised</w:t>
      </w:r>
      <w:proofErr w:type="spellEnd"/>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 nations</w:t>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01"/>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This means that in order to make corporations directly accountable it might inter</w:t>
      </w:r>
      <w:r w:rsidR="007D652C">
        <w:rPr>
          <w:rStyle w:val="None"/>
          <w:rFonts w:cs="Times New Roman"/>
          <w:shd w:val="clear" w:color="auto" w:fill="FFFFFF"/>
          <w:lang w:val="en-US"/>
          <w14:textOutline w14:w="12700" w14:cap="flat" w14:cmpd="sng" w14:algn="ctr">
            <w14:noFill/>
            <w14:prstDash w14:val="solid"/>
            <w14:miter w14:lim="400000"/>
          </w14:textOutline>
        </w:rPr>
        <w:t>vene</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with the US foreign policy which restricts the scope of the ATCA.</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02"/>
      </w:r>
    </w:p>
    <w:p w14:paraId="732918BC" w14:textId="77777777" w:rsidR="003B207D" w:rsidRDefault="00C96635" w:rsidP="006A43BB">
      <w:pPr>
        <w:pStyle w:val="Body"/>
        <w:numPr>
          <w:ilvl w:val="0"/>
          <w:numId w:val="6"/>
        </w:numPr>
        <w:spacing w:line="360" w:lineRule="auto"/>
        <w:jc w:val="both"/>
        <w:rPr>
          <w:lang w:val="en-US"/>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Another interesting development happened in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Kiobel</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case that considered on whether corporations can be sued under the ATCA. Applying customary international law the ATCA requires federal courts </w:t>
      </w:r>
      <w:r w:rsidRPr="001128BF">
        <w:rPr>
          <w:rStyle w:val="None"/>
          <w:rFonts w:cs="Times New Roman"/>
          <w:shd w:val="clear" w:color="auto" w:fill="FFFFFF"/>
          <w:rtl/>
          <w:lang w:val="ar-SA"/>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to examine the specific and universally accepted rules</w:t>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lastRenderedPageBreak/>
        <w:t xml:space="preserve">Considering this test, the majority argued that corporations cannot be sued under the ATCA due to the fact that </w:t>
      </w:r>
      <w:r w:rsidRPr="001128BF">
        <w:rPr>
          <w:rStyle w:val="None"/>
          <w:rFonts w:cs="Times New Roman"/>
          <w:shd w:val="clear" w:color="auto" w:fill="FFFFFF"/>
          <w:rtl/>
          <w:lang w:val="ar-SA"/>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imposing liability on corporations for violations of</w:t>
      </w:r>
      <w:r>
        <w:rPr>
          <w:rStyle w:val="None"/>
          <w:shd w:val="clear" w:color="auto" w:fill="FFFFFF"/>
          <w:lang w:val="en-US"/>
          <w14:textOutline w14:w="12700" w14:cap="flat" w14:cmpd="sng" w14:algn="ctr">
            <w14:noFill/>
            <w14:prstDash w14:val="solid"/>
            <w14:miter w14:lim="400000"/>
          </w14:textOutline>
        </w:rPr>
        <w:t xml:space="preserve"> customary international law has not attained a descriptive, universal, acceptance among nations of the world in their relations inter se</w:t>
      </w:r>
      <w:r>
        <w:rPr>
          <w:rStyle w:val="None"/>
          <w:shd w:val="clear" w:color="auto" w:fill="FFFFFF"/>
          <w14:textOutline w14:w="12700" w14:cap="flat" w14:cmpd="sng" w14:algn="ctr">
            <w14:noFill/>
            <w14:prstDash w14:val="solid"/>
            <w14:miter w14:lim="400000"/>
          </w14:textOutline>
        </w:rPr>
        <w:t>”.</w:t>
      </w:r>
      <w:r>
        <w:rPr>
          <w:rStyle w:val="None"/>
          <w:shd w:val="clear" w:color="auto" w:fill="FFFFFF"/>
          <w:vertAlign w:val="superscript"/>
          <w14:textOutline w14:w="12700" w14:cap="flat" w14:cmpd="sng" w14:algn="ctr">
            <w14:noFill/>
            <w14:prstDash w14:val="solid"/>
            <w14:miter w14:lim="400000"/>
          </w14:textOutline>
        </w:rPr>
        <w:footnoteReference w:id="103"/>
      </w:r>
    </w:p>
    <w:p w14:paraId="732918BD" w14:textId="77777777" w:rsidR="003B207D" w:rsidRDefault="003B207D">
      <w:pPr>
        <w:pStyle w:val="Body"/>
        <w:spacing w:line="276" w:lineRule="auto"/>
        <w:jc w:val="both"/>
        <w:rPr>
          <w:rStyle w:val="None"/>
          <w:shd w:val="clear" w:color="auto" w:fill="FFFFFF"/>
          <w14:textOutline w14:w="12700" w14:cap="flat" w14:cmpd="sng" w14:algn="ctr">
            <w14:noFill/>
            <w14:prstDash w14:val="solid"/>
            <w14:miter w14:lim="400000"/>
          </w14:textOutline>
        </w:rPr>
      </w:pPr>
    </w:p>
    <w:p w14:paraId="732918BE" w14:textId="77777777" w:rsidR="003B207D" w:rsidRPr="006A43BB" w:rsidRDefault="00C96635" w:rsidP="006A43BB">
      <w:pPr>
        <w:pStyle w:val="Body"/>
        <w:spacing w:line="360" w:lineRule="auto"/>
        <w:jc w:val="both"/>
        <w:rPr>
          <w:rStyle w:val="None"/>
          <w:rFonts w:cs="Times New Roman"/>
          <w:i/>
          <w:iCs/>
          <w:shd w:val="clear" w:color="auto" w:fill="FFFFFF"/>
          <w14:textOutline w14:w="12700" w14:cap="flat" w14:cmpd="sng" w14:algn="ctr">
            <w14:noFill/>
            <w14:prstDash w14:val="solid"/>
            <w14:miter w14:lim="400000"/>
          </w14:textOutline>
        </w:rPr>
      </w:pPr>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Corporate Codes of Conduct  </w:t>
      </w:r>
    </w:p>
    <w:p w14:paraId="732918BF" w14:textId="77777777" w:rsidR="003B207D" w:rsidRPr="006A43BB" w:rsidRDefault="003B207D" w:rsidP="006A43BB">
      <w:pPr>
        <w:pStyle w:val="Body"/>
        <w:spacing w:line="360" w:lineRule="auto"/>
        <w:jc w:val="both"/>
        <w:rPr>
          <w:rStyle w:val="None"/>
          <w:rFonts w:cs="Times New Roman"/>
          <w:i/>
          <w:iCs/>
          <w:shd w:val="clear" w:color="auto" w:fill="FFFFFF"/>
          <w14:textOutline w14:w="12700" w14:cap="flat" w14:cmpd="sng" w14:algn="ctr">
            <w14:noFill/>
            <w14:prstDash w14:val="solid"/>
            <w14:miter w14:lim="400000"/>
          </w14:textOutline>
        </w:rPr>
      </w:pPr>
    </w:p>
    <w:p w14:paraId="732918C0" w14:textId="77777777" w:rsidR="003B207D" w:rsidRPr="006A43BB" w:rsidRDefault="00C96635" w:rsidP="006A43BB">
      <w:pPr>
        <w:pStyle w:val="Body"/>
        <w:spacing w:line="360" w:lineRule="auto"/>
        <w:jc w:val="both"/>
        <w:rPr>
          <w:rStyle w:val="None"/>
          <w:rFonts w:cs="Times New Roman"/>
          <w:shd w:val="clear" w:color="auto" w:fill="FFFFFF"/>
        </w:rPr>
      </w:pPr>
      <w:r w:rsidRPr="006A43BB">
        <w:rPr>
          <w:rStyle w:val="None"/>
          <w:rFonts w:cs="Times New Roman"/>
          <w:shd w:val="clear" w:color="auto" w:fill="FFFFFF"/>
          <w:lang w:val="en-US"/>
          <w14:textOutline w14:w="12700" w14:cap="flat" w14:cmpd="sng" w14:algn="ctr">
            <w14:noFill/>
            <w14:prstDash w14:val="solid"/>
            <w14:miter w14:lim="400000"/>
          </w14:textOutline>
        </w:rPr>
        <w:t>Corporate codes of conduct have been supported and implemented by many states. However, even considering its flexible nature, there is a number of serious limitations. For example, due to the vague language used in the codes it is usually hard to provide sufficient standards within the codes. Another issue is the applicability, for instance most codes do not apply overseas and provide external independent assessment. Those limitations clearly undermine its ability to make corporations directly accountable.</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04"/>
      </w:r>
    </w:p>
    <w:p w14:paraId="732918C1"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C2" w14:textId="77777777" w:rsidR="003B207D" w:rsidRPr="006A43BB" w:rsidRDefault="00C96635" w:rsidP="006A43BB">
      <w:pPr>
        <w:pStyle w:val="Body"/>
        <w:spacing w:line="360" w:lineRule="auto"/>
        <w:jc w:val="both"/>
        <w:rPr>
          <w:rStyle w:val="None"/>
          <w:rFonts w:cs="Times New Roman"/>
          <w:i/>
          <w:iCs/>
          <w:shd w:val="clear" w:color="auto" w:fill="FFFFFF"/>
          <w14:textOutline w14:w="12700" w14:cap="flat" w14:cmpd="sng" w14:algn="ctr">
            <w14:noFill/>
            <w14:prstDash w14:val="solid"/>
            <w14:miter w14:lim="400000"/>
          </w14:textOutline>
        </w:rPr>
      </w:pPr>
      <w:bookmarkStart w:id="12" w:name="_Hlk68468416"/>
      <w:r w:rsidRPr="006A43BB">
        <w:rPr>
          <w:rStyle w:val="None"/>
          <w:rFonts w:cs="Times New Roman"/>
          <w:i/>
          <w:iCs/>
          <w:shd w:val="clear" w:color="auto" w:fill="FFFFFF"/>
          <w:lang w:val="en-US"/>
          <w14:textOutline w14:w="12700" w14:cap="flat" w14:cmpd="sng" w14:algn="ctr">
            <w14:noFill/>
            <w14:prstDash w14:val="solid"/>
            <w14:miter w14:lim="400000"/>
          </w14:textOutline>
        </w:rPr>
        <w:t>The OECD Guidelines</w:t>
      </w:r>
      <w:bookmarkEnd w:id="12"/>
    </w:p>
    <w:p w14:paraId="732918C3" w14:textId="77777777" w:rsidR="003B207D" w:rsidRPr="006A43BB" w:rsidRDefault="003B207D" w:rsidP="006A43BB">
      <w:pPr>
        <w:pStyle w:val="Body"/>
        <w:spacing w:line="360" w:lineRule="auto"/>
        <w:ind w:left="360"/>
        <w:jc w:val="both"/>
        <w:rPr>
          <w:rStyle w:val="None"/>
          <w:rFonts w:cs="Times New Roman"/>
          <w:i/>
          <w:iCs/>
          <w:shd w:val="clear" w:color="auto" w:fill="FFFFFF"/>
          <w14:textOutline w14:w="12700" w14:cap="flat" w14:cmpd="sng" w14:algn="ctr">
            <w14:noFill/>
            <w14:prstDash w14:val="solid"/>
            <w14:miter w14:lim="400000"/>
          </w14:textOutline>
        </w:rPr>
      </w:pPr>
    </w:p>
    <w:p w14:paraId="732918C4" w14:textId="731E6FA9"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Despite the ambitions nature of the OECD Guidelines</w:t>
      </w:r>
      <w:r w:rsidR="0084579E">
        <w:rPr>
          <w:rStyle w:val="None"/>
          <w:rFonts w:cs="Times New Roman"/>
          <w:shd w:val="clear" w:color="auto" w:fill="FFFFFF"/>
          <w:lang w:val="en-US"/>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05"/>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its scope and impact in terms of bringing corporations to responsibility for human rights violations are limited. First of all, the Guidelines does not provide any definition for corporations or any specific section for human rights. Even Guidelines themselves states that </w:t>
      </w:r>
      <w:r w:rsidRPr="007603D7">
        <w:rPr>
          <w:rStyle w:val="None"/>
          <w:rFonts w:cs="Times New Roman"/>
          <w:shd w:val="clear" w:color="auto" w:fill="FFFFFF"/>
          <w:rtl/>
          <w:lang w:val="ar-SA"/>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observance of the Guidelines by enterprise is voluntary and not legally enforceable</w:t>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06"/>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C5"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14:textOutline w14:w="12700" w14:cap="flat" w14:cmpd="sng" w14:algn="ctr">
            <w14:noFill/>
            <w14:prstDash w14:val="solid"/>
            <w14:miter w14:lim="400000"/>
          </w14:textOutline>
        </w:rPr>
        <w:br/>
      </w:r>
      <w:r w:rsidRPr="006A43BB">
        <w:rPr>
          <w:rStyle w:val="None"/>
          <w:rFonts w:cs="Times New Roman"/>
          <w:shd w:val="clear" w:color="auto" w:fill="FFFFFF"/>
          <w:lang w:val="en-US"/>
          <w14:textOutline w14:w="12700" w14:cap="flat" w14:cmpd="sng" w14:algn="ctr">
            <w14:noFill/>
            <w14:prstDash w14:val="solid"/>
            <w14:miter w14:lim="400000"/>
          </w14:textOutline>
        </w:rPr>
        <w:t>In 2011 the Guidelines have been slightly updated addressing limitations that have been already mentioned. However, the Guidelines still remains voluntary with some possibility for states to implement them and impose obligations under national and international laws.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07"/>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C6"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C7"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There are also many issues around risk-based due diligence assessment regarding human rights abuses.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08"/>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In general, the OECD Guidelines can be considered as something that could offer some potential, however it is still an instrument with a very limited preventive and efficacy. </w:t>
      </w:r>
      <w:r w:rsidRPr="006A43BB">
        <w:rPr>
          <w:rStyle w:val="None"/>
          <w:rFonts w:cs="Times New Roman"/>
          <w:shd w:val="clear" w:color="auto" w:fill="FFFFFF"/>
          <w:lang w:val="en-US"/>
          <w14:textOutline w14:w="12700" w14:cap="flat" w14:cmpd="sng" w14:algn="ctr">
            <w14:noFill/>
            <w14:prstDash w14:val="solid"/>
            <w14:miter w14:lim="400000"/>
          </w14:textOutline>
        </w:rPr>
        <w:lastRenderedPageBreak/>
        <w:t>This is simply not enough to ensure that TNC</w:t>
      </w:r>
      <w:r w:rsidRPr="002E3A14">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s will respect human rights and be made directly accountable.</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09"/>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C8" w14:textId="77777777" w:rsidR="003B207D" w:rsidRPr="006A43BB" w:rsidRDefault="003B207D" w:rsidP="006A43BB">
      <w:pPr>
        <w:pStyle w:val="Body"/>
        <w:spacing w:line="360" w:lineRule="auto"/>
        <w:ind w:left="360"/>
        <w:jc w:val="both"/>
        <w:rPr>
          <w:rStyle w:val="None"/>
          <w:rFonts w:cs="Times New Roman"/>
          <w:shd w:val="clear" w:color="auto" w:fill="FFFFFF"/>
          <w14:textOutline w14:w="12700" w14:cap="flat" w14:cmpd="sng" w14:algn="ctr">
            <w14:noFill/>
            <w14:prstDash w14:val="solid"/>
            <w14:miter w14:lim="400000"/>
          </w14:textOutline>
        </w:rPr>
      </w:pPr>
    </w:p>
    <w:p w14:paraId="732918C9" w14:textId="77777777" w:rsidR="003B207D" w:rsidRPr="006A43BB" w:rsidRDefault="00C96635" w:rsidP="006A43BB">
      <w:pPr>
        <w:pStyle w:val="Body"/>
        <w:spacing w:line="360" w:lineRule="auto"/>
        <w:jc w:val="both"/>
        <w:rPr>
          <w:rStyle w:val="None"/>
          <w:rFonts w:cs="Times New Roman"/>
          <w:i/>
          <w:iCs/>
          <w:shd w:val="clear" w:color="auto" w:fill="FFFFFF"/>
          <w14:textOutline w14:w="12700" w14:cap="flat" w14:cmpd="sng" w14:algn="ctr">
            <w14:noFill/>
            <w14:prstDash w14:val="solid"/>
            <w14:miter w14:lim="400000"/>
          </w14:textOutline>
        </w:rPr>
      </w:pPr>
      <w:r w:rsidRPr="006A43BB">
        <w:rPr>
          <w:rStyle w:val="None"/>
          <w:rFonts w:cs="Times New Roman"/>
          <w:i/>
          <w:iCs/>
          <w:shd w:val="clear" w:color="auto" w:fill="FFFFFF"/>
          <w14:textOutline w14:w="12700" w14:cap="flat" w14:cmpd="sng" w14:algn="ctr">
            <w14:noFill/>
            <w14:prstDash w14:val="solid"/>
            <w14:miter w14:lim="400000"/>
          </w14:textOutline>
        </w:rPr>
        <w:t>ILO Declaration</w:t>
      </w:r>
    </w:p>
    <w:p w14:paraId="732918CA" w14:textId="77777777" w:rsidR="003B207D" w:rsidRPr="006A43BB" w:rsidRDefault="003B207D" w:rsidP="006A43BB">
      <w:pPr>
        <w:pStyle w:val="Body"/>
        <w:spacing w:line="360" w:lineRule="auto"/>
        <w:ind w:left="360"/>
        <w:jc w:val="both"/>
        <w:rPr>
          <w:rStyle w:val="None"/>
          <w:rFonts w:cs="Times New Roman"/>
          <w:i/>
          <w:iCs/>
          <w:shd w:val="clear" w:color="auto" w:fill="FFFFFF"/>
          <w14:textOutline w14:w="12700" w14:cap="flat" w14:cmpd="sng" w14:algn="ctr">
            <w14:noFill/>
            <w14:prstDash w14:val="solid"/>
            <w14:miter w14:lim="400000"/>
          </w14:textOutline>
        </w:rPr>
      </w:pPr>
    </w:p>
    <w:p w14:paraId="732918CB"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After the issue of OECD Guidelines, the ILO published its Declaration in 1977 which was revised in 2000.</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10"/>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There are the following areas covered by Declaration:</w:t>
      </w:r>
    </w:p>
    <w:p w14:paraId="732918CC" w14:textId="77777777" w:rsidR="003B207D" w:rsidRPr="006A43BB" w:rsidRDefault="003B207D" w:rsidP="006A43BB">
      <w:pPr>
        <w:pStyle w:val="Body"/>
        <w:spacing w:line="360" w:lineRule="auto"/>
        <w:ind w:left="360"/>
        <w:jc w:val="both"/>
        <w:rPr>
          <w:rStyle w:val="None"/>
          <w:rFonts w:cs="Times New Roman"/>
          <w:shd w:val="clear" w:color="auto" w:fill="FFFFFF"/>
          <w14:textOutline w14:w="12700" w14:cap="flat" w14:cmpd="sng" w14:algn="ctr">
            <w14:noFill/>
            <w14:prstDash w14:val="solid"/>
            <w14:miter w14:lim="400000"/>
          </w14:textOutline>
        </w:rPr>
      </w:pPr>
    </w:p>
    <w:p w14:paraId="732918CD" w14:textId="77777777" w:rsidR="003B207D" w:rsidRPr="006A43BB" w:rsidRDefault="00C96635" w:rsidP="006A43BB">
      <w:pPr>
        <w:pStyle w:val="Body"/>
        <w:numPr>
          <w:ilvl w:val="0"/>
          <w:numId w:val="8"/>
        </w:numPr>
        <w:spacing w:line="360" w:lineRule="auto"/>
        <w:jc w:val="both"/>
        <w:rPr>
          <w:rFonts w:cs="Times New Roman"/>
          <w:lang w:val="en-US"/>
        </w:rPr>
      </w:pPr>
      <w:r w:rsidRPr="006A43BB">
        <w:rPr>
          <w:rStyle w:val="None"/>
          <w:rFonts w:cs="Times New Roman"/>
          <w:shd w:val="clear" w:color="auto" w:fill="FFFFFF"/>
          <w:lang w:val="en-US"/>
          <w14:textOutline w14:w="12700" w14:cap="flat" w14:cmpd="sng" w14:algn="ctr">
            <w14:noFill/>
            <w14:prstDash w14:val="solid"/>
            <w14:miter w14:lim="400000"/>
          </w14:textOutline>
        </w:rPr>
        <w:t>Work and life (conditions and benefits of work);</w:t>
      </w:r>
    </w:p>
    <w:p w14:paraId="732918CE" w14:textId="77777777" w:rsidR="003B207D" w:rsidRPr="006A43BB" w:rsidRDefault="00C96635" w:rsidP="006A43BB">
      <w:pPr>
        <w:pStyle w:val="Body"/>
        <w:numPr>
          <w:ilvl w:val="0"/>
          <w:numId w:val="8"/>
        </w:numPr>
        <w:spacing w:line="360" w:lineRule="auto"/>
        <w:jc w:val="both"/>
        <w:rPr>
          <w:rFonts w:cs="Times New Roman"/>
          <w:lang w:val="en-US"/>
        </w:rPr>
      </w:pPr>
      <w:r w:rsidRPr="006A43BB">
        <w:rPr>
          <w:rStyle w:val="None"/>
          <w:rFonts w:cs="Times New Roman"/>
          <w:shd w:val="clear" w:color="auto" w:fill="FFFFFF"/>
          <w:lang w:val="en-US"/>
          <w14:textOutline w14:w="12700" w14:cap="flat" w14:cmpd="sng" w14:algn="ctr">
            <w14:noFill/>
            <w14:prstDash w14:val="solid"/>
            <w14:miter w14:lim="400000"/>
          </w14:textOutline>
        </w:rPr>
        <w:t>Employment matters;</w:t>
      </w:r>
    </w:p>
    <w:p w14:paraId="732918CF" w14:textId="77777777" w:rsidR="003B207D" w:rsidRPr="006A43BB" w:rsidRDefault="00C96635" w:rsidP="006A43BB">
      <w:pPr>
        <w:pStyle w:val="Body"/>
        <w:numPr>
          <w:ilvl w:val="0"/>
          <w:numId w:val="8"/>
        </w:numPr>
        <w:spacing w:line="360" w:lineRule="auto"/>
        <w:jc w:val="both"/>
        <w:rPr>
          <w:rFonts w:cs="Times New Roman"/>
          <w:lang w:val="en-US"/>
        </w:rPr>
      </w:pPr>
      <w:r w:rsidRPr="006A43BB">
        <w:rPr>
          <w:rStyle w:val="None"/>
          <w:rFonts w:cs="Times New Roman"/>
          <w:shd w:val="clear" w:color="auto" w:fill="FFFFFF"/>
          <w:lang w:val="en-US"/>
          <w14:textOutline w14:w="12700" w14:cap="flat" w14:cmpd="sng" w14:algn="ctr">
            <w14:noFill/>
            <w14:prstDash w14:val="solid"/>
            <w14:miter w14:lim="400000"/>
          </w14:textOutline>
        </w:rPr>
        <w:t>Industrial relations;</w:t>
      </w:r>
    </w:p>
    <w:p w14:paraId="732918D0" w14:textId="77777777" w:rsidR="003B207D" w:rsidRPr="006A43BB" w:rsidRDefault="003B207D" w:rsidP="006A43BB">
      <w:pPr>
        <w:pStyle w:val="Body"/>
        <w:spacing w:line="360" w:lineRule="auto"/>
        <w:ind w:left="1080"/>
        <w:jc w:val="both"/>
        <w:rPr>
          <w:rStyle w:val="None"/>
          <w:rFonts w:cs="Times New Roman"/>
          <w:shd w:val="clear" w:color="auto" w:fill="FFFFFF"/>
          <w14:textOutline w14:w="12700" w14:cap="flat" w14:cmpd="sng" w14:algn="ctr">
            <w14:noFill/>
            <w14:prstDash w14:val="solid"/>
            <w14:miter w14:lim="400000"/>
          </w14:textOutline>
        </w:rPr>
      </w:pPr>
    </w:p>
    <w:p w14:paraId="732918D1" w14:textId="12FB8DA8" w:rsidR="003B207D" w:rsidRPr="00776CA7" w:rsidRDefault="00101552" w:rsidP="006A43BB">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Pr>
          <w:rStyle w:val="None"/>
          <w:rFonts w:cs="Times New Roman"/>
          <w:shd w:val="clear" w:color="auto" w:fill="FFFFFF"/>
          <w:lang w:val="en-US"/>
          <w14:textOutline w14:w="12700" w14:cap="flat" w14:cmpd="sng" w14:algn="ctr">
            <w14:noFill/>
            <w14:prstDash w14:val="solid"/>
            <w14:miter w14:lim="400000"/>
          </w14:textOutline>
        </w:rPr>
        <w:t xml:space="preserve">The Declaration covered a number of human rights policies, </w:t>
      </w:r>
      <w:r w:rsidR="00776CA7">
        <w:rPr>
          <w:rStyle w:val="None"/>
          <w:rFonts w:cs="Times New Roman"/>
          <w:shd w:val="clear" w:color="auto" w:fill="FFFFFF"/>
          <w:lang w:val="en-US"/>
          <w14:textOutline w14:w="12700" w14:cap="flat" w14:cmpd="sng" w14:algn="ctr">
            <w14:noFill/>
            <w14:prstDash w14:val="solid"/>
            <w14:miter w14:lim="400000"/>
          </w14:textOutline>
        </w:rPr>
        <w:t xml:space="preserve">and in particular, actors </w:t>
      </w:r>
      <w:r w:rsidR="00C96635" w:rsidRPr="006A43BB">
        <w:rPr>
          <w:rStyle w:val="None"/>
          <w:rFonts w:cs="Times New Roman"/>
          <w:shd w:val="clear" w:color="auto" w:fill="FFFFFF"/>
          <w:lang w:val="en-US"/>
          <w14:textOutline w14:w="12700" w14:cap="flat" w14:cmpd="sng" w14:algn="ctr">
            <w14:noFill/>
            <w14:prstDash w14:val="solid"/>
            <w14:miter w14:lim="400000"/>
          </w14:textOutline>
        </w:rPr>
        <w:t>should respect International Covenants and the Universal Declaration of Human Rights.</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11"/>
      </w:r>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 Generally, limitations are related to its scope, absence of monitoring and implementation mechanism. Moreover, it fails to establish legal enforceability of Declaration as well as its ability to provide any rational or strategy to encourage TNC</w:t>
      </w:r>
      <w:r w:rsidR="00C96635" w:rsidRPr="002E3A14">
        <w:rPr>
          <w:rStyle w:val="None"/>
          <w:rFonts w:cs="Times New Roman"/>
          <w:shd w:val="clear" w:color="auto" w:fill="FFFFFF"/>
          <w:rtl/>
          <w14:textOutline w14:w="12700" w14:cap="flat" w14:cmpd="sng" w14:algn="ctr">
            <w14:noFill/>
            <w14:prstDash w14:val="solid"/>
            <w14:miter w14:lim="400000"/>
          </w14:textOutline>
        </w:rPr>
        <w:t>’</w:t>
      </w:r>
      <w:r w:rsidR="00C96635" w:rsidRPr="006A43BB">
        <w:rPr>
          <w:rStyle w:val="None"/>
          <w:rFonts w:cs="Times New Roman"/>
          <w:shd w:val="clear" w:color="auto" w:fill="FFFFFF"/>
          <w:lang w:val="en-US"/>
          <w14:textOutline w14:w="12700" w14:cap="flat" w14:cmpd="sng" w14:algn="ctr">
            <w14:noFill/>
            <w14:prstDash w14:val="solid"/>
            <w14:miter w14:lim="400000"/>
          </w14:textOutline>
        </w:rPr>
        <w:t>s to respect human rights.</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12"/>
      </w:r>
    </w:p>
    <w:p w14:paraId="732918D2"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D3" w14:textId="77777777" w:rsidR="003B207D" w:rsidRPr="006A43BB" w:rsidRDefault="00C96635" w:rsidP="006A43BB">
      <w:pPr>
        <w:pStyle w:val="Body"/>
        <w:spacing w:line="360" w:lineRule="auto"/>
        <w:jc w:val="both"/>
        <w:rPr>
          <w:rStyle w:val="None"/>
          <w:rFonts w:cs="Times New Roman"/>
          <w:i/>
          <w:iCs/>
          <w:shd w:val="clear" w:color="auto" w:fill="FFFFFF"/>
          <w14:textOutline w14:w="12700" w14:cap="flat" w14:cmpd="sng" w14:algn="ctr">
            <w14:noFill/>
            <w14:prstDash w14:val="solid"/>
            <w14:miter w14:lim="400000"/>
          </w14:textOutline>
        </w:rPr>
      </w:pPr>
      <w:r w:rsidRPr="006A43BB">
        <w:rPr>
          <w:rStyle w:val="None"/>
          <w:rFonts w:cs="Times New Roman"/>
          <w:i/>
          <w:iCs/>
          <w:shd w:val="clear" w:color="auto" w:fill="FFFFFF"/>
          <w:lang w:val="en-US"/>
          <w14:textOutline w14:w="12700" w14:cap="flat" w14:cmpd="sng" w14:algn="ctr">
            <w14:noFill/>
            <w14:prstDash w14:val="solid"/>
            <w14:miter w14:lim="400000"/>
          </w14:textOutline>
        </w:rPr>
        <w:t>The Global Compact</w:t>
      </w:r>
    </w:p>
    <w:p w14:paraId="732918D4" w14:textId="77777777" w:rsidR="003B207D" w:rsidRPr="006A43BB" w:rsidRDefault="003B207D" w:rsidP="006A43BB">
      <w:pPr>
        <w:pStyle w:val="Body"/>
        <w:spacing w:line="360" w:lineRule="auto"/>
        <w:jc w:val="both"/>
        <w:rPr>
          <w:rStyle w:val="None"/>
          <w:rFonts w:cs="Times New Roman"/>
          <w:i/>
          <w:iCs/>
          <w:shd w:val="clear" w:color="auto" w:fill="FFFFFF"/>
          <w14:textOutline w14:w="12700" w14:cap="flat" w14:cmpd="sng" w14:algn="ctr">
            <w14:noFill/>
            <w14:prstDash w14:val="solid"/>
            <w14:miter w14:lim="400000"/>
          </w14:textOutline>
        </w:rPr>
      </w:pPr>
    </w:p>
    <w:p w14:paraId="732918D5" w14:textId="5CEBA789" w:rsidR="003B207D" w:rsidRPr="007C0BBD" w:rsidRDefault="007C0BBD" w:rsidP="006A43BB">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Pr>
          <w:rStyle w:val="None"/>
          <w:rFonts w:cs="Times New Roman"/>
          <w:shd w:val="clear" w:color="auto" w:fill="FFFFFF"/>
          <w:lang w:val="en-US"/>
          <w14:textOutline w14:w="12700" w14:cap="flat" w14:cmpd="sng" w14:algn="ctr">
            <w14:noFill/>
            <w14:prstDash w14:val="solid"/>
            <w14:miter w14:lim="400000"/>
          </w14:textOutline>
        </w:rPr>
        <w:t xml:space="preserve">The UN Global Compact </w:t>
      </w:r>
      <w:r w:rsidR="00C96635" w:rsidRPr="006A43BB">
        <w:rPr>
          <w:rStyle w:val="None"/>
          <w:rFonts w:cs="Times New Roman"/>
          <w:shd w:val="clear" w:color="auto" w:fill="FFFFFF"/>
          <w:lang w:val="en-US"/>
          <w14:textOutline w14:w="12700" w14:cap="flat" w14:cmpd="sng" w14:algn="ctr">
            <w14:noFill/>
            <w14:prstDash w14:val="solid"/>
            <w14:miter w14:lim="400000"/>
          </w14:textOutline>
        </w:rPr>
        <w:t>is considered as an ambitious multi-stakeholder initiative that includes a number of actors.</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13"/>
      </w:r>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 This instrument has a voluntary nature and relies on principle-based change, public accountability, good practices and partnerships. One of the most important developments introduced by this instrument is a dialogue facilitation mechanism aimed to address systematic abuses of the Compact principles.</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14"/>
      </w:r>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  However, despite its ambitious nature it has a number of limitations. First of all, voluntary self-regulation which is not regulatory in nature. Secondly, language if this instrument is very broad that allows companies do absolutely nothing and at the same time comply with the principles. This </w:t>
      </w:r>
      <w:r w:rsidR="00C96635" w:rsidRPr="006A43BB">
        <w:rPr>
          <w:rStyle w:val="None"/>
          <w:rFonts w:cs="Times New Roman"/>
          <w:shd w:val="clear" w:color="auto" w:fill="FFFFFF"/>
          <w:lang w:val="en-US"/>
          <w14:textOutline w14:w="12700" w14:cap="flat" w14:cmpd="sng" w14:algn="ctr">
            <w14:noFill/>
            <w14:prstDash w14:val="solid"/>
            <w14:miter w14:lim="400000"/>
          </w14:textOutline>
        </w:rPr>
        <w:lastRenderedPageBreak/>
        <w:t xml:space="preserve">instrument should engage more with civil society, </w:t>
      </w:r>
      <w:proofErr w:type="spellStart"/>
      <w:r w:rsidR="00C96635" w:rsidRPr="006A43BB">
        <w:rPr>
          <w:rStyle w:val="None"/>
          <w:rFonts w:cs="Times New Roman"/>
          <w:shd w:val="clear" w:color="auto" w:fill="FFFFFF"/>
          <w:lang w:val="en-US"/>
          <w14:textOutline w14:w="12700" w14:cap="flat" w14:cmpd="sng" w14:algn="ctr">
            <w14:noFill/>
            <w14:prstDash w14:val="solid"/>
            <w14:miter w14:lim="400000"/>
          </w14:textOutline>
        </w:rPr>
        <w:t>organisations</w:t>
      </w:r>
      <w:proofErr w:type="spellEnd"/>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 and institutions to perform its quality test.</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15"/>
      </w:r>
    </w:p>
    <w:p w14:paraId="732918D6" w14:textId="7847C72A" w:rsidR="003B207D" w:rsidRDefault="003B207D">
      <w:pPr>
        <w:pStyle w:val="Body"/>
        <w:spacing w:line="276" w:lineRule="auto"/>
        <w:ind w:left="284"/>
        <w:jc w:val="both"/>
        <w:rPr>
          <w:rStyle w:val="None"/>
          <w:rFonts w:cs="Times New Roman"/>
          <w:shd w:val="clear" w:color="auto" w:fill="FFFFFF"/>
          <w14:textOutline w14:w="12700" w14:cap="flat" w14:cmpd="sng" w14:algn="ctr">
            <w14:noFill/>
            <w14:prstDash w14:val="solid"/>
            <w14:miter w14:lim="400000"/>
          </w14:textOutline>
        </w:rPr>
      </w:pPr>
    </w:p>
    <w:p w14:paraId="74B08DEA" w14:textId="77777777" w:rsidR="00785EA5" w:rsidRPr="006A43BB" w:rsidRDefault="00785EA5">
      <w:pPr>
        <w:pStyle w:val="Body"/>
        <w:spacing w:line="276" w:lineRule="auto"/>
        <w:ind w:left="284"/>
        <w:jc w:val="both"/>
        <w:rPr>
          <w:rStyle w:val="None"/>
          <w:rFonts w:cs="Times New Roman"/>
          <w:shd w:val="clear" w:color="auto" w:fill="FFFFFF"/>
          <w14:textOutline w14:w="12700" w14:cap="flat" w14:cmpd="sng" w14:algn="ctr">
            <w14:noFill/>
            <w14:prstDash w14:val="solid"/>
            <w14:miter w14:lim="400000"/>
          </w14:textOutline>
        </w:rPr>
      </w:pPr>
    </w:p>
    <w:p w14:paraId="732918D7"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The UN Norms </w:t>
      </w:r>
    </w:p>
    <w:p w14:paraId="732918D8" w14:textId="77777777" w:rsidR="003B207D" w:rsidRPr="006A43BB" w:rsidRDefault="003B207D" w:rsidP="006A43BB">
      <w:pPr>
        <w:pStyle w:val="Body"/>
        <w:spacing w:line="360" w:lineRule="auto"/>
        <w:ind w:left="284"/>
        <w:jc w:val="both"/>
        <w:rPr>
          <w:rStyle w:val="None"/>
          <w:rFonts w:cs="Times New Roman"/>
          <w:shd w:val="clear" w:color="auto" w:fill="FFFFFF"/>
          <w14:textOutline w14:w="12700" w14:cap="flat" w14:cmpd="sng" w14:algn="ctr">
            <w14:noFill/>
            <w14:prstDash w14:val="solid"/>
            <w14:miter w14:lim="400000"/>
          </w14:textOutline>
        </w:rPr>
      </w:pPr>
    </w:p>
    <w:p w14:paraId="732918D9" w14:textId="229E8488" w:rsidR="003B207D" w:rsidRPr="000A61ED" w:rsidRDefault="0003502E" w:rsidP="006A43BB">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Pr>
          <w:rStyle w:val="None"/>
          <w:rFonts w:cs="Times New Roman"/>
          <w:shd w:val="clear" w:color="auto" w:fill="FFFFFF"/>
          <w:lang w:val="en-US"/>
          <w14:textOutline w14:w="12700" w14:cap="flat" w14:cmpd="sng" w14:algn="ctr">
            <w14:noFill/>
            <w14:prstDash w14:val="solid"/>
            <w14:miter w14:lim="400000"/>
          </w14:textOutline>
        </w:rPr>
        <w:t xml:space="preserve">The UN Norms is considered as one of the </w:t>
      </w:r>
      <w:r w:rsidR="000A61ED">
        <w:rPr>
          <w:rStyle w:val="None"/>
          <w:rFonts w:cs="Times New Roman"/>
          <w:shd w:val="clear" w:color="auto" w:fill="FFFFFF"/>
          <w:lang w:val="en-US"/>
          <w14:textOutline w14:w="12700" w14:cap="flat" w14:cmpd="sng" w14:algn="ctr">
            <w14:noFill/>
            <w14:prstDash w14:val="solid"/>
            <w14:miter w14:lim="400000"/>
          </w14:textOutline>
        </w:rPr>
        <w:t xml:space="preserve">most </w:t>
      </w:r>
      <w:r w:rsidR="00C96635" w:rsidRPr="006A43BB">
        <w:rPr>
          <w:rStyle w:val="None"/>
          <w:rFonts w:cs="Times New Roman"/>
          <w:shd w:val="clear" w:color="auto" w:fill="FFFFFF"/>
          <w:lang w:val="en-US"/>
          <w14:textOutline w14:w="12700" w14:cap="flat" w14:cmpd="sng" w14:algn="ctr">
            <w14:noFill/>
            <w14:prstDash w14:val="solid"/>
            <w14:miter w14:lim="400000"/>
          </w14:textOutline>
        </w:rPr>
        <w:t>promising regulatory frameworks</w:t>
      </w:r>
      <w:r w:rsidR="000A61ED">
        <w:rPr>
          <w:rStyle w:val="None"/>
          <w:rFonts w:cs="Times New Roman"/>
          <w:shd w:val="clear" w:color="auto" w:fill="FFFFFF"/>
          <w:lang w:val="en-US"/>
          <w14:textOutline w14:w="12700" w14:cap="flat" w14:cmpd="sng" w14:algn="ctr">
            <w14:noFill/>
            <w14:prstDash w14:val="solid"/>
            <w14:miter w14:lim="400000"/>
          </w14:textOutline>
        </w:rPr>
        <w:t xml:space="preserve"> aimed</w:t>
      </w:r>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 to establish accountability for human rights violations. It represents a</w:t>
      </w:r>
      <w:r w:rsidR="00DC0E65">
        <w:rPr>
          <w:rStyle w:val="None"/>
          <w:rFonts w:cs="Times New Roman"/>
          <w:shd w:val="clear" w:color="auto" w:fill="FFFFFF"/>
          <w:lang w:val="en-US"/>
          <w14:textOutline w14:w="12700" w14:cap="flat" w14:cmpd="sng" w14:algn="ctr">
            <w14:noFill/>
            <w14:prstDash w14:val="solid"/>
            <w14:miter w14:lim="400000"/>
          </w14:textOutline>
        </w:rPr>
        <w:t xml:space="preserve">n exhaustive </w:t>
      </w:r>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list of human rights and it is not limited to just </w:t>
      </w:r>
      <w:proofErr w:type="spellStart"/>
      <w:r w:rsidR="00C96635" w:rsidRPr="006A43BB">
        <w:rPr>
          <w:rStyle w:val="None"/>
          <w:rFonts w:cs="Times New Roman"/>
          <w:shd w:val="clear" w:color="auto" w:fill="FFFFFF"/>
          <w:lang w:val="en-US"/>
          <w14:textOutline w14:w="12700" w14:cap="flat" w14:cmpd="sng" w14:algn="ctr">
            <w14:noFill/>
            <w14:prstDash w14:val="solid"/>
            <w14:miter w14:lim="400000"/>
          </w14:textOutline>
        </w:rPr>
        <w:t>labour</w:t>
      </w:r>
      <w:proofErr w:type="spellEnd"/>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 or environmental rights. The UN Norms imposes positive obligations on corporations and urges states to enforce and provide necessary administrative and legal framework to ensure that norms are implemented. </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16"/>
      </w:r>
    </w:p>
    <w:p w14:paraId="732918DA"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DB" w14:textId="12C9502E"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This was a big development in the</w:t>
      </w:r>
      <w:r w:rsidR="00070CA0">
        <w:rPr>
          <w:rStyle w:val="None"/>
          <w:rFonts w:cs="Times New Roman"/>
          <w:shd w:val="clear" w:color="auto" w:fill="FFFFFF"/>
          <w:lang w:val="en-US"/>
          <w14:textOutline w14:w="12700" w14:cap="flat" w14:cmpd="sng" w14:algn="ctr">
            <w14:noFill/>
            <w14:prstDash w14:val="solid"/>
            <w14:miter w14:lim="400000"/>
          </w14:textOutline>
        </w:rPr>
        <w:t xml:space="preserve"> human rights debate</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However, this instrument </w:t>
      </w:r>
      <w:r w:rsidR="00070CA0">
        <w:rPr>
          <w:rStyle w:val="None"/>
          <w:rFonts w:cs="Times New Roman"/>
          <w:shd w:val="clear" w:color="auto" w:fill="FFFFFF"/>
          <w:lang w:val="en-US"/>
          <w14:textOutline w14:w="12700" w14:cap="flat" w14:cmpd="sng" w14:algn="ctr">
            <w14:noFill/>
            <w14:prstDash w14:val="solid"/>
            <w14:miter w14:lim="400000"/>
          </w14:textOutline>
        </w:rPr>
        <w:t xml:space="preserve">referenced </w:t>
      </w:r>
      <w:r w:rsidRPr="006A43BB">
        <w:rPr>
          <w:rStyle w:val="None"/>
          <w:rFonts w:cs="Times New Roman"/>
          <w:shd w:val="clear" w:color="auto" w:fill="FFFFFF"/>
          <w:lang w:val="en-US"/>
          <w14:textOutline w14:w="12700" w14:cap="flat" w14:cmpd="sng" w14:algn="ctr">
            <w14:noFill/>
            <w14:prstDash w14:val="solid"/>
            <w14:miter w14:lim="400000"/>
          </w14:textOutline>
        </w:rPr>
        <w:t>numerous international instruments which is considered as problematic as those instruments were not ratified by a number of states. Another limitation is related to the nature of this document, which is neither mandatory nor voluntary. In addition, it failed to develop any enforcement mechanism or impose sanctions.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17"/>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DC" w14:textId="77777777" w:rsidR="003B207D" w:rsidRPr="006A43BB" w:rsidRDefault="003B207D" w:rsidP="006A43BB">
      <w:pPr>
        <w:pStyle w:val="Body"/>
        <w:spacing w:line="360" w:lineRule="auto"/>
        <w:ind w:left="284"/>
        <w:jc w:val="both"/>
        <w:rPr>
          <w:rStyle w:val="None"/>
          <w:rFonts w:cs="Times New Roman"/>
          <w:shd w:val="clear" w:color="auto" w:fill="FFFFFF"/>
          <w14:textOutline w14:w="12700" w14:cap="flat" w14:cmpd="sng" w14:algn="ctr">
            <w14:noFill/>
            <w14:prstDash w14:val="solid"/>
            <w14:miter w14:lim="400000"/>
          </w14:textOutline>
        </w:rPr>
      </w:pPr>
    </w:p>
    <w:p w14:paraId="43D3E113" w14:textId="77777777" w:rsidR="00EF4834" w:rsidRDefault="00C96635" w:rsidP="006A43BB">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This chapter discussed the number of international initiatives designed to protect human rights and impose obligations on corporations. However, it can be argued that those initiatives are simpl</w:t>
      </w:r>
      <w:r w:rsidR="008B1BCE">
        <w:rPr>
          <w:rStyle w:val="None"/>
          <w:rFonts w:cs="Times New Roman"/>
          <w:shd w:val="clear" w:color="auto" w:fill="FFFFFF"/>
          <w:lang w:val="en-US"/>
          <w14:textOutline w14:w="12700" w14:cap="flat" w14:cmpd="sng" w14:algn="ctr">
            <w14:noFill/>
            <w14:prstDash w14:val="solid"/>
            <w14:miter w14:lim="400000"/>
          </w14:textOutline>
        </w:rPr>
        <w:t>y</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not enough to establish an adequate protection at the international level.</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18"/>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w:t>
      </w:r>
      <w:r w:rsidR="008B1BCE">
        <w:rPr>
          <w:rStyle w:val="None"/>
          <w:rFonts w:cs="Times New Roman"/>
          <w:shd w:val="clear" w:color="auto" w:fill="FFFFFF"/>
          <w:lang w:val="en-US"/>
          <w14:textOutline w14:w="12700" w14:cap="flat" w14:cmpd="sng" w14:algn="ctr">
            <w14:noFill/>
            <w14:prstDash w14:val="solid"/>
            <w14:miter w14:lim="400000"/>
          </w14:textOutline>
        </w:rPr>
        <w:t xml:space="preserve">Existing regulatory initiatives </w:t>
      </w:r>
      <w:r w:rsidRPr="006A43BB">
        <w:rPr>
          <w:rStyle w:val="None"/>
          <w:rFonts w:cs="Times New Roman"/>
          <w:shd w:val="clear" w:color="auto" w:fill="FFFFFF"/>
          <w:lang w:val="en-US"/>
          <w14:textOutline w14:w="12700" w14:cap="flat" w14:cmpd="sng" w14:algn="ctr">
            <w14:noFill/>
            <w14:prstDash w14:val="solid"/>
            <w14:miter w14:lim="400000"/>
          </w14:textOutline>
        </w:rPr>
        <w:t>provide compliance on the level of cooperation or dialogue. Moreover, all initiatives are voluntary in nature and non-compliance with those instruments would not lead to any sanctions.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19"/>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In conclusion, existing regulatory initiatives established to protect human rights and make corporations accountable fail</w:t>
      </w:r>
      <w:r w:rsidR="00536322">
        <w:rPr>
          <w:rStyle w:val="None"/>
          <w:rFonts w:cs="Times New Roman"/>
          <w:shd w:val="clear" w:color="auto" w:fill="FFFFFF"/>
          <w:lang w:val="en-US"/>
          <w14:textOutline w14:w="12700" w14:cap="flat" w14:cmpd="sng" w14:algn="ctr">
            <w14:noFill/>
            <w14:prstDash w14:val="solid"/>
            <w14:miter w14:lim="400000"/>
          </w14:textOutline>
        </w:rPr>
        <w:t>s</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to respond to</w:t>
      </w:r>
      <w:r w:rsidR="00536322">
        <w:rPr>
          <w:rStyle w:val="None"/>
          <w:rFonts w:cs="Times New Roman"/>
          <w:shd w:val="clear" w:color="auto" w:fill="FFFFFF"/>
          <w:lang w:val="en-US"/>
          <w14:textOutline w14:w="12700" w14:cap="flat" w14:cmpd="sng" w14:algn="ctr">
            <w14:noFill/>
            <w14:prstDash w14:val="solid"/>
            <w14:miter w14:lim="400000"/>
          </w14:textOutline>
        </w:rPr>
        <w:t xml:space="preserve"> the</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key procedural and conceptual</w:t>
      </w:r>
      <w:r w:rsidR="00536322">
        <w:rPr>
          <w:rStyle w:val="None"/>
          <w:rFonts w:cs="Times New Roman"/>
          <w:shd w:val="clear" w:color="auto" w:fill="FFFFFF"/>
          <w:lang w:val="en-US"/>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pillars, </w:t>
      </w:r>
      <w:r w:rsidR="00536322">
        <w:rPr>
          <w:rStyle w:val="None"/>
          <w:rFonts w:cs="Times New Roman"/>
          <w:shd w:val="clear" w:color="auto" w:fill="FFFFFF"/>
          <w:lang w:val="en-US"/>
          <w14:textOutline w14:w="12700" w14:cap="flat" w14:cmpd="sng" w14:algn="ctr">
            <w14:noFill/>
            <w14:prstDash w14:val="solid"/>
            <w14:miter w14:lim="400000"/>
          </w14:textOutline>
        </w:rPr>
        <w:t>meaning that alternative model of regulation is necessary</w:t>
      </w:r>
      <w:r w:rsidRPr="006A43BB">
        <w:rPr>
          <w:rStyle w:val="None"/>
          <w:rFonts w:cs="Times New Roman"/>
          <w:shd w:val="clear" w:color="auto" w:fill="FFFFFF"/>
          <w:lang w:val="en-US"/>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20"/>
      </w:r>
    </w:p>
    <w:p w14:paraId="5414A2ED" w14:textId="77777777" w:rsidR="00EF4834" w:rsidRDefault="00EF4834" w:rsidP="006A43BB">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p>
    <w:p w14:paraId="45F0B449" w14:textId="77777777" w:rsidR="00EF4834" w:rsidRDefault="00EF4834" w:rsidP="006A43BB">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p>
    <w:p w14:paraId="732918DD" w14:textId="36BB2E6C" w:rsidR="003B207D" w:rsidRPr="008B1BCE" w:rsidRDefault="00C96635" w:rsidP="006A43BB">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sidRPr="006A43BB">
        <w:rPr>
          <w:rStyle w:val="None"/>
          <w:rFonts w:cs="Times New Roman"/>
          <w:shd w:val="clear" w:color="auto" w:fill="FFFFFF"/>
          <w14:textOutline w14:w="12700" w14:cap="flat" w14:cmpd="sng" w14:algn="ctr">
            <w14:noFill/>
            <w14:prstDash w14:val="solid"/>
            <w14:miter w14:lim="400000"/>
          </w14:textOutline>
        </w:rPr>
        <w:br/>
      </w:r>
    </w:p>
    <w:p w14:paraId="732918DE" w14:textId="77777777" w:rsidR="003B207D" w:rsidRPr="006A43BB" w:rsidRDefault="00C96635" w:rsidP="006A43BB">
      <w:pPr>
        <w:pStyle w:val="Body"/>
        <w:spacing w:line="360" w:lineRule="auto"/>
        <w:jc w:val="both"/>
        <w:rPr>
          <w:rStyle w:val="None"/>
          <w:rFonts w:cs="Times New Roman"/>
          <w:b/>
          <w:bCs/>
          <w:shd w:val="clear" w:color="auto" w:fill="FFFFFF"/>
          <w14:textOutline w14:w="12700" w14:cap="flat" w14:cmpd="sng" w14:algn="ctr">
            <w14:noFill/>
            <w14:prstDash w14:val="solid"/>
            <w14:miter w14:lim="400000"/>
          </w14:textOutline>
        </w:rPr>
      </w:pPr>
      <w:r w:rsidRPr="006A43BB">
        <w:rPr>
          <w:rStyle w:val="None"/>
          <w:rFonts w:cs="Times New Roman"/>
          <w:b/>
          <w:bCs/>
          <w:shd w:val="clear" w:color="auto" w:fill="FFFFFF"/>
          <w14:textOutline w14:w="12700" w14:cap="flat" w14:cmpd="sng" w14:algn="ctr">
            <w14:noFill/>
            <w14:prstDash w14:val="solid"/>
            <w14:miter w14:lim="400000"/>
          </w14:textOutline>
        </w:rPr>
        <w:lastRenderedPageBreak/>
        <w:t>3.</w:t>
      </w:r>
      <w:r w:rsidRPr="006A43BB">
        <w:rPr>
          <w:rStyle w:val="None"/>
          <w:rFonts w:cs="Times New Roman"/>
          <w:b/>
          <w:bCs/>
          <w:shd w:val="clear" w:color="auto" w:fill="FFFFFF"/>
          <w:lang w:val="en-US"/>
          <w14:textOutline w14:w="12700" w14:cap="flat" w14:cmpd="sng" w14:algn="ctr">
            <w14:noFill/>
            <w14:prstDash w14:val="solid"/>
            <w14:miter w14:lim="400000"/>
          </w14:textOutline>
        </w:rPr>
        <w:t xml:space="preserve">2 International Law Approach </w:t>
      </w:r>
    </w:p>
    <w:p w14:paraId="732918DF"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E0" w14:textId="77777777" w:rsidR="003B207D" w:rsidRDefault="00C96635" w:rsidP="006A43BB">
      <w:pPr>
        <w:pStyle w:val="Body"/>
        <w:spacing w:line="360" w:lineRule="auto"/>
        <w:jc w:val="both"/>
        <w:rPr>
          <w:rStyle w:val="None"/>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Considering the above-mentioned analysis, there is no universal code of conduct specifying responsibilities and obligations for corporations under international law. All available international legal instruments that could possibly address this matter are not legally binding.</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21"/>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Thus, probably the most significant limitation under international law is the lack of enforcement mechanism to make corporations directly accountable for human rights violations.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22"/>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This relates to the doctrine of horizontal effect or ‘</w:t>
      </w:r>
      <w:proofErr w:type="spellStart"/>
      <w:r w:rsidRPr="006A43BB">
        <w:rPr>
          <w:rStyle w:val="None"/>
          <w:rFonts w:cs="Times New Roman"/>
          <w:shd w:val="clear" w:color="auto" w:fill="FFFFFF"/>
          <w14:textOutline w14:w="12700" w14:cap="flat" w14:cmpd="sng" w14:algn="ctr">
            <w14:noFill/>
            <w14:prstDash w14:val="solid"/>
            <w14:miter w14:lim="400000"/>
          </w14:textOutline>
        </w:rPr>
        <w:t>Drittwirkung</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('third-party effect</w:t>
      </w:r>
      <w:r w:rsidRPr="003E009D">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 which states that some rights do not apply to the vertical relationship among individuals and states, but also in horizontal relationship, for instance between corporation and</w:t>
      </w:r>
      <w:r>
        <w:rPr>
          <w:rStyle w:val="None"/>
          <w:shd w:val="clear" w:color="auto" w:fill="FFFFFF"/>
          <w:lang w:val="en-US"/>
          <w14:textOutline w14:w="12700" w14:cap="flat" w14:cmpd="sng" w14:algn="ctr">
            <w14:noFill/>
            <w14:prstDash w14:val="solid"/>
            <w14:miter w14:lim="400000"/>
          </w14:textOutline>
        </w:rPr>
        <w:t xml:space="preserve"> individual.</w:t>
      </w:r>
      <w:r>
        <w:rPr>
          <w:rStyle w:val="None"/>
          <w:shd w:val="clear" w:color="auto" w:fill="FFFFFF"/>
          <w:vertAlign w:val="superscript"/>
          <w14:textOutline w14:w="12700" w14:cap="flat" w14:cmpd="sng" w14:algn="ctr">
            <w14:noFill/>
            <w14:prstDash w14:val="solid"/>
            <w14:miter w14:lim="400000"/>
          </w14:textOutline>
        </w:rPr>
        <w:footnoteReference w:id="123"/>
      </w:r>
      <w:r>
        <w:rPr>
          <w:rStyle w:val="None"/>
          <w:shd w:val="clear" w:color="auto" w:fill="FFFFFF"/>
          <w:lang w:val="en-US"/>
          <w14:textOutline w14:w="12700" w14:cap="flat" w14:cmpd="sng" w14:algn="ctr">
            <w14:noFill/>
            <w14:prstDash w14:val="solid"/>
            <w14:miter w14:lim="400000"/>
          </w14:textOutline>
        </w:rPr>
        <w:t xml:space="preserve"> The </w:t>
      </w:r>
      <w:proofErr w:type="spellStart"/>
      <w:r>
        <w:rPr>
          <w:rStyle w:val="None"/>
          <w:shd w:val="clear" w:color="auto" w:fill="FFFFFF"/>
          <w:lang w:val="en-US"/>
          <w14:textOutline w14:w="12700" w14:cap="flat" w14:cmpd="sng" w14:algn="ctr">
            <w14:noFill/>
            <w14:prstDash w14:val="solid"/>
            <w14:miter w14:lim="400000"/>
          </w14:textOutline>
        </w:rPr>
        <w:t>Drittwirkung</w:t>
      </w:r>
      <w:proofErr w:type="spellEnd"/>
      <w:r>
        <w:rPr>
          <w:rStyle w:val="None"/>
          <w:shd w:val="clear" w:color="auto" w:fill="FFFFFF"/>
          <w:lang w:val="en-US"/>
          <w14:textOutline w14:w="12700" w14:cap="flat" w14:cmpd="sng" w14:algn="ctr">
            <w14:noFill/>
            <w14:prstDash w14:val="solid"/>
            <w14:miter w14:lim="400000"/>
          </w14:textOutline>
        </w:rPr>
        <w:t xml:space="preserve"> doctrine provides that constitution poses legal obligations on the private party relations and in particular </w:t>
      </w:r>
      <w:r>
        <w:rPr>
          <w:rStyle w:val="None"/>
          <w:shd w:val="clear" w:color="auto" w:fill="FFFFFF"/>
          <w:rtl/>
          <w14:textOutline w14:w="12700" w14:cap="flat" w14:cmpd="sng" w14:algn="ctr">
            <w14:noFill/>
            <w14:prstDash w14:val="solid"/>
            <w14:miter w14:lim="400000"/>
          </w14:textOutline>
        </w:rPr>
        <w:t>‘</w:t>
      </w:r>
      <w:r>
        <w:rPr>
          <w:rStyle w:val="None"/>
          <w:shd w:val="clear" w:color="auto" w:fill="FFFFFF"/>
          <w:lang w:val="en-US"/>
          <w14:textOutline w14:w="12700" w14:cap="flat" w14:cmpd="sng" w14:algn="ctr">
            <w14:noFill/>
            <w14:prstDash w14:val="solid"/>
            <w14:miter w14:lim="400000"/>
          </w14:textOutline>
        </w:rPr>
        <w:t>public law rules constitute the private law order</w:t>
      </w:r>
      <w:r>
        <w:rPr>
          <w:rStyle w:val="None"/>
          <w:shd w:val="clear" w:color="auto" w:fill="FFFFFF"/>
          <w:rtl/>
          <w14:textOutline w14:w="12700" w14:cap="flat" w14:cmpd="sng" w14:algn="ctr">
            <w14:noFill/>
            <w14:prstDash w14:val="solid"/>
            <w14:miter w14:lim="400000"/>
          </w14:textOutline>
        </w:rPr>
        <w:t>’</w:t>
      </w:r>
      <w:r>
        <w:rPr>
          <w:rStyle w:val="None"/>
          <w:shd w:val="clear" w:color="auto" w:fill="FFFFFF"/>
          <w14:textOutline w14:w="12700" w14:cap="flat" w14:cmpd="sng" w14:algn="ctr">
            <w14:noFill/>
            <w14:prstDash w14:val="solid"/>
            <w14:miter w14:lim="400000"/>
          </w14:textOutline>
        </w:rPr>
        <w:t>.</w:t>
      </w:r>
      <w:r>
        <w:rPr>
          <w:rStyle w:val="None"/>
          <w:shd w:val="clear" w:color="auto" w:fill="FFFFFF"/>
          <w:vertAlign w:val="superscript"/>
          <w14:textOutline w14:w="12700" w14:cap="flat" w14:cmpd="sng" w14:algn="ctr">
            <w14:noFill/>
            <w14:prstDash w14:val="solid"/>
            <w14:miter w14:lim="400000"/>
          </w14:textOutline>
        </w:rPr>
        <w:footnoteReference w:id="124"/>
      </w:r>
    </w:p>
    <w:p w14:paraId="732918E1" w14:textId="77777777" w:rsidR="003B207D" w:rsidRDefault="003B207D">
      <w:pPr>
        <w:pStyle w:val="Body"/>
        <w:spacing w:line="276" w:lineRule="auto"/>
        <w:jc w:val="both"/>
        <w:rPr>
          <w:rStyle w:val="None"/>
          <w:shd w:val="clear" w:color="auto" w:fill="FFFFFF"/>
          <w14:textOutline w14:w="12700" w14:cap="flat" w14:cmpd="sng" w14:algn="ctr">
            <w14:noFill/>
            <w14:prstDash w14:val="solid"/>
            <w14:miter w14:lim="400000"/>
          </w14:textOutline>
        </w:rPr>
      </w:pPr>
    </w:p>
    <w:p w14:paraId="732918E2" w14:textId="24A557EA" w:rsidR="003B207D" w:rsidRPr="00BC53B5" w:rsidRDefault="002E124C" w:rsidP="006A43BB">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Pr>
          <w:rStyle w:val="None"/>
          <w:rFonts w:cs="Times New Roman"/>
          <w:shd w:val="clear" w:color="auto" w:fill="FFFFFF"/>
          <w:lang w:val="en-US"/>
          <w14:textOutline w14:w="12700" w14:cap="flat" w14:cmpd="sng" w14:algn="ctr">
            <w14:noFill/>
            <w14:prstDash w14:val="solid"/>
            <w14:miter w14:lim="400000"/>
          </w14:textOutline>
        </w:rPr>
        <w:t xml:space="preserve">It is considered that entities </w:t>
      </w:r>
      <w:r w:rsidR="00B72802">
        <w:rPr>
          <w:rStyle w:val="None"/>
          <w:rFonts w:cs="Times New Roman"/>
          <w:shd w:val="clear" w:color="auto" w:fill="FFFFFF"/>
          <w:lang w:val="en-US"/>
          <w14:textOutline w14:w="12700" w14:cap="flat" w14:cmpd="sng" w14:algn="ctr">
            <w14:noFill/>
            <w14:prstDash w14:val="solid"/>
            <w14:miter w14:lim="400000"/>
          </w14:textOutline>
        </w:rPr>
        <w:t xml:space="preserve">have obligations to the international community only if they </w:t>
      </w:r>
      <w:r w:rsidR="00BC53B5">
        <w:rPr>
          <w:rStyle w:val="None"/>
          <w:rFonts w:cs="Times New Roman"/>
          <w:shd w:val="clear" w:color="auto" w:fill="FFFFFF"/>
          <w:lang w:val="en-US"/>
          <w14:textOutline w14:w="12700" w14:cap="flat" w14:cmpd="sng" w14:algn="ctr">
            <w14:noFill/>
            <w14:prstDash w14:val="solid"/>
            <w14:miter w14:lim="400000"/>
          </w14:textOutline>
        </w:rPr>
        <w:t xml:space="preserve">have international legal personality and </w:t>
      </w:r>
      <w:r w:rsidR="00B72802">
        <w:rPr>
          <w:rStyle w:val="None"/>
          <w:rFonts w:cs="Times New Roman"/>
          <w:shd w:val="clear" w:color="auto" w:fill="FFFFFF"/>
          <w:lang w:val="en-US"/>
          <w14:textOutline w14:w="12700" w14:cap="flat" w14:cmpd="sng" w14:algn="ctr">
            <w14:noFill/>
            <w14:prstDash w14:val="solid"/>
            <w14:miter w14:lim="400000"/>
          </w14:textOutline>
        </w:rPr>
        <w:t xml:space="preserve">are referred as subjects under international law. </w:t>
      </w:r>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The concept of international legal personality </w:t>
      </w:r>
      <w:r w:rsidR="00D81942">
        <w:rPr>
          <w:rStyle w:val="None"/>
          <w:rFonts w:cs="Times New Roman"/>
          <w:shd w:val="clear" w:color="auto" w:fill="FFFFFF"/>
          <w:lang w:val="en-US"/>
          <w14:textOutline w14:w="12700" w14:cap="flat" w14:cmpd="sng" w14:algn="ctr">
            <w14:noFill/>
            <w14:prstDash w14:val="solid"/>
            <w14:miter w14:lim="400000"/>
          </w14:textOutline>
        </w:rPr>
        <w:t>is</w:t>
      </w:r>
      <w:r w:rsidR="003D5F05">
        <w:rPr>
          <w:rStyle w:val="None"/>
          <w:rFonts w:cs="Times New Roman"/>
          <w:shd w:val="clear" w:color="auto" w:fill="FFFFFF"/>
          <w:lang w:val="en-US"/>
          <w14:textOutline w14:w="12700" w14:cap="flat" w14:cmpd="sng" w14:algn="ctr">
            <w14:noFill/>
            <w14:prstDash w14:val="solid"/>
            <w14:miter w14:lim="400000"/>
          </w14:textOutline>
        </w:rPr>
        <w:t xml:space="preserve"> usually</w:t>
      </w:r>
      <w:r w:rsidR="00D81942">
        <w:rPr>
          <w:rStyle w:val="None"/>
          <w:rFonts w:cs="Times New Roman"/>
          <w:shd w:val="clear" w:color="auto" w:fill="FFFFFF"/>
          <w:lang w:val="en-US"/>
          <w14:textOutline w14:w="12700" w14:cap="flat" w14:cmpd="sng" w14:algn="ctr">
            <w14:noFill/>
            <w14:prstDash w14:val="solid"/>
            <w14:miter w14:lim="400000"/>
          </w14:textOutline>
        </w:rPr>
        <w:t xml:space="preserve"> characterized as</w:t>
      </w:r>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 not unified, static or flexible.</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25"/>
      </w:r>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 According to Judge Rosalyn Higgins, the concept of legal personality is </w:t>
      </w:r>
      <w:r w:rsidR="00C96635" w:rsidRPr="00D2661C">
        <w:rPr>
          <w:rStyle w:val="None"/>
          <w:rFonts w:cs="Times New Roman"/>
          <w:shd w:val="clear" w:color="auto" w:fill="FFFFFF"/>
          <w:rtl/>
          <w:lang w:val="ar-SA"/>
          <w14:textOutline w14:w="12700" w14:cap="flat" w14:cmpd="sng" w14:algn="ctr">
            <w14:noFill/>
            <w14:prstDash w14:val="solid"/>
            <w14:miter w14:lim="400000"/>
          </w14:textOutline>
        </w:rPr>
        <w:t>“</w:t>
      </w:r>
      <w:r w:rsidR="00C96635" w:rsidRPr="006A43BB">
        <w:rPr>
          <w:rStyle w:val="None"/>
          <w:rFonts w:cs="Times New Roman"/>
          <w:shd w:val="clear" w:color="auto" w:fill="FFFFFF"/>
          <w:lang w:val="en-US"/>
          <w14:textOutline w14:w="12700" w14:cap="flat" w14:cmpd="sng" w14:algn="ctr">
            <w14:noFill/>
            <w14:prstDash w14:val="solid"/>
            <w14:miter w14:lim="400000"/>
          </w14:textOutline>
        </w:rPr>
        <w:t>an intellectual orison and the whole notion of subjects and objects has no credible reality and</w:t>
      </w:r>
      <w:r w:rsidR="00C96635" w:rsidRPr="006A43BB">
        <w:rPr>
          <w:rStyle w:val="None"/>
          <w:rFonts w:cs="Times New Roman"/>
          <w:shd w:val="clear" w:color="auto" w:fill="FFFFFF"/>
          <w14:textOutline w14:w="12700" w14:cap="flat" w14:cmpd="sng" w14:algn="ctr">
            <w14:noFill/>
            <w14:prstDash w14:val="solid"/>
            <w14:miter w14:lim="400000"/>
          </w14:textOutline>
        </w:rPr>
        <w:t xml:space="preserve">… </w:t>
      </w:r>
      <w:r w:rsidR="00C96635" w:rsidRPr="006A43BB">
        <w:rPr>
          <w:rStyle w:val="None"/>
          <w:rFonts w:cs="Times New Roman"/>
          <w:shd w:val="clear" w:color="auto" w:fill="FFFFFF"/>
          <w:lang w:val="en-US"/>
          <w14:textOutline w14:w="12700" w14:cap="flat" w14:cmpd="sng" w14:algn="ctr">
            <w14:noFill/>
            <w14:prstDash w14:val="solid"/>
            <w14:miter w14:lim="400000"/>
          </w14:textOutline>
        </w:rPr>
        <w:t>no functional purpose.</w:t>
      </w:r>
      <w:r w:rsidR="00C96635" w:rsidRPr="006A43BB">
        <w:rPr>
          <w:rStyle w:val="None"/>
          <w:rFonts w:cs="Times New Roman"/>
          <w:shd w:val="clear" w:color="auto" w:fill="FFFFFF"/>
          <w14:textOutline w14:w="12700" w14:cap="flat" w14:cmpd="sng" w14:algn="ctr">
            <w14:noFill/>
            <w14:prstDash w14:val="solid"/>
            <w14:miter w14:lim="400000"/>
          </w14:textOutline>
        </w:rPr>
        <w:t>”</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26"/>
      </w:r>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 Corporate responsibilities needs to be based on international human rights standards, which is arguably one of the most effective ways to establishing comparable standards across various jurisdictions.</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27"/>
      </w:r>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 However, implementation of those standards purely depends on national governments and their roles under human rights legislation.</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28"/>
      </w:r>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 This means that single international agreement is not enough, and regulatory framework along with strong mechanism which can deal with global nature of corporations is needed.</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29"/>
      </w:r>
      <w:r w:rsidR="00C96635"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E3"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E4" w14:textId="5EEF1F57" w:rsidR="003B207D" w:rsidRPr="006A43BB" w:rsidRDefault="009D723C"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Pr>
          <w:rStyle w:val="None"/>
          <w:rFonts w:cs="Times New Roman"/>
          <w:shd w:val="clear" w:color="auto" w:fill="FFFFFF"/>
          <w14:textOutline w14:w="12700" w14:cap="flat" w14:cmpd="sng" w14:algn="ctr">
            <w14:noFill/>
            <w14:prstDash w14:val="solid"/>
            <w14:miter w14:lim="400000"/>
          </w14:textOutline>
        </w:rPr>
        <w:lastRenderedPageBreak/>
        <w:t xml:space="preserve">Thus, </w:t>
      </w:r>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this research argues that international law can be applied to corporations directly. This argument is based on the international criminal law approach which will be discussed in the next chapter. This includes cases that involve </w:t>
      </w:r>
      <w:r w:rsidR="00C96635" w:rsidRPr="00D2661C">
        <w:rPr>
          <w:rStyle w:val="None"/>
          <w:rFonts w:cs="Times New Roman"/>
          <w:shd w:val="clear" w:color="auto" w:fill="FFFFFF"/>
          <w:rtl/>
          <w14:textOutline w14:w="12700" w14:cap="flat" w14:cmpd="sng" w14:algn="ctr">
            <w14:noFill/>
            <w14:prstDash w14:val="solid"/>
            <w14:miter w14:lim="400000"/>
          </w14:textOutline>
        </w:rPr>
        <w:t>‘</w:t>
      </w:r>
      <w:r w:rsidR="00C96635" w:rsidRPr="006A43BB">
        <w:rPr>
          <w:rStyle w:val="None"/>
          <w:rFonts w:cs="Times New Roman"/>
          <w:shd w:val="clear" w:color="auto" w:fill="FFFFFF"/>
          <w:lang w:val="en-US"/>
          <w14:textOutline w14:w="12700" w14:cap="flat" w14:cmpd="sng" w14:algn="ctr">
            <w14:noFill/>
            <w14:prstDash w14:val="solid"/>
            <w14:miter w14:lim="400000"/>
          </w14:textOutline>
        </w:rPr>
        <w:t>crimes against humanity</w:t>
      </w:r>
      <w:r w:rsidR="00C96635" w:rsidRPr="00D2661C">
        <w:rPr>
          <w:rStyle w:val="None"/>
          <w:rFonts w:cs="Times New Roman"/>
          <w:shd w:val="clear" w:color="auto" w:fill="FFFFFF"/>
          <w:rtl/>
          <w14:textOutline w14:w="12700" w14:cap="flat" w14:cmpd="sng" w14:algn="ctr">
            <w14:noFill/>
            <w14:prstDash w14:val="solid"/>
            <w14:miter w14:lim="400000"/>
          </w14:textOutline>
        </w:rPr>
        <w:t xml:space="preserve">’ </w:t>
      </w:r>
      <w:r w:rsidR="00C96635" w:rsidRPr="006A43BB">
        <w:rPr>
          <w:rStyle w:val="None"/>
          <w:rFonts w:cs="Times New Roman"/>
          <w:shd w:val="clear" w:color="auto" w:fill="FFFFFF"/>
          <w:lang w:val="en-US"/>
          <w14:textOutline w14:w="12700" w14:cap="flat" w14:cmpd="sng" w14:algn="ctr">
            <w14:noFill/>
            <w14:prstDash w14:val="solid"/>
            <w14:miter w14:lim="400000"/>
          </w14:textOutline>
        </w:rPr>
        <w:t>and</w:t>
      </w:r>
      <w:r w:rsidR="00C96635">
        <w:rPr>
          <w:rStyle w:val="None"/>
          <w:shd w:val="clear" w:color="auto" w:fill="FFFFFF"/>
          <w:lang w:val="en-US"/>
          <w14:textOutline w14:w="12700" w14:cap="flat" w14:cmpd="sng" w14:algn="ctr">
            <w14:noFill/>
            <w14:prstDash w14:val="solid"/>
            <w14:miter w14:lim="400000"/>
          </w14:textOutline>
        </w:rPr>
        <w:t xml:space="preserve"> </w:t>
      </w:r>
      <w:r w:rsidR="00C96635" w:rsidRPr="006A43BB">
        <w:rPr>
          <w:rStyle w:val="None"/>
          <w:rFonts w:cs="Times New Roman"/>
          <w:shd w:val="clear" w:color="auto" w:fill="FFFFFF"/>
          <w:lang w:val="en-US"/>
          <w14:textOutline w14:w="12700" w14:cap="flat" w14:cmpd="sng" w14:algn="ctr">
            <w14:noFill/>
            <w14:prstDash w14:val="solid"/>
            <w14:miter w14:lim="400000"/>
          </w14:textOutline>
        </w:rPr>
        <w:t>reflected in the Statue of the International Criminal Court. This approach also reflects elements of customary international law therefore limiting its application.</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30"/>
      </w:r>
      <w:r w:rsidR="00C96635"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E5"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E6"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States have primary responsibility to regulate activities of multinationals. According to the Maastricht Guidelines on Violations of Economic, Social and Cultural Rights: </w:t>
      </w:r>
    </w:p>
    <w:p w14:paraId="732918E7"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E8" w14:textId="77777777" w:rsidR="003B207D" w:rsidRPr="006A43BB" w:rsidRDefault="00C96635" w:rsidP="006A43BB">
      <w:pPr>
        <w:pStyle w:val="Body"/>
        <w:spacing w:line="360" w:lineRule="auto"/>
        <w:ind w:left="720"/>
        <w:jc w:val="both"/>
        <w:rPr>
          <w:rStyle w:val="None"/>
          <w:rFonts w:cs="Times New Roman"/>
          <w:i/>
          <w:iCs/>
          <w:shd w:val="clear" w:color="auto" w:fill="FFFFFF"/>
          <w14:textOutline w14:w="12700" w14:cap="flat" w14:cmpd="sng" w14:algn="ctr">
            <w14:noFill/>
            <w14:prstDash w14:val="solid"/>
            <w14:miter w14:lim="400000"/>
          </w14:textOutline>
        </w:rPr>
      </w:pPr>
      <w:r w:rsidRPr="002A5DE6">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The obligation to protect includes the State's responsibility to ensure that private </w:t>
      </w:r>
    </w:p>
    <w:p w14:paraId="732918E9" w14:textId="77777777" w:rsidR="003B207D" w:rsidRPr="006A43BB" w:rsidRDefault="00C96635" w:rsidP="006A43BB">
      <w:pPr>
        <w:pStyle w:val="Body"/>
        <w:spacing w:line="360" w:lineRule="auto"/>
        <w:ind w:left="720"/>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entities or individuals, including transnational corporations over which they exercise jurisdiction, do not deprive individuals of their economic, social and cultural rights. States are responsible for violations of economic, social and cultural rights that result from their failure to exercise due diligence in controlling the </w:t>
      </w:r>
      <w:proofErr w:type="spellStart"/>
      <w:r w:rsidRPr="006A43BB">
        <w:rPr>
          <w:rStyle w:val="None"/>
          <w:rFonts w:cs="Times New Roman"/>
          <w:i/>
          <w:iCs/>
          <w:shd w:val="clear" w:color="auto" w:fill="FFFFFF"/>
          <w:lang w:val="en-US"/>
          <w14:textOutline w14:w="12700" w14:cap="flat" w14:cmpd="sng" w14:algn="ctr">
            <w14:noFill/>
            <w14:prstDash w14:val="solid"/>
            <w14:miter w14:lim="400000"/>
          </w14:textOutline>
        </w:rPr>
        <w:t>behaviour</w:t>
      </w:r>
      <w:proofErr w:type="spellEnd"/>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 of such non-state actors</w:t>
      </w:r>
      <w:r w:rsidRPr="006A43BB">
        <w:rPr>
          <w:rStyle w:val="None"/>
          <w:rFonts w:cs="Times New Roman"/>
          <w:shd w:val="clear" w:color="auto" w:fill="FFFFFF"/>
          <w14:textOutline w14:w="12700" w14:cap="flat" w14:cmpd="sng" w14:algn="ctr">
            <w14:noFill/>
            <w14:prstDash w14:val="solid"/>
            <w14:miter w14:lim="400000"/>
          </w14:textOutline>
        </w:rPr>
        <w:t>.</w:t>
      </w:r>
      <w:r w:rsidRPr="002A5DE6">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31"/>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EA"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EB"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This obligation has been reinstated by the Inter-American Human Rights Commission and reflected in the UN Committee on Economic, Social and Cultural Rights. Therefore, international law imposes responsibility on states to protect human rights and ensure that TNC</w:t>
      </w:r>
      <w:r w:rsidRPr="002A5DE6">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s are not involved in activities that can violate them. Additionally, TNC</w:t>
      </w:r>
      <w:r w:rsidRPr="002A5DE6">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s are subjects to the jurisdiction of the states where they operate, which also simplifies intervention from states.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32"/>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Pr="006A43BB">
        <w:rPr>
          <w:rStyle w:val="None"/>
          <w:rFonts w:cs="Times New Roman"/>
          <w:shd w:val="clear" w:color="auto" w:fill="FFFFFF"/>
          <w14:textOutline w14:w="12700" w14:cap="flat" w14:cmpd="sng" w14:algn="ctr">
            <w14:noFill/>
            <w14:prstDash w14:val="solid"/>
            <w14:miter w14:lim="400000"/>
          </w14:textOutline>
        </w:rPr>
        <w:br/>
      </w:r>
    </w:p>
    <w:p w14:paraId="732918EC" w14:textId="7D87E5D4" w:rsidR="003B207D" w:rsidRDefault="00C96635" w:rsidP="002A5DE6">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sidRPr="006A43BB">
        <w:rPr>
          <w:rStyle w:val="None"/>
          <w:rFonts w:cs="Times New Roman"/>
          <w:lang w:val="en-US"/>
          <w14:textOutline w14:w="12700" w14:cap="flat" w14:cmpd="sng" w14:algn="ctr">
            <w14:noFill/>
            <w14:prstDash w14:val="solid"/>
            <w14:miter w14:lim="400000"/>
          </w14:textOutline>
        </w:rPr>
        <w:t xml:space="preserve">In conclusion, the regulation of multinational corporations </w:t>
      </w:r>
      <w:r w:rsidRPr="006A43BB">
        <w:rPr>
          <w:rStyle w:val="None"/>
          <w:rFonts w:cs="Times New Roman"/>
          <w:shd w:val="clear" w:color="auto" w:fill="FFFFFF"/>
          <w:lang w:val="en-US"/>
          <w14:textOutline w14:w="12700" w14:cap="flat" w14:cmpd="sng" w14:algn="ctr">
            <w14:noFill/>
            <w14:prstDash w14:val="solid"/>
            <w14:miter w14:lim="400000"/>
          </w14:textOutline>
        </w:rPr>
        <w:t>depends on national enforcement. It is important that legal personality of corporations is made explicit and international mechanisms</w:t>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are established to guarantee effective protection.</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33"/>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The next chapter will address the matter of international legal personality and social responsibility of corporations referring to concepts of international criminal law and corporate governance. </w:t>
      </w:r>
    </w:p>
    <w:p w14:paraId="618901FB" w14:textId="77777777" w:rsidR="00FC66EE" w:rsidRDefault="00FC66EE" w:rsidP="002A5DE6">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p>
    <w:p w14:paraId="732918F1"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F2"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b/>
          <w:bCs/>
          <w:shd w:val="clear" w:color="auto" w:fill="FFFFFF"/>
          <w:lang w:val="en-US"/>
          <w14:textOutline w14:w="12700" w14:cap="flat" w14:cmpd="sng" w14:algn="ctr">
            <w14:noFill/>
            <w14:prstDash w14:val="solid"/>
            <w14:miter w14:lim="400000"/>
          </w14:textOutline>
        </w:rPr>
        <w:lastRenderedPageBreak/>
        <w:t>Chapter IV Accountability of Corporations</w:t>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F3"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F4" w14:textId="77777777" w:rsidR="003B207D" w:rsidRPr="006A43BB" w:rsidRDefault="00C96635" w:rsidP="006A43BB">
      <w:pPr>
        <w:pStyle w:val="Body"/>
        <w:spacing w:line="360" w:lineRule="auto"/>
        <w:jc w:val="both"/>
        <w:rPr>
          <w:rStyle w:val="None"/>
          <w:rFonts w:cs="Times New Roman"/>
          <w:b/>
          <w:bCs/>
          <w:shd w:val="clear" w:color="auto" w:fill="FFFFFF"/>
          <w14:textOutline w14:w="12700" w14:cap="flat" w14:cmpd="sng" w14:algn="ctr">
            <w14:noFill/>
            <w14:prstDash w14:val="solid"/>
            <w14:miter w14:lim="400000"/>
          </w14:textOutline>
        </w:rPr>
      </w:pPr>
      <w:r w:rsidRPr="006A43BB">
        <w:rPr>
          <w:rStyle w:val="None"/>
          <w:rFonts w:cs="Times New Roman"/>
          <w:b/>
          <w:bCs/>
          <w:shd w:val="clear" w:color="auto" w:fill="FFFFFF"/>
          <w14:textOutline w14:w="12700" w14:cap="flat" w14:cmpd="sng" w14:algn="ctr">
            <w14:noFill/>
            <w14:prstDash w14:val="solid"/>
            <w14:miter w14:lim="400000"/>
          </w14:textOutline>
        </w:rPr>
        <w:t xml:space="preserve">4.1 Introduction </w:t>
      </w:r>
    </w:p>
    <w:p w14:paraId="732918F5" w14:textId="77777777" w:rsidR="003B207D" w:rsidRPr="006A43BB" w:rsidRDefault="003B207D" w:rsidP="006A43BB">
      <w:pPr>
        <w:pStyle w:val="Body"/>
        <w:spacing w:line="360" w:lineRule="auto"/>
        <w:jc w:val="both"/>
        <w:rPr>
          <w:rStyle w:val="None"/>
          <w:rFonts w:cs="Times New Roman"/>
          <w:b/>
          <w:bCs/>
          <w:shd w:val="clear" w:color="auto" w:fill="FFFFFF"/>
          <w14:textOutline w14:w="12700" w14:cap="flat" w14:cmpd="sng" w14:algn="ctr">
            <w14:noFill/>
            <w14:prstDash w14:val="solid"/>
            <w14:miter w14:lim="400000"/>
          </w14:textOutline>
        </w:rPr>
      </w:pPr>
    </w:p>
    <w:p w14:paraId="732918F6" w14:textId="4FA25F6E"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Transnational Corporations are well-established institutions in international economic relations </w:t>
      </w:r>
      <w:r w:rsidR="00787421">
        <w:rPr>
          <w:rStyle w:val="None"/>
          <w:rFonts w:cs="Times New Roman"/>
          <w:shd w:val="clear" w:color="auto" w:fill="FFFFFF"/>
          <w:lang w:val="en-US"/>
          <w14:textOutline w14:w="12700" w14:cap="flat" w14:cmpd="sng" w14:algn="ctr">
            <w14:noFill/>
            <w14:prstDash w14:val="solid"/>
            <w14:miter w14:lim="400000"/>
          </w14:textOutline>
        </w:rPr>
        <w:t>that</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exercise a remarkable power and influence over social and economic policy. Even considering that corporations can</w:t>
      </w:r>
      <w:r w:rsidRPr="00E37703">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t replace states in terms of official power, activities of corporations still have a considerable influence in international policy development.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34"/>
      </w:r>
    </w:p>
    <w:p w14:paraId="732918F7"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F8" w14:textId="6F6F1AA5" w:rsidR="003B207D"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The growth of universal human rights and global economic order has gone through several important developments. The first development was the de-</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colonisation</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in particular during the postwar period. The achievement of statehood by a number of former colonies provided them with the opportunity to engage in international relations and effectively exercise the right to self-determination.</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35"/>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The second important development was the fast increase in the number of international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organisations</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such as the UN, the World Bank, the OECD, the ILO with the focus on the development of global economy and human rights.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36"/>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The final and the most important development was the escalation of power and international presence of TNC</w:t>
      </w:r>
      <w:r w:rsidRPr="00E37703">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s. Nowadays, the economic power of corporations became increasingly strong with a huge impact on political decision-making. However, with the great power comes great responsibility and the nature of that responsibility remains controversial.</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37"/>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145E0EDA" w14:textId="776C6BAD" w:rsidR="00146AB5" w:rsidRDefault="00146AB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FA" w14:textId="1BA46463" w:rsidR="003B207D" w:rsidRDefault="00146AB5" w:rsidP="00E37703">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Pr>
          <w:rStyle w:val="None"/>
          <w:rFonts w:cs="Times New Roman"/>
          <w:shd w:val="clear" w:color="auto" w:fill="FFFFFF"/>
          <w14:textOutline w14:w="12700" w14:cap="flat" w14:cmpd="sng" w14:algn="ctr">
            <w14:noFill/>
            <w14:prstDash w14:val="solid"/>
            <w14:miter w14:lim="400000"/>
          </w14:textOutline>
        </w:rPr>
        <w:t xml:space="preserve">There is </w:t>
      </w:r>
      <w:r w:rsidR="005035A3">
        <w:rPr>
          <w:rStyle w:val="None"/>
          <w:rFonts w:cs="Times New Roman"/>
          <w:shd w:val="clear" w:color="auto" w:fill="FFFFFF"/>
          <w14:textOutline w14:w="12700" w14:cap="flat" w14:cmpd="sng" w14:algn="ctr">
            <w14:noFill/>
            <w14:prstDash w14:val="solid"/>
            <w14:miter w14:lim="400000"/>
          </w14:textOutline>
        </w:rPr>
        <w:t xml:space="preserve">uniform approach and clear guidance on how </w:t>
      </w:r>
      <w:r w:rsidR="00C96635" w:rsidRPr="006A43BB">
        <w:rPr>
          <w:rStyle w:val="None"/>
          <w:rFonts w:cs="Times New Roman"/>
          <w:shd w:val="clear" w:color="auto" w:fill="FFFFFF"/>
          <w:lang w:val="en-US"/>
          <w14:textOutline w14:w="12700" w14:cap="flat" w14:cmpd="sng" w14:algn="ctr">
            <w14:noFill/>
            <w14:prstDash w14:val="solid"/>
            <w14:miter w14:lim="400000"/>
          </w14:textOutline>
        </w:rPr>
        <w:t>to differentiate this responsibilities, and most importantly, how to hold corporations accountable at the international level.</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38"/>
      </w:r>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 Corporate social responsibility is based on the argument that business has duties towards society at large and beyond profit maximization.</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39"/>
      </w:r>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 In addition to corporate social responsibility, a particular attention needs to be paid to the role of domestic law that will be discussed later in this chapter. </w:t>
      </w:r>
    </w:p>
    <w:p w14:paraId="32F35DD5" w14:textId="3D63763E" w:rsidR="00332F22" w:rsidRDefault="00332F22" w:rsidP="00E37703">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p>
    <w:p w14:paraId="2BBBF567" w14:textId="77777777" w:rsidR="00332F22" w:rsidRPr="005237F9" w:rsidRDefault="00332F22" w:rsidP="00E37703">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FB"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FC" w14:textId="77777777" w:rsidR="003B207D" w:rsidRPr="006A43BB" w:rsidRDefault="00C96635" w:rsidP="006A43BB">
      <w:pPr>
        <w:pStyle w:val="Body"/>
        <w:spacing w:line="360" w:lineRule="auto"/>
        <w:jc w:val="both"/>
        <w:rPr>
          <w:rStyle w:val="None"/>
          <w:rFonts w:cs="Times New Roman"/>
          <w:b/>
          <w:bCs/>
          <w:shd w:val="clear" w:color="auto" w:fill="FFFFFF"/>
          <w14:textOutline w14:w="12700" w14:cap="flat" w14:cmpd="sng" w14:algn="ctr">
            <w14:noFill/>
            <w14:prstDash w14:val="solid"/>
            <w14:miter w14:lim="400000"/>
          </w14:textOutline>
        </w:rPr>
      </w:pPr>
      <w:r w:rsidRPr="006A43BB">
        <w:rPr>
          <w:rStyle w:val="None"/>
          <w:rFonts w:cs="Times New Roman"/>
          <w:b/>
          <w:bCs/>
          <w:shd w:val="clear" w:color="auto" w:fill="FFFFFF"/>
          <w:lang w:val="en-US"/>
          <w14:textOutline w14:w="12700" w14:cap="flat" w14:cmpd="sng" w14:algn="ctr">
            <w14:noFill/>
            <w14:prstDash w14:val="solid"/>
            <w14:miter w14:lim="400000"/>
          </w14:textOutline>
        </w:rPr>
        <w:lastRenderedPageBreak/>
        <w:t xml:space="preserve">4.2 Corporate Social Responsibility </w:t>
      </w:r>
    </w:p>
    <w:p w14:paraId="732918FD"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8FE"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Milton Friedman once said that </w:t>
      </w:r>
      <w:r w:rsidRPr="00C10B8B">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the social responsibility of business is to increase its profits</w:t>
      </w:r>
      <w:r w:rsidRPr="00C10B8B">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40"/>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Due to the fast grow of corporate enterprise, public expectations in terms of the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behaviour</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of companies have grown substantially as well. However, should companies follow the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Friedma</w:t>
      </w:r>
      <w:proofErr w:type="spellEnd"/>
      <w:r w:rsidRPr="006A43BB">
        <w:rPr>
          <w:rStyle w:val="None"/>
          <w:rFonts w:cs="Times New Roman"/>
          <w:shd w:val="clear" w:color="auto" w:fill="FFFFFF"/>
          <w14:textOutline w14:w="12700" w14:cap="flat" w14:cmpd="sng" w14:algn="ctr">
            <w14:noFill/>
            <w14:prstDash w14:val="solid"/>
            <w14:miter w14:lim="400000"/>
          </w14:textOutline>
        </w:rPr>
        <w:t>n</w:t>
      </w:r>
      <w:r w:rsidRPr="00C10B8B">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s protocol or should they go beyond?</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41"/>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8FF"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00" w14:textId="7B774B7C"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In order to answer this question, it is worth to begin with examination of what is considered by company identity. First of all, it is a property, a collection of assets owned by shareholders who receiving benefits equivalent to the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maximisation</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of profits. Rights of shareholders are not absolute.</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42"/>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Firstly, the exercise of those rights have a moral dimension that demands questioning of the extent to which the interests of company and shareholders are pursued and balanced with the interests of society.</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43"/>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Secondly, the perspective or company can be recognized as social actors whose policies have a huge implications for those who involved in the violations indirectly.</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44"/>
      </w:r>
    </w:p>
    <w:p w14:paraId="73291901"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02"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Howard Bowen, well-known </w:t>
      </w:r>
      <w:r w:rsidRPr="00C10B8B">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father of corporate social responsibility</w:t>
      </w:r>
      <w:r w:rsidRPr="00C10B8B">
        <w:rPr>
          <w:rStyle w:val="None"/>
          <w:rFonts w:cs="Times New Roman"/>
          <w:shd w:val="clear" w:color="auto" w:fill="FFFFFF"/>
          <w:rtl/>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once wrote: </w:t>
      </w:r>
    </w:p>
    <w:p w14:paraId="73291903"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04"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C10B8B">
        <w:rPr>
          <w:rStyle w:val="None"/>
          <w:rFonts w:cs="Times New Roman"/>
          <w:i/>
          <w:iCs/>
          <w:shd w:val="clear" w:color="auto" w:fill="FFFFFF"/>
          <w:rtl/>
          <w14:textOutline w14:w="12700" w14:cap="flat" w14:cmpd="sng" w14:algn="ctr">
            <w14:noFill/>
            <w14:prstDash w14:val="solid"/>
            <w14:miter w14:lim="400000"/>
          </w14:textOutline>
        </w:rPr>
        <w:t>‘</w:t>
      </w:r>
      <w:r w:rsidRPr="006A43BB">
        <w:rPr>
          <w:rStyle w:val="None"/>
          <w:rFonts w:cs="Times New Roman"/>
          <w:i/>
          <w:iCs/>
          <w:shd w:val="clear" w:color="auto" w:fill="FFFFFF"/>
          <w:lang w:val="en-US"/>
          <w14:textOutline w14:w="12700" w14:cap="flat" w14:cmpd="sng" w14:algn="ctr">
            <w14:noFill/>
            <w14:prstDash w14:val="solid"/>
            <w14:miter w14:lim="400000"/>
          </w14:textOutline>
        </w:rPr>
        <w:t>The day when profit maximization was the sole creation of business success is rapidly fading. We are entering an era when private business will be judged solely in terms of its demonstrable contribution to the general welfare</w:t>
      </w:r>
      <w:r w:rsidRPr="006A43BB">
        <w:rPr>
          <w:rStyle w:val="None"/>
          <w:rFonts w:cs="Times New Roman"/>
          <w:shd w:val="clear" w:color="auto" w:fill="FFFFFF"/>
          <w14:textOutline w14:w="12700" w14:cap="flat" w14:cmpd="sng" w14:algn="ctr">
            <w14:noFill/>
            <w14:prstDash w14:val="solid"/>
            <w14:miter w14:lim="400000"/>
          </w14:textOutline>
        </w:rPr>
        <w:t>.</w:t>
      </w:r>
      <w:r w:rsidRPr="00C10B8B">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45"/>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905"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06"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Remarkably, this idea has been rejected by Milton Friedman who argued in support of free economy and stated that </w:t>
      </w:r>
      <w:r w:rsidRPr="00C10B8B">
        <w:rPr>
          <w:rStyle w:val="None"/>
          <w:rFonts w:cs="Times New Roman"/>
          <w:i/>
          <w:iCs/>
          <w:shd w:val="clear" w:color="auto" w:fill="FFFFFF"/>
          <w:rtl/>
          <w14:textOutline w14:w="12700" w14:cap="flat" w14:cmpd="sng" w14:algn="ctr">
            <w14:noFill/>
            <w14:prstDash w14:val="solid"/>
            <w14:miter w14:lim="400000"/>
          </w14:textOutline>
        </w:rPr>
        <w:t>‘</w:t>
      </w:r>
      <w:r w:rsidRPr="006A43BB">
        <w:rPr>
          <w:rStyle w:val="None"/>
          <w:rFonts w:cs="Times New Roman"/>
          <w:i/>
          <w:iCs/>
          <w:shd w:val="clear" w:color="auto" w:fill="FFFFFF"/>
          <w:lang w:val="en-US"/>
          <w14:textOutline w14:w="12700" w14:cap="flat" w14:cmpd="sng" w14:algn="ctr">
            <w14:noFill/>
            <w14:prstDash w14:val="solid"/>
            <w14:miter w14:lim="400000"/>
          </w14:textOutline>
        </w:rPr>
        <w:t>there is one and only one social responsibility of business - to use its resources and engage in activities designed to increase its profits so long as it stays within the rules of the game which is to say, engages in open and free competition, without deception or fraud</w:t>
      </w:r>
      <w:r w:rsidRPr="00C10B8B">
        <w:rPr>
          <w:rStyle w:val="None"/>
          <w:rFonts w:cs="Times New Roman"/>
          <w:i/>
          <w:iCs/>
          <w:shd w:val="clear" w:color="auto" w:fill="FFFFFF"/>
          <w:rtl/>
          <w14:textOutline w14:w="12700" w14:cap="flat" w14:cmpd="sng" w14:algn="ctr">
            <w14:noFill/>
            <w14:prstDash w14:val="solid"/>
            <w14:miter w14:lim="400000"/>
          </w14:textOutline>
        </w:rPr>
        <w:t>’</w:t>
      </w:r>
      <w:r w:rsidRPr="006A43BB">
        <w:rPr>
          <w:rStyle w:val="None"/>
          <w:rFonts w:cs="Times New Roman"/>
          <w:i/>
          <w:iCs/>
          <w:shd w:val="clear" w:color="auto" w:fill="FFFFFF"/>
          <w14:textOutline w14:w="12700" w14:cap="flat" w14:cmpd="sng" w14:algn="ctr">
            <w14:noFill/>
            <w14:prstDash w14:val="solid"/>
            <w14:miter w14:lim="400000"/>
          </w14:textOutline>
        </w:rPr>
        <w:t>.</w:t>
      </w:r>
      <w:r w:rsidRPr="006A43BB">
        <w:rPr>
          <w:rStyle w:val="None"/>
          <w:rFonts w:cs="Times New Roman"/>
          <w:i/>
          <w:iCs/>
          <w:shd w:val="clear" w:color="auto" w:fill="FFFFFF"/>
          <w:vertAlign w:val="superscript"/>
          <w14:textOutline w14:w="12700" w14:cap="flat" w14:cmpd="sng" w14:algn="ctr">
            <w14:noFill/>
            <w14:prstDash w14:val="solid"/>
            <w14:miter w14:lim="400000"/>
          </w14:textOutline>
        </w:rPr>
        <w:footnoteReference w:id="146"/>
      </w:r>
    </w:p>
    <w:p w14:paraId="73291907"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08" w14:textId="12831A5E"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lastRenderedPageBreak/>
        <w:t xml:space="preserve">It is hard to define notion of corporate social responsibility (hereinafter </w:t>
      </w:r>
      <w:r w:rsidRPr="00567790">
        <w:rPr>
          <w:rStyle w:val="None"/>
          <w:rFonts w:cs="Times New Roman"/>
          <w:shd w:val="clear" w:color="auto" w:fill="FFFFFF"/>
          <w:rtl/>
          <w14:textOutline w14:w="12700" w14:cap="flat" w14:cmpd="sng" w14:algn="ctr">
            <w14:noFill/>
            <w14:prstDash w14:val="solid"/>
            <w14:miter w14:lim="400000"/>
          </w14:textOutline>
        </w:rPr>
        <w:t xml:space="preserve"> </w:t>
      </w:r>
      <w:r w:rsidR="009D716E">
        <w:rPr>
          <w:rStyle w:val="None"/>
          <w:rFonts w:cs="Times New Roman" w:hint="cs"/>
          <w:shd w:val="clear" w:color="auto" w:fill="FFFFFF"/>
          <w:rtl/>
          <w14:textOutline w14:w="12700" w14:cap="flat" w14:cmpd="sng" w14:algn="ctr">
            <w14:noFill/>
            <w14:prstDash w14:val="solid"/>
            <w14:miter w14:lim="400000"/>
          </w14:textOutline>
        </w:rPr>
        <w:t>-</w:t>
      </w:r>
      <w:r w:rsidRPr="00567790">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14:textOutline w14:w="12700" w14:cap="flat" w14:cmpd="sng" w14:algn="ctr">
            <w14:noFill/>
            <w14:prstDash w14:val="solid"/>
            <w14:miter w14:lim="400000"/>
          </w14:textOutline>
        </w:rPr>
        <w:t>CSR</w:t>
      </w:r>
      <w:r w:rsidRPr="00567790">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According to the definition provided by the EU Commission in 2001, CSR can be defined as </w:t>
      </w:r>
      <w:r w:rsidRPr="00567790">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i/>
          <w:iCs/>
          <w:shd w:val="clear" w:color="auto" w:fill="FFFFFF"/>
          <w:lang w:val="en-US"/>
          <w14:textOutline w14:w="12700" w14:cap="flat" w14:cmpd="sng" w14:algn="ctr">
            <w14:noFill/>
            <w14:prstDash w14:val="solid"/>
            <w14:miter w14:lim="400000"/>
          </w14:textOutline>
        </w:rPr>
        <w:t>a concept whereby companies integrate social and environmental concerns in their business operations and in their interaction with their stakeholders on a voluntary basis.</w:t>
      </w:r>
      <w:r w:rsidRPr="006A43BB">
        <w:rPr>
          <w:rStyle w:val="None"/>
          <w:rFonts w:cs="Times New Roman"/>
          <w:i/>
          <w:iCs/>
          <w:shd w:val="clear" w:color="auto" w:fill="FFFFFF"/>
          <w:rtl/>
          <w14:textOutline w14:w="12700" w14:cap="flat" w14:cmpd="sng" w14:algn="ctr">
            <w14:noFill/>
            <w14:prstDash w14:val="solid"/>
            <w14:miter w14:lim="400000"/>
          </w14:textOutline>
        </w:rPr>
        <w:t>’</w:t>
      </w:r>
      <w:r w:rsidRPr="006A43BB">
        <w:rPr>
          <w:rStyle w:val="None"/>
          <w:rFonts w:cs="Times New Roman"/>
          <w:i/>
          <w:iCs/>
          <w:shd w:val="clear" w:color="auto" w:fill="FFFFFF"/>
          <w:vertAlign w:val="superscript"/>
          <w14:textOutline w14:w="12700" w14:cap="flat" w14:cmpd="sng" w14:algn="ctr">
            <w14:noFill/>
            <w14:prstDash w14:val="solid"/>
            <w14:miter w14:lim="400000"/>
          </w14:textOutline>
        </w:rPr>
        <w:footnoteReference w:id="147"/>
      </w:r>
      <w:r w:rsidRPr="006A43BB">
        <w:rPr>
          <w:rStyle w:val="None"/>
          <w:rFonts w:cs="Times New Roman"/>
          <w:i/>
          <w:iCs/>
          <w:shd w:val="clear" w:color="auto" w:fill="FFFFFF"/>
          <w14:textOutline w14:w="12700" w14:cap="flat" w14:cmpd="sng" w14:algn="ctr">
            <w14:noFill/>
            <w14:prstDash w14:val="solid"/>
            <w14:miter w14:lim="400000"/>
          </w14:textOutline>
        </w:rPr>
        <w:t xml:space="preserve"> Later</w:t>
      </w:r>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 on  this definition has been revised and included concept of accountability, in particular </w:t>
      </w:r>
      <w:r w:rsidRPr="006A43BB">
        <w:rPr>
          <w:rStyle w:val="None"/>
          <w:rFonts w:cs="Times New Roman"/>
          <w:i/>
          <w:iCs/>
          <w:shd w:val="clear" w:color="auto" w:fill="FFFFFF"/>
          <w:rtl/>
          <w14:textOutline w14:w="12700" w14:cap="flat" w14:cmpd="sng" w14:algn="ctr">
            <w14:noFill/>
            <w14:prstDash w14:val="solid"/>
            <w14:miter w14:lim="400000"/>
          </w14:textOutline>
        </w:rPr>
        <w:t>‘</w:t>
      </w:r>
      <w:r w:rsidRPr="006A43BB">
        <w:rPr>
          <w:rStyle w:val="None"/>
          <w:rFonts w:cs="Times New Roman"/>
          <w:i/>
          <w:iCs/>
          <w:shd w:val="clear" w:color="auto" w:fill="FFFFFF"/>
          <w:lang w:val="en-US"/>
          <w14:textOutline w14:w="12700" w14:cap="flat" w14:cmpd="sng" w14:algn="ctr">
            <w14:noFill/>
            <w14:prstDash w14:val="solid"/>
            <w14:miter w14:lim="400000"/>
          </w14:textOutline>
        </w:rPr>
        <w:t>the responsibility of enterprises for their impacts on society</w:t>
      </w:r>
      <w:r w:rsidRPr="006A43BB">
        <w:rPr>
          <w:rStyle w:val="None"/>
          <w:rFonts w:cs="Times New Roman"/>
          <w:i/>
          <w:iCs/>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48"/>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However, this definition was not universally accepted. </w:t>
      </w:r>
    </w:p>
    <w:p w14:paraId="73291909"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0A" w14:textId="4A9751EF"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There were many attempts to define accountability of corporations, which is different from the notion of accountability of public actors.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49"/>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For instance,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Bovens</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distinguishes between accountability as a mechanism, on the one hand,  and accountability as a </w:t>
      </w:r>
      <w:r w:rsidR="0067665C">
        <w:rPr>
          <w:rStyle w:val="None"/>
          <w:rFonts w:cs="Times New Roman"/>
          <w:shd w:val="clear" w:color="auto" w:fill="FFFFFF"/>
          <w:lang w:val="en-US"/>
          <w14:textOutline w14:w="12700" w14:cap="flat" w14:cmpd="sng" w14:algn="ctr">
            <w14:noFill/>
            <w14:prstDash w14:val="solid"/>
            <w14:miter w14:lim="400000"/>
          </w14:textOutline>
        </w:rPr>
        <w:t xml:space="preserve">virtue </w:t>
      </w:r>
      <w:r w:rsidRPr="006A43BB">
        <w:rPr>
          <w:rStyle w:val="None"/>
          <w:rFonts w:cs="Times New Roman"/>
          <w:shd w:val="clear" w:color="auto" w:fill="FFFFFF"/>
          <w:lang w:val="en-US"/>
          <w14:textOutline w14:w="12700" w14:cap="flat" w14:cmpd="sng" w14:algn="ctr">
            <w14:noFill/>
            <w14:prstDash w14:val="solid"/>
            <w14:miter w14:lim="400000"/>
          </w14:textOutline>
        </w:rPr>
        <w:t>on the other.</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50"/>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This framework can be considered as a valuable tool of how corporations should behave, in particular be transparent and respect human rights.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51"/>
      </w:r>
    </w:p>
    <w:p w14:paraId="7329190B"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0C"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When it comes to accountability as a mechanism to protect human rights, the accountability gap becomes more clear. The human rights responsibilities of corporations are unclear and there is a lack of transparency in relation to its operation. The absence of accountability can be described considering three main factors. First, TNC</w:t>
      </w:r>
      <w:r w:rsidRPr="00567790">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s usually become involved in human rights violations as accomplices of the host states. In such cases, the courts at the host states are usually not providing victims with remedies accompanied by weak enforcement mechanisms. Second, it is almost impossible for victims to receive access to remedies in countries of registration of the parent company. Third, the absence of  mechanism to hold corporations directly accountable for human rights violations at the international level.</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52"/>
      </w:r>
      <w:r w:rsidRPr="006A43BB">
        <w:rPr>
          <w:rStyle w:val="None"/>
          <w:rFonts w:cs="Times New Roman"/>
          <w:shd w:val="clear" w:color="auto" w:fill="FFFFFF"/>
          <w14:textOutline w14:w="12700" w14:cap="flat" w14:cmpd="sng" w14:algn="ctr">
            <w14:noFill/>
            <w14:prstDash w14:val="solid"/>
            <w14:miter w14:lim="400000"/>
          </w14:textOutline>
        </w:rPr>
        <w:br/>
      </w:r>
    </w:p>
    <w:p w14:paraId="14C761D5" w14:textId="2A2F1C4B" w:rsidR="00D5401B" w:rsidRDefault="00C96635" w:rsidP="00D5401B">
      <w:pPr>
        <w:pStyle w:val="Body"/>
        <w:spacing w:line="360" w:lineRule="auto"/>
        <w:jc w:val="both"/>
        <w:rPr>
          <w:rStyle w:val="None"/>
          <w:rFonts w:cs="Times New Roman"/>
          <w:i/>
          <w:iCs/>
          <w:shd w:val="clear" w:color="auto" w:fill="FFFFFF"/>
          <w:lang w:val="en-US"/>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In support of social responsibility, some scholars argue that corporations could be considered as social organs. For example,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Bradspies</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wrote that corporations are organs of society that </w:t>
      </w:r>
      <w:r w:rsidRPr="00567790">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own property, pay taxes; consume raw materials; generate goods; services and wastes; and play central role in the lives of their workers and customers</w:t>
      </w:r>
      <w:r w:rsidRPr="00D5401B">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53"/>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Thus, corporations as moral </w:t>
      </w:r>
      <w:r w:rsidRPr="006A43BB">
        <w:rPr>
          <w:rStyle w:val="None"/>
          <w:rFonts w:cs="Times New Roman"/>
          <w:shd w:val="clear" w:color="auto" w:fill="FFFFFF"/>
          <w:lang w:val="en-US"/>
          <w14:textOutline w14:w="12700" w14:cap="flat" w14:cmpd="sng" w14:algn="ctr">
            <w14:noFill/>
            <w14:prstDash w14:val="solid"/>
            <w14:miter w14:lim="400000"/>
          </w14:textOutline>
        </w:rPr>
        <w:lastRenderedPageBreak/>
        <w:t>agents and social organs have to comply with basic legal and moral norms and have human rights responsibilities that are based on ethical custom and morality.</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54"/>
      </w:r>
      <w:r w:rsidRPr="006A43BB">
        <w:rPr>
          <w:rStyle w:val="None"/>
          <w:rFonts w:cs="Times New Roman"/>
          <w:sz w:val="22"/>
          <w:szCs w:val="22"/>
          <w:shd w:val="clear" w:color="auto" w:fill="FFFFFF"/>
          <w:lang w:val="en-US"/>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In this context, it is important to refer to the neighbor principle established in the </w:t>
      </w:r>
      <w:r w:rsidRPr="006A43BB">
        <w:rPr>
          <w:rStyle w:val="None"/>
          <w:rFonts w:cs="Times New Roman"/>
          <w:shd w:val="clear" w:color="auto" w:fill="FFFFFF"/>
          <w14:textOutline w14:w="12700" w14:cap="flat" w14:cmpd="sng" w14:algn="ctr">
            <w14:noFill/>
            <w14:prstDash w14:val="solid"/>
            <w14:miter w14:lim="400000"/>
          </w14:textOutline>
        </w:rPr>
        <w:t>Donoghue v. Stevenson case.</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55"/>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In particular, Lord Atkin introduced famous principle and formulated it as follows: </w:t>
      </w:r>
      <w:r w:rsidR="00D5401B">
        <w:rPr>
          <w:rStyle w:val="None"/>
          <w:rFonts w:cs="Times New Roman" w:hint="cs"/>
          <w:i/>
          <w:iCs/>
          <w:shd w:val="clear" w:color="auto" w:fill="FFFFFF"/>
          <w:rtl/>
          <w:lang w:val="ar-SA"/>
          <w14:textOutline w14:w="12700" w14:cap="flat" w14:cmpd="sng" w14:algn="ctr">
            <w14:noFill/>
            <w14:prstDash w14:val="solid"/>
            <w14:miter w14:lim="400000"/>
          </w14:textOutline>
        </w:rPr>
        <w:t>''</w:t>
      </w:r>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The rule that you are to love your </w:t>
      </w:r>
      <w:proofErr w:type="spellStart"/>
      <w:r w:rsidRPr="006A43BB">
        <w:rPr>
          <w:rStyle w:val="None"/>
          <w:rFonts w:cs="Times New Roman"/>
          <w:i/>
          <w:iCs/>
          <w:shd w:val="clear" w:color="auto" w:fill="FFFFFF"/>
          <w:lang w:val="en-US"/>
          <w14:textOutline w14:w="12700" w14:cap="flat" w14:cmpd="sng" w14:algn="ctr">
            <w14:noFill/>
            <w14:prstDash w14:val="solid"/>
            <w14:miter w14:lim="400000"/>
          </w14:textOutline>
        </w:rPr>
        <w:t>neighbour</w:t>
      </w:r>
      <w:proofErr w:type="spellEnd"/>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 becomes in law, you must not injure your </w:t>
      </w:r>
      <w:proofErr w:type="spellStart"/>
      <w:r w:rsidRPr="006A43BB">
        <w:rPr>
          <w:rStyle w:val="None"/>
          <w:rFonts w:cs="Times New Roman"/>
          <w:i/>
          <w:iCs/>
          <w:shd w:val="clear" w:color="auto" w:fill="FFFFFF"/>
          <w:lang w:val="en-US"/>
          <w14:textOutline w14:w="12700" w14:cap="flat" w14:cmpd="sng" w14:algn="ctr">
            <w14:noFill/>
            <w14:prstDash w14:val="solid"/>
            <w14:miter w14:lim="400000"/>
          </w14:textOutline>
        </w:rPr>
        <w:t>neighbour</w:t>
      </w:r>
      <w:proofErr w:type="spellEnd"/>
      <w:r w:rsidRPr="006A43BB">
        <w:rPr>
          <w:rStyle w:val="None"/>
          <w:rFonts w:cs="Times New Roman"/>
          <w:i/>
          <w:iCs/>
          <w:shd w:val="clear" w:color="auto" w:fill="FFFFFF"/>
          <w:lang w:val="en-US"/>
          <w14:textOutline w14:w="12700" w14:cap="flat" w14:cmpd="sng" w14:algn="ctr">
            <w14:noFill/>
            <w14:prstDash w14:val="solid"/>
            <w14:miter w14:lim="400000"/>
          </w14:textOutline>
        </w:rPr>
        <w:t>;... you must take reasonable care to avoid acts or omissions which you can reasonably foresee would</w:t>
      </w:r>
      <w:r w:rsidR="00D5401B">
        <w:rPr>
          <w:rStyle w:val="None"/>
          <w:rFonts w:cs="Times New Roman"/>
          <w:i/>
          <w:iCs/>
          <w:shd w:val="clear" w:color="auto" w:fill="FFFFFF"/>
          <w:lang w:val="en-US"/>
          <w14:textOutline w14:w="12700" w14:cap="flat" w14:cmpd="sng" w14:algn="ctr">
            <w14:noFill/>
            <w14:prstDash w14:val="solid"/>
            <w14:miter w14:lim="400000"/>
          </w14:textOutline>
        </w:rPr>
        <w:t xml:space="preserve"> be likely to injure your </w:t>
      </w:r>
      <w:proofErr w:type="spellStart"/>
      <w:r w:rsidR="00D5401B">
        <w:rPr>
          <w:rStyle w:val="None"/>
          <w:rFonts w:cs="Times New Roman"/>
          <w:i/>
          <w:iCs/>
          <w:shd w:val="clear" w:color="auto" w:fill="FFFFFF"/>
          <w:lang w:val="en-US"/>
          <w14:textOutline w14:w="12700" w14:cap="flat" w14:cmpd="sng" w14:algn="ctr">
            <w14:noFill/>
            <w14:prstDash w14:val="solid"/>
            <w14:miter w14:lim="400000"/>
          </w14:textOutline>
        </w:rPr>
        <w:t>neighbour</w:t>
      </w:r>
      <w:proofErr w:type="spellEnd"/>
      <w:r w:rsidR="00D5401B">
        <w:rPr>
          <w:rStyle w:val="None"/>
          <w:rFonts w:cs="Times New Roman"/>
          <w:i/>
          <w:iCs/>
          <w:shd w:val="clear" w:color="auto" w:fill="FFFFFF"/>
          <w:lang w:val="en-US"/>
          <w14:textOutline w14:w="12700" w14:cap="flat" w14:cmpd="sng" w14:algn="ctr">
            <w14:noFill/>
            <w14:prstDash w14:val="solid"/>
            <w14:miter w14:lim="400000"/>
          </w14:textOutline>
        </w:rPr>
        <w:t>’.</w:t>
      </w:r>
      <w:r w:rsidR="00D5401B">
        <w:rPr>
          <w:rStyle w:val="FootnoteReference"/>
          <w:rFonts w:cs="Times New Roman"/>
          <w:i/>
          <w:iCs/>
          <w:shd w:val="clear" w:color="auto" w:fill="FFFFFF"/>
          <w:lang w:val="en-US"/>
          <w14:textOutline w14:w="12700" w14:cap="flat" w14:cmpd="sng" w14:algn="ctr">
            <w14:noFill/>
            <w14:prstDash w14:val="solid"/>
            <w14:miter w14:lim="400000"/>
          </w14:textOutline>
        </w:rPr>
        <w:footnoteReference w:id="156"/>
      </w:r>
    </w:p>
    <w:p w14:paraId="4F478721" w14:textId="77777777" w:rsidR="0023685D" w:rsidRDefault="0023685D" w:rsidP="00D5401B">
      <w:pPr>
        <w:pStyle w:val="Body"/>
        <w:spacing w:line="360" w:lineRule="auto"/>
        <w:jc w:val="both"/>
        <w:rPr>
          <w:rStyle w:val="None"/>
          <w:rFonts w:cs="Times New Roman"/>
          <w:i/>
          <w:iCs/>
          <w:shd w:val="clear" w:color="auto" w:fill="FFFFFF"/>
          <w:lang w:val="en-US"/>
          <w14:textOutline w14:w="12700" w14:cap="flat" w14:cmpd="sng" w14:algn="ctr">
            <w14:noFill/>
            <w14:prstDash w14:val="solid"/>
            <w14:miter w14:lim="400000"/>
          </w14:textOutline>
        </w:rPr>
      </w:pPr>
    </w:p>
    <w:p w14:paraId="73291910" w14:textId="22EFD88E" w:rsidR="003B207D" w:rsidRPr="006A43BB" w:rsidRDefault="00D5401B"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Pr>
          <w:rStyle w:val="None"/>
          <w:rFonts w:cs="Times New Roman"/>
          <w:shd w:val="clear" w:color="auto" w:fill="FFFFFF"/>
          <w:lang w:val="en-US"/>
          <w14:textOutline w14:w="12700" w14:cap="flat" w14:cmpd="sng" w14:algn="ctr">
            <w14:noFill/>
            <w14:prstDash w14:val="solid"/>
            <w14:miter w14:lim="400000"/>
          </w14:textOutline>
        </w:rPr>
        <w:t>B</w:t>
      </w:r>
      <w:r w:rsidR="00C96635" w:rsidRPr="006A43BB">
        <w:rPr>
          <w:rStyle w:val="None"/>
          <w:rFonts w:cs="Times New Roman"/>
          <w:shd w:val="clear" w:color="auto" w:fill="FFFFFF"/>
          <w:lang w:val="en-US"/>
          <w14:textOutline w14:w="12700" w14:cap="flat" w14:cmpd="sng" w14:algn="ctr">
            <w14:noFill/>
            <w14:prstDash w14:val="solid"/>
            <w14:miter w14:lim="400000"/>
          </w14:textOutline>
        </w:rPr>
        <w:t>usiness responsibilities for human rights has been also included in various regulatory initiatives discussed in previous chapters including corporate self-regulation. For example, one of the strongest examples is the UN Global Comact that focused on social responsibility towards workers</w:t>
      </w:r>
      <w:r w:rsidR="00C96635" w:rsidRPr="00D5401B">
        <w:rPr>
          <w:rStyle w:val="None"/>
          <w:rFonts w:cs="Times New Roman"/>
          <w:shd w:val="clear" w:color="auto" w:fill="FFFFFF"/>
          <w:rtl/>
          <w14:textOutline w14:w="12700" w14:cap="flat" w14:cmpd="sng" w14:algn="ctr">
            <w14:noFill/>
            <w14:prstDash w14:val="solid"/>
            <w14:miter w14:lim="400000"/>
          </w14:textOutline>
        </w:rPr>
        <w:t xml:space="preserve">’ </w:t>
      </w:r>
      <w:r w:rsidR="00C96635" w:rsidRPr="006A43BB">
        <w:rPr>
          <w:rStyle w:val="None"/>
          <w:rFonts w:cs="Times New Roman"/>
          <w:shd w:val="clear" w:color="auto" w:fill="FFFFFF"/>
          <w:lang w:val="en-US"/>
          <w14:textOutline w14:w="12700" w14:cap="flat" w14:cmpd="sng" w14:algn="ctr">
            <w14:noFill/>
            <w14:prstDash w14:val="solid"/>
            <w14:miter w14:lim="400000"/>
          </w14:textOutline>
        </w:rPr>
        <w:t>rights and human rights.</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57"/>
      </w:r>
      <w:r w:rsidR="00C96635" w:rsidRPr="006A43BB">
        <w:rPr>
          <w:rStyle w:val="None"/>
          <w:rFonts w:cs="Times New Roman"/>
          <w:shd w:val="clear" w:color="auto" w:fill="FFFFFF"/>
          <w:lang w:val="en-US"/>
          <w14:textOutline w14:w="12700" w14:cap="flat" w14:cmpd="sng" w14:algn="ctr">
            <w14:noFill/>
            <w14:prstDash w14:val="solid"/>
            <w14:miter w14:lim="400000"/>
          </w14:textOutline>
        </w:rPr>
        <w:t xml:space="preserve"> However, even considering various regulatory legal initiatives the CSR is often considered as voluntary and beyond law regulation. In 2011 the EU Commission produced a new strategy for the CSR for the EU. The new strategy suggested new definition for CSR that described it as something that </w:t>
      </w:r>
      <w:r w:rsidR="00C96635" w:rsidRPr="00D5401B">
        <w:rPr>
          <w:rStyle w:val="None"/>
          <w:rFonts w:cs="Times New Roman"/>
          <w:shd w:val="clear" w:color="auto" w:fill="FFFFFF"/>
          <w:rtl/>
          <w14:textOutline w14:w="12700" w14:cap="flat" w14:cmpd="sng" w14:algn="ctr">
            <w14:noFill/>
            <w14:prstDash w14:val="solid"/>
            <w14:miter w14:lim="400000"/>
          </w14:textOutline>
        </w:rPr>
        <w:t>‘</w:t>
      </w:r>
      <w:r w:rsidR="00C96635" w:rsidRPr="006A43BB">
        <w:rPr>
          <w:rStyle w:val="None"/>
          <w:rFonts w:cs="Times New Roman"/>
          <w:shd w:val="clear" w:color="auto" w:fill="FFFFFF"/>
          <w:lang w:val="en-US"/>
          <w14:textOutline w14:w="12700" w14:cap="flat" w14:cmpd="sng" w14:algn="ctr">
            <w14:noFill/>
            <w14:prstDash w14:val="solid"/>
            <w14:miter w14:lim="400000"/>
          </w14:textOutline>
        </w:rPr>
        <w:t>goes beyond legal compliance</w:t>
      </w:r>
      <w:r w:rsidR="00C96635" w:rsidRPr="006A43BB">
        <w:rPr>
          <w:rStyle w:val="None"/>
          <w:rFonts w:cs="Times New Roman"/>
          <w:shd w:val="clear" w:color="auto" w:fill="FFFFFF"/>
          <w14:textOutline w14:w="12700" w14:cap="flat" w14:cmpd="sng" w14:algn="ctr">
            <w14:noFill/>
            <w14:prstDash w14:val="solid"/>
            <w14:miter w14:lim="400000"/>
          </w14:textOutline>
        </w:rPr>
        <w:t>”.</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58"/>
      </w:r>
    </w:p>
    <w:p w14:paraId="73291911"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12"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The Universal Declaration of Human Rights (hereinafter </w:t>
      </w:r>
      <w:r w:rsidRPr="00D5401B">
        <w:rPr>
          <w:rStyle w:val="None"/>
          <w:rFonts w:cs="Times New Roman"/>
          <w:shd w:val="clear" w:color="auto" w:fill="FFFFFF"/>
          <w:rtl/>
          <w14:textOutline w14:w="12700" w14:cap="flat" w14:cmpd="sng" w14:algn="ctr">
            <w14:noFill/>
            <w14:prstDash w14:val="solid"/>
            <w14:miter w14:lim="400000"/>
          </w14:textOutline>
        </w:rPr>
        <w:t>– ‘</w:t>
      </w:r>
      <w:r w:rsidRPr="006A43BB">
        <w:rPr>
          <w:rStyle w:val="None"/>
          <w:rFonts w:cs="Times New Roman"/>
          <w:shd w:val="clear" w:color="auto" w:fill="FFFFFF"/>
          <w:lang w:val="en-US"/>
          <w14:textOutline w14:w="12700" w14:cap="flat" w14:cmpd="sng" w14:algn="ctr">
            <w14:noFill/>
            <w14:prstDash w14:val="solid"/>
            <w14:miter w14:lim="400000"/>
          </w14:textOutline>
        </w:rPr>
        <w:t>the UDHR</w:t>
      </w:r>
      <w:r w:rsidRPr="00D5401B">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 has suggested that all major moral traditions and cultures contain norms that support human rights.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59"/>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913"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14" w14:textId="665373BC"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Another important international convention is ILO Tripartite Declaration.</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60"/>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According to the ILO</w:t>
      </w:r>
      <w:r w:rsidR="00F1593B">
        <w:rPr>
          <w:rStyle w:val="None"/>
          <w:rFonts w:cs="Times New Roman"/>
          <w:shd w:val="clear" w:color="auto" w:fill="FFFFFF"/>
          <w:lang w:val="en-US"/>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Tripartite Declaration the importance of human rights in the context of social responsibility includes </w:t>
      </w:r>
      <w:r w:rsidRPr="00D5401B">
        <w:rPr>
          <w:rStyle w:val="None"/>
          <w:rFonts w:cs="Times New Roman"/>
          <w:i/>
          <w:iCs/>
          <w:shd w:val="clear" w:color="auto" w:fill="FFFFFF"/>
          <w:rtl/>
          <w14:textOutline w14:w="12700" w14:cap="flat" w14:cmpd="sng" w14:algn="ctr">
            <w14:noFill/>
            <w14:prstDash w14:val="solid"/>
            <w14:miter w14:lim="400000"/>
          </w14:textOutline>
        </w:rPr>
        <w:t>‘</w:t>
      </w:r>
      <w:r w:rsidRPr="006A43BB">
        <w:rPr>
          <w:rStyle w:val="None"/>
          <w:rFonts w:cs="Times New Roman"/>
          <w:i/>
          <w:iCs/>
          <w:shd w:val="clear" w:color="auto" w:fill="FFFFFF"/>
          <w:lang w:val="en-US"/>
          <w14:textOutline w14:w="12700" w14:cap="flat" w14:cmpd="sng" w14:algn="ctr">
            <w14:noFill/>
            <w14:prstDash w14:val="solid"/>
            <w14:miter w14:lim="400000"/>
          </w14:textOutline>
        </w:rPr>
        <w:t>the positive contribution which multinational enterprises  can make to economic and social progress</w:t>
      </w:r>
      <w:r w:rsidRPr="006A43BB">
        <w:rPr>
          <w:rStyle w:val="None"/>
          <w:rFonts w:cs="Times New Roman"/>
          <w:i/>
          <w:iCs/>
          <w:shd w:val="clear" w:color="auto" w:fill="FFFFFF"/>
          <w14:textOutline w14:w="12700" w14:cap="flat" w14:cmpd="sng" w14:algn="ctr">
            <w14:noFill/>
            <w14:prstDash w14:val="solid"/>
            <w14:miter w14:lim="400000"/>
          </w14:textOutline>
        </w:rPr>
        <w:t>…</w:t>
      </w:r>
      <w:r w:rsidRPr="006A43BB">
        <w:rPr>
          <w:rStyle w:val="None"/>
          <w:rFonts w:cs="Times New Roman"/>
          <w:i/>
          <w:iCs/>
          <w:shd w:val="clear" w:color="auto" w:fill="FFFFFF"/>
          <w:lang w:val="en-US"/>
          <w14:textOutline w14:w="12700" w14:cap="flat" w14:cmpd="sng" w14:algn="ctr">
            <w14:noFill/>
            <w14:prstDash w14:val="solid"/>
            <w14:miter w14:lim="400000"/>
          </w14:textOutline>
        </w:rPr>
        <w:t>and to minimize and resolve the difficulties to  which their various operations may give rise.</w:t>
      </w:r>
      <w:r w:rsidRPr="00D5401B">
        <w:rPr>
          <w:rStyle w:val="None"/>
          <w:rFonts w:cs="Times New Roman"/>
          <w:i/>
          <w:iCs/>
          <w:shd w:val="clear" w:color="auto" w:fill="FFFFFF"/>
          <w:rtl/>
          <w14:textOutline w14:w="12700" w14:cap="flat" w14:cmpd="sng" w14:algn="ctr">
            <w14:noFill/>
            <w14:prstDash w14:val="solid"/>
            <w14:miter w14:lim="400000"/>
          </w14:textOutline>
        </w:rPr>
        <w:t>’</w:t>
      </w:r>
      <w:r w:rsidRPr="006A43BB">
        <w:rPr>
          <w:rStyle w:val="None"/>
          <w:rFonts w:cs="Times New Roman"/>
          <w:i/>
          <w:iCs/>
          <w:shd w:val="clear" w:color="auto" w:fill="FFFFFF"/>
          <w:vertAlign w:val="superscript"/>
          <w14:textOutline w14:w="12700" w14:cap="flat" w14:cmpd="sng" w14:algn="ctr">
            <w14:noFill/>
            <w14:prstDash w14:val="solid"/>
            <w14:miter w14:lim="400000"/>
          </w14:textOutline>
        </w:rPr>
        <w:footnoteReference w:id="161"/>
      </w:r>
    </w:p>
    <w:p w14:paraId="73291915"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16" w14:textId="348BF140" w:rsidR="003B207D" w:rsidRPr="00673F2F" w:rsidRDefault="00C96635" w:rsidP="006A43BB">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lastRenderedPageBreak/>
        <w:t xml:space="preserve">The most important development of the Declaration was the emergence of </w:t>
      </w:r>
      <w:r w:rsidRPr="0023685D">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Protect, Respect, Remedy</w:t>
      </w:r>
      <w:r w:rsidRPr="0023685D">
        <w:rPr>
          <w:rStyle w:val="None"/>
          <w:rFonts w:cs="Times New Roman"/>
          <w:shd w:val="clear" w:color="auto" w:fill="FFFFFF"/>
          <w:rtl/>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framework that outlined specific responsibilities for companies, in particular </w:t>
      </w:r>
      <w:r w:rsidR="00673F2F">
        <w:rPr>
          <w:rStyle w:val="None"/>
          <w:rFonts w:cs="Times New Roman"/>
          <w:shd w:val="clear" w:color="auto" w:fill="FFFFFF"/>
          <w:lang w:val="en-US"/>
          <w14:textOutline w14:w="12700" w14:cap="flat" w14:cmpd="sng" w14:algn="ctr">
            <w14:noFill/>
            <w14:prstDash w14:val="solid"/>
            <w14:miter w14:lim="400000"/>
          </w14:textOutline>
        </w:rPr>
        <w:t>due diligence obligation to respect and protect human rights</w:t>
      </w:r>
      <w:r w:rsidRPr="006A43BB">
        <w:rPr>
          <w:rStyle w:val="None"/>
          <w:rFonts w:cs="Times New Roman"/>
          <w:shd w:val="clear" w:color="auto" w:fill="FFFFFF"/>
          <w:lang w:val="en-US"/>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62"/>
      </w:r>
    </w:p>
    <w:p w14:paraId="73291917" w14:textId="77777777" w:rsidR="003B207D" w:rsidRPr="006A43BB" w:rsidRDefault="003B207D" w:rsidP="006A43BB">
      <w:pPr>
        <w:pStyle w:val="Body"/>
        <w:spacing w:line="360" w:lineRule="auto"/>
        <w:jc w:val="both"/>
        <w:rPr>
          <w:rStyle w:val="None"/>
          <w:rFonts w:cs="Times New Roman"/>
          <w:i/>
          <w:iCs/>
          <w:shd w:val="clear" w:color="auto" w:fill="FFFFFF"/>
          <w14:textOutline w14:w="12700" w14:cap="flat" w14:cmpd="sng" w14:algn="ctr">
            <w14:noFill/>
            <w14:prstDash w14:val="solid"/>
            <w14:miter w14:lim="400000"/>
          </w14:textOutline>
        </w:rPr>
      </w:pPr>
    </w:p>
    <w:p w14:paraId="73291918" w14:textId="3EF00992" w:rsidR="003B207D" w:rsidRPr="006A43BB" w:rsidRDefault="000D7BE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Pr>
          <w:rStyle w:val="None"/>
          <w:rFonts w:cs="Times New Roman"/>
          <w:shd w:val="clear" w:color="auto" w:fill="FFFFFF"/>
          <w:lang w:val="en-US"/>
          <w14:textOutline w14:w="12700" w14:cap="flat" w14:cmpd="sng" w14:algn="ctr">
            <w14:noFill/>
            <w14:prstDash w14:val="solid"/>
            <w14:miter w14:lim="400000"/>
          </w14:textOutline>
        </w:rPr>
        <w:t>Moreover</w:t>
      </w:r>
      <w:r w:rsidR="00C96635" w:rsidRPr="006A43BB">
        <w:rPr>
          <w:rStyle w:val="None"/>
          <w:rFonts w:cs="Times New Roman"/>
          <w:shd w:val="clear" w:color="auto" w:fill="FFFFFF"/>
          <w:lang w:val="en-US"/>
          <w14:textOutline w14:w="12700" w14:cap="flat" w14:cmpd="sng" w14:algn="ctr">
            <w14:noFill/>
            <w14:prstDash w14:val="solid"/>
            <w14:miter w14:lim="400000"/>
          </w14:textOutline>
        </w:rPr>
        <w:t>, the absence of legal enforceability shows only aspirational nature of this document. TNC</w:t>
      </w:r>
      <w:r w:rsidR="00C96635" w:rsidRPr="0023685D">
        <w:rPr>
          <w:rStyle w:val="None"/>
          <w:rFonts w:cs="Times New Roman"/>
          <w:shd w:val="clear" w:color="auto" w:fill="FFFFFF"/>
          <w:rtl/>
          <w14:textOutline w14:w="12700" w14:cap="flat" w14:cmpd="sng" w14:algn="ctr">
            <w14:noFill/>
            <w14:prstDash w14:val="solid"/>
            <w14:miter w14:lim="400000"/>
          </w14:textOutline>
        </w:rPr>
        <w:t>’</w:t>
      </w:r>
      <w:r w:rsidR="00C96635" w:rsidRPr="006A43BB">
        <w:rPr>
          <w:rStyle w:val="None"/>
          <w:rFonts w:cs="Times New Roman"/>
          <w:shd w:val="clear" w:color="auto" w:fill="FFFFFF"/>
          <w14:textOutline w14:w="12700" w14:cap="flat" w14:cmpd="sng" w14:algn="ctr">
            <w14:noFill/>
            <w14:prstDash w14:val="solid"/>
            <w14:miter w14:lim="400000"/>
          </w14:textOutline>
        </w:rPr>
        <w:t>s don</w:t>
      </w:r>
      <w:r w:rsidR="00C96635" w:rsidRPr="0023685D">
        <w:rPr>
          <w:rStyle w:val="None"/>
          <w:rFonts w:cs="Times New Roman"/>
          <w:shd w:val="clear" w:color="auto" w:fill="FFFFFF"/>
          <w:rtl/>
          <w14:textOutline w14:w="12700" w14:cap="flat" w14:cmpd="sng" w14:algn="ctr">
            <w14:noFill/>
            <w14:prstDash w14:val="solid"/>
            <w14:miter w14:lim="400000"/>
          </w14:textOutline>
        </w:rPr>
        <w:t>’</w:t>
      </w:r>
      <w:r w:rsidR="00C96635" w:rsidRPr="006A43BB">
        <w:rPr>
          <w:rStyle w:val="None"/>
          <w:rFonts w:cs="Times New Roman"/>
          <w:shd w:val="clear" w:color="auto" w:fill="FFFFFF"/>
          <w:lang w:val="en-US"/>
          <w14:textOutline w14:w="12700" w14:cap="flat" w14:cmpd="sng" w14:algn="ctr">
            <w14:noFill/>
            <w14:prstDash w14:val="solid"/>
            <w14:miter w14:lim="400000"/>
          </w14:textOutline>
        </w:rPr>
        <w:t>t have to agree with voluntary provisions of the Declaration and they can operate according their own decisions without any consequences.</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63"/>
      </w:r>
    </w:p>
    <w:p w14:paraId="73291919"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1A" w14:textId="3F1A0C22"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Thus, the need for social responsibility appears due to practical limits to what external regulation of human rights can achieve.</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64"/>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Multinational corporations are not traditional subjects of international law and there is a number of questions that needs to be addressed. Does international law adequately respond to environmental and social impacts of multinationals?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65"/>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Or does it respond to </w:t>
      </w:r>
      <w:r w:rsidR="00EC5BEB">
        <w:rPr>
          <w:rStyle w:val="None"/>
          <w:rFonts w:cs="Times New Roman"/>
          <w:shd w:val="clear" w:color="auto" w:fill="FFFFFF"/>
          <w:lang w:val="en-US"/>
          <w14:textOutline w14:w="12700" w14:cap="flat" w14:cmpd="sng" w14:algn="ctr">
            <w14:noFill/>
            <w14:prstDash w14:val="solid"/>
            <w14:miter w14:lim="400000"/>
          </w14:textOutline>
        </w:rPr>
        <w:t>its</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demands? The answer to those questions could be found in the analyses of domestic regulation that will be discussed in the next section of this chapter.  </w:t>
      </w:r>
    </w:p>
    <w:p w14:paraId="7329191B"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1C" w14:textId="77777777" w:rsidR="003B207D" w:rsidRPr="006A43BB" w:rsidRDefault="00C96635" w:rsidP="006A43BB">
      <w:pPr>
        <w:pStyle w:val="Body"/>
        <w:spacing w:line="360" w:lineRule="auto"/>
        <w:jc w:val="both"/>
        <w:rPr>
          <w:rStyle w:val="None"/>
          <w:rFonts w:cs="Times New Roman"/>
          <w:b/>
          <w:bCs/>
          <w:shd w:val="clear" w:color="auto" w:fill="FFFFFF"/>
          <w14:textOutline w14:w="12700" w14:cap="flat" w14:cmpd="sng" w14:algn="ctr">
            <w14:noFill/>
            <w14:prstDash w14:val="solid"/>
            <w14:miter w14:lim="400000"/>
          </w14:textOutline>
        </w:rPr>
      </w:pPr>
      <w:r w:rsidRPr="006A43BB">
        <w:rPr>
          <w:rStyle w:val="None"/>
          <w:rFonts w:cs="Times New Roman"/>
          <w:b/>
          <w:bCs/>
          <w:shd w:val="clear" w:color="auto" w:fill="FFFFFF"/>
          <w:lang w:val="en-US"/>
          <w14:textOutline w14:w="12700" w14:cap="flat" w14:cmpd="sng" w14:algn="ctr">
            <w14:noFill/>
            <w14:prstDash w14:val="solid"/>
            <w14:miter w14:lim="400000"/>
          </w14:textOutline>
        </w:rPr>
        <w:t xml:space="preserve">4.3 Corporate Liability </w:t>
      </w:r>
    </w:p>
    <w:p w14:paraId="7329191D"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1E" w14:textId="5252171F" w:rsidR="003B207D" w:rsidRPr="00807A87" w:rsidRDefault="00C96635" w:rsidP="006A43BB">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The concept of international legal personality can be understood as the recognition of an entity as having responsibilities and rights. Under international law an entity is considered to have </w:t>
      </w:r>
      <w:r w:rsidRPr="0023685D">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international legal personality</w:t>
      </w:r>
      <w:r w:rsidRPr="0023685D">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 meaning that it can have legal relations at the international level and enforce international obligations and human rights.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66"/>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However, as was stated in the </w:t>
      </w:r>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Reparations for Injuries Case </w:t>
      </w:r>
      <w:r w:rsidRPr="0023685D">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the subjects of law in any legal system are not necessarily identical in their nature or in the extent of their rights, and their nature depends on the needs of the community</w:t>
      </w:r>
      <w:r w:rsidRPr="0023685D">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67"/>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w:t>
      </w:r>
      <w:r w:rsidR="008F2C3E">
        <w:rPr>
          <w:rStyle w:val="None"/>
          <w:rFonts w:cs="Times New Roman"/>
          <w:shd w:val="clear" w:color="auto" w:fill="FFFFFF"/>
          <w:lang w:val="en-US"/>
          <w14:textOutline w14:w="12700" w14:cap="flat" w14:cmpd="sng" w14:algn="ctr">
            <w14:noFill/>
            <w14:prstDash w14:val="solid"/>
            <w14:miter w14:lim="400000"/>
          </w14:textOutline>
        </w:rPr>
        <w:t>The definition of international legal personality is not fully addressed</w:t>
      </w:r>
      <w:r w:rsidR="00694E6C">
        <w:rPr>
          <w:rStyle w:val="None"/>
          <w:rFonts w:cs="Times New Roman"/>
          <w:shd w:val="clear" w:color="auto" w:fill="FFFFFF"/>
          <w:lang w:val="en-US"/>
          <w14:textOutline w14:w="12700" w14:cap="flat" w14:cmpd="sng" w14:algn="ctr">
            <w14:noFill/>
            <w14:prstDash w14:val="solid"/>
            <w14:miter w14:lim="400000"/>
          </w14:textOutline>
        </w:rPr>
        <w:t xml:space="preserve">, however </w:t>
      </w:r>
      <w:r w:rsidR="00807A87">
        <w:rPr>
          <w:rStyle w:val="None"/>
          <w:rFonts w:cs="Times New Roman"/>
          <w:shd w:val="clear" w:color="auto" w:fill="FFFFFF"/>
          <w:lang w:val="en-US"/>
          <w14:textOutline w14:w="12700" w14:cap="flat" w14:cmpd="sng" w14:algn="ctr">
            <w14:noFill/>
            <w14:prstDash w14:val="solid"/>
            <w14:miter w14:lim="400000"/>
          </w14:textOutline>
        </w:rPr>
        <w:t xml:space="preserve">corporations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to some extent </w:t>
      </w:r>
      <w:r w:rsidR="00166FEE">
        <w:rPr>
          <w:rStyle w:val="None"/>
          <w:rFonts w:cs="Times New Roman"/>
          <w:shd w:val="clear" w:color="auto" w:fill="FFFFFF"/>
          <w:lang w:val="en-US"/>
          <w14:textOutline w14:w="12700" w14:cap="flat" w14:cmpd="sng" w14:algn="ctr">
            <w14:noFill/>
            <w14:prstDash w14:val="solid"/>
            <w14:miter w14:lim="400000"/>
          </w14:textOutline>
        </w:rPr>
        <w:t xml:space="preserve">do </w:t>
      </w:r>
      <w:r w:rsidRPr="006A43BB">
        <w:rPr>
          <w:rStyle w:val="None"/>
          <w:rFonts w:cs="Times New Roman"/>
          <w:shd w:val="clear" w:color="auto" w:fill="FFFFFF"/>
          <w:lang w:val="en-US"/>
          <w14:textOutline w14:w="12700" w14:cap="flat" w14:cmpd="sng" w14:algn="ctr">
            <w14:noFill/>
            <w14:prstDash w14:val="solid"/>
            <w14:miter w14:lim="400000"/>
          </w14:textOutline>
        </w:rPr>
        <w:t>possess</w:t>
      </w:r>
      <w:r w:rsidR="00166FEE">
        <w:rPr>
          <w:rStyle w:val="None"/>
          <w:rFonts w:cs="Times New Roman"/>
          <w:shd w:val="clear" w:color="auto" w:fill="FFFFFF"/>
          <w:lang w:val="en-US"/>
          <w14:textOutline w14:w="12700" w14:cap="flat" w14:cmpd="sng" w14:algn="ctr">
            <w14:noFill/>
            <w14:prstDash w14:val="solid"/>
            <w14:miter w14:lim="400000"/>
          </w14:textOutline>
        </w:rPr>
        <w:t xml:space="preserve"> it</w:t>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68"/>
      </w:r>
    </w:p>
    <w:p w14:paraId="7329191F"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20" w14:textId="36FACFA4"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Corporations are separated from their shareholders by corporate veil which is used to create separate judicial personality for company therefore establishing protection for shareholders </w:t>
      </w:r>
      <w:r w:rsidRPr="006A43BB">
        <w:rPr>
          <w:rStyle w:val="None"/>
          <w:rFonts w:cs="Times New Roman"/>
          <w:shd w:val="clear" w:color="auto" w:fill="FFFFFF"/>
          <w:lang w:val="en-US"/>
          <w14:textOutline w14:w="12700" w14:cap="flat" w14:cmpd="sng" w14:algn="ctr">
            <w14:noFill/>
            <w14:prstDash w14:val="solid"/>
            <w14:miter w14:lim="400000"/>
          </w14:textOutline>
        </w:rPr>
        <w:lastRenderedPageBreak/>
        <w:t>from liability for the activities of companies.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69"/>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Pr="006A43BB">
        <w:rPr>
          <w:rStyle w:val="None"/>
          <w:rFonts w:cs="Times New Roman"/>
          <w:b/>
          <w:bCs/>
          <w:shd w:val="clear" w:color="auto" w:fill="FFFFFF"/>
          <w14:textOutline w14:w="12700" w14:cap="flat" w14:cmpd="sng" w14:algn="ctr">
            <w14:noFill/>
            <w14:prstDash w14:val="solid"/>
            <w14:miter w14:lim="400000"/>
          </w14:textOutline>
        </w:rPr>
        <w:t xml:space="preserve"> </w:t>
      </w:r>
      <w:r w:rsidR="0036468B">
        <w:rPr>
          <w:rStyle w:val="None"/>
          <w:rFonts w:cs="Times New Roman"/>
          <w:shd w:val="clear" w:color="auto" w:fill="FFFFFF"/>
          <w14:textOutline w14:w="12700" w14:cap="flat" w14:cmpd="sng" w14:algn="ctr">
            <w14:noFill/>
            <w14:prstDash w14:val="solid"/>
            <w14:miter w14:lim="400000"/>
          </w14:textOutline>
        </w:rPr>
        <w:t xml:space="preserve">According to the law, corporations and its subsidiaries are considered as two separate entities. However, there are </w:t>
      </w:r>
      <w:r w:rsidR="00AA62FD">
        <w:rPr>
          <w:rStyle w:val="None"/>
          <w:rFonts w:cs="Times New Roman"/>
          <w:shd w:val="clear" w:color="auto" w:fill="FFFFFF"/>
          <w14:textOutline w14:w="12700" w14:cap="flat" w14:cmpd="sng" w14:algn="ctr">
            <w14:noFill/>
            <w14:prstDash w14:val="solid"/>
            <w14:miter w14:lim="400000"/>
          </w14:textOutline>
        </w:rPr>
        <w:t xml:space="preserve">situations when they can be jointly held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accountable under tort principles. For instance, in the case of </w:t>
      </w:r>
      <w:proofErr w:type="spellStart"/>
      <w:r w:rsidRPr="006A43BB">
        <w:rPr>
          <w:rStyle w:val="None"/>
          <w:rFonts w:cs="Times New Roman"/>
          <w:i/>
          <w:iCs/>
          <w:shd w:val="clear" w:color="auto" w:fill="FFFFFF"/>
          <w14:textOutline w14:w="12700" w14:cap="flat" w14:cmpd="sng" w14:algn="ctr">
            <w14:noFill/>
            <w14:prstDash w14:val="solid"/>
            <w14:miter w14:lim="400000"/>
          </w14:textOutline>
        </w:rPr>
        <w:t>Bowoto</w:t>
      </w:r>
      <w:proofErr w:type="spellEnd"/>
      <w:r w:rsidRPr="006A43BB">
        <w:rPr>
          <w:rStyle w:val="None"/>
          <w:rFonts w:cs="Times New Roman"/>
          <w:i/>
          <w:iCs/>
          <w:shd w:val="clear" w:color="auto" w:fill="FFFFFF"/>
          <w14:textOutline w14:w="12700" w14:cap="flat" w14:cmpd="sng" w14:algn="ctr">
            <w14:noFill/>
            <w14:prstDash w14:val="solid"/>
            <w14:miter w14:lim="400000"/>
          </w14:textOutline>
        </w:rPr>
        <w:t xml:space="preserve"> v Chevron Texaco </w:t>
      </w:r>
      <w:r w:rsidRPr="006A43BB">
        <w:rPr>
          <w:rStyle w:val="None"/>
          <w:rFonts w:cs="Times New Roman"/>
          <w:shd w:val="clear" w:color="auto" w:fill="FFFFFF"/>
          <w:lang w:val="en-US"/>
          <w14:textOutline w14:w="12700" w14:cap="flat" w14:cmpd="sng" w14:algn="ctr">
            <w14:noFill/>
            <w14:prstDash w14:val="solid"/>
            <w14:miter w14:lim="400000"/>
          </w14:textOutline>
        </w:rPr>
        <w:t>jury relied on sufficient evidence under the tort law to hold Chevron liable for activities of its subsidiary in Nigeria. The argument was based on the theory of ratification and included operation of corporation outside the country.</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70"/>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921" w14:textId="77777777" w:rsidR="003B207D" w:rsidRPr="006A43BB" w:rsidRDefault="003B207D" w:rsidP="006A43BB">
      <w:pPr>
        <w:pStyle w:val="Body"/>
        <w:spacing w:line="360" w:lineRule="auto"/>
        <w:jc w:val="both"/>
        <w:rPr>
          <w:rStyle w:val="None"/>
          <w:rFonts w:cs="Times New Roman"/>
          <w:b/>
          <w:bCs/>
          <w:shd w:val="clear" w:color="auto" w:fill="FFFFFF"/>
          <w14:textOutline w14:w="12700" w14:cap="flat" w14:cmpd="sng" w14:algn="ctr">
            <w14:noFill/>
            <w14:prstDash w14:val="solid"/>
            <w14:miter w14:lim="400000"/>
          </w14:textOutline>
        </w:rPr>
      </w:pPr>
    </w:p>
    <w:p w14:paraId="73291922" w14:textId="5FE0F4C3" w:rsidR="003B207D" w:rsidRPr="004B54C6" w:rsidRDefault="00C96635" w:rsidP="006A43BB">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However, victims are usually facing legal challenges when they trying to undertake any actions against parent companies</w:t>
      </w:r>
      <w:r w:rsidR="00BD66C3">
        <w:rPr>
          <w:rStyle w:val="None"/>
          <w:rFonts w:cs="Times New Roman"/>
          <w:shd w:val="clear" w:color="auto" w:fill="FFFFFF"/>
          <w:lang w:val="en-US"/>
          <w14:textOutline w14:w="12700" w14:cap="flat" w14:cmpd="sng" w14:algn="ctr">
            <w14:noFill/>
            <w14:prstDash w14:val="solid"/>
            <w14:miter w14:lim="400000"/>
          </w14:textOutline>
        </w:rPr>
        <w:t xml:space="preserve"> due to the limited liability</w:t>
      </w:r>
      <w:r w:rsidR="00C76D70">
        <w:rPr>
          <w:rStyle w:val="None"/>
          <w:rFonts w:cs="Times New Roman"/>
          <w:shd w:val="clear" w:color="auto" w:fill="FFFFFF"/>
          <w:lang w:val="en-US"/>
          <w14:textOutline w14:w="12700" w14:cap="flat" w14:cmpd="sng" w14:algn="ctr">
            <w14:noFill/>
            <w14:prstDash w14:val="solid"/>
            <w14:miter w14:lim="400000"/>
          </w14:textOutline>
        </w:rPr>
        <w:t xml:space="preserve"> according to which </w:t>
      </w:r>
      <w:r w:rsidR="004B54C6">
        <w:rPr>
          <w:rStyle w:val="None"/>
          <w:rFonts w:cs="Times New Roman"/>
          <w:shd w:val="clear" w:color="auto" w:fill="FFFFFF"/>
          <w:lang w:val="en-US"/>
          <w14:textOutline w14:w="12700" w14:cap="flat" w14:cmpd="sng" w14:algn="ctr">
            <w14:noFill/>
            <w14:prstDash w14:val="solid"/>
            <w14:miter w14:lim="400000"/>
          </w14:textOutline>
        </w:rPr>
        <w:t>corporation cannot be fully responsible for the actions of its subsidiary</w:t>
      </w:r>
      <w:r w:rsidRPr="006A43BB">
        <w:rPr>
          <w:rStyle w:val="None"/>
          <w:rFonts w:cs="Times New Roman"/>
          <w:shd w:val="clear" w:color="auto" w:fill="FFFFFF"/>
          <w:lang w:val="en-US"/>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71"/>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The principle of limited liability has been mentioned by a number of UN bodies. For example, </w:t>
      </w:r>
      <w:r w:rsidRPr="006A43BB">
        <w:rPr>
          <w:rStyle w:val="None"/>
          <w:rFonts w:cs="Times New Roman"/>
          <w:sz w:val="22"/>
          <w:szCs w:val="22"/>
          <w:shd w:val="clear" w:color="auto" w:fill="FFFFFF"/>
          <w:lang w:val="en-US"/>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the Committee on ICESCR indicated </w:t>
      </w:r>
      <w:r w:rsidR="00787E7F">
        <w:rPr>
          <w:rStyle w:val="None"/>
          <w:rFonts w:cs="Times New Roman"/>
          <w:shd w:val="clear" w:color="auto" w:fill="FFFFFF"/>
          <w:lang w:val="en-US"/>
          <w14:textOutline w14:w="12700" w14:cap="flat" w14:cmpd="sng" w14:algn="ctr">
            <w14:noFill/>
            <w14:prstDash w14:val="solid"/>
            <w14:miter w14:lim="400000"/>
          </w14:textOutline>
        </w:rPr>
        <w:t>the following:</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w:t>
      </w:r>
    </w:p>
    <w:p w14:paraId="73291923"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24" w14:textId="2109F56F" w:rsidR="003B207D" w:rsidRPr="006A43BB" w:rsidRDefault="00C96635" w:rsidP="006A43BB">
      <w:pPr>
        <w:pStyle w:val="Body"/>
        <w:spacing w:line="360" w:lineRule="auto"/>
        <w:ind w:left="720"/>
        <w:jc w:val="both"/>
        <w:rPr>
          <w:rStyle w:val="None"/>
          <w:rFonts w:cs="Times New Roman"/>
          <w:shd w:val="clear" w:color="auto" w:fill="FFFFFF"/>
          <w14:textOutline w14:w="12700" w14:cap="flat" w14:cmpd="sng" w14:algn="ctr">
            <w14:noFill/>
            <w14:prstDash w14:val="solid"/>
            <w14:miter w14:lim="400000"/>
          </w14:textOutline>
        </w:rPr>
      </w:pPr>
      <w:r w:rsidRPr="00787E7F">
        <w:rPr>
          <w:rStyle w:val="None"/>
          <w:rFonts w:cs="Times New Roman"/>
          <w:i/>
          <w:iCs/>
          <w:shd w:val="clear" w:color="auto" w:fill="FFFFFF"/>
          <w:rtl/>
          <w14:textOutline w14:w="12700" w14:cap="flat" w14:cmpd="sng" w14:algn="ctr">
            <w14:noFill/>
            <w14:prstDash w14:val="solid"/>
            <w14:miter w14:lim="400000"/>
          </w14:textOutline>
        </w:rPr>
        <w:t>‘</w:t>
      </w:r>
      <w:r w:rsidR="00787E7F">
        <w:rPr>
          <w:rStyle w:val="None"/>
          <w:rFonts w:cs="Times New Roman"/>
          <w:i/>
          <w:iCs/>
          <w:shd w:val="clear" w:color="auto" w:fill="FFFFFF"/>
          <w:lang w:val="en-US"/>
          <w14:textOutline w14:w="12700" w14:cap="flat" w14:cmpd="sng" w14:algn="ctr">
            <w14:noFill/>
            <w14:prstDash w14:val="solid"/>
            <w14:miter w14:lim="400000"/>
          </w14:textOutline>
        </w:rPr>
        <w:t>B</w:t>
      </w:r>
      <w:r w:rsidRPr="00787E7F">
        <w:rPr>
          <w:rStyle w:val="None"/>
          <w:rFonts w:cs="Times New Roman"/>
          <w:i/>
          <w:iCs/>
          <w:shd w:val="clear" w:color="auto" w:fill="FFFFFF"/>
          <w:lang w:val="en-US"/>
          <w14:textOutline w14:w="12700" w14:cap="flat" w14:cmpd="sng" w14:algn="ctr">
            <w14:noFill/>
            <w14:prstDash w14:val="solid"/>
            <w14:miter w14:lim="400000"/>
          </w14:textOutline>
        </w:rPr>
        <w:t>ecause of how corporate groups are organized, business entities routinely escape liability by hiding behind corporate veil, as the parent company seeks to avoid liability for the acts of the subsidiary even when it would have been in a position to influence its conduct</w:t>
      </w:r>
      <w:r w:rsidRPr="00787E7F">
        <w:rPr>
          <w:rStyle w:val="None"/>
          <w:rFonts w:cs="Times New Roman"/>
          <w:i/>
          <w:iCs/>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72"/>
      </w:r>
    </w:p>
    <w:p w14:paraId="73291925"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26"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In recent years, there have been different judicial and legal developments to avoid this limitation. For example, duty of vigilance adopted under the French law that allowed victims of human rights abuses to hold parent corporations accountable for the activities of their subsidiaries. In common law, there has been the duty of care that allows victims to make parent companies liable.</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73"/>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However, and most importantly, none of those cases have ever resulted in decision on the merits.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74"/>
      </w:r>
      <w:r w:rsidRPr="006A43BB">
        <w:rPr>
          <w:rStyle w:val="None"/>
          <w:rFonts w:cs="Times New Roman"/>
          <w:sz w:val="22"/>
          <w:szCs w:val="22"/>
          <w:shd w:val="clear" w:color="auto" w:fill="FFFFFF"/>
          <w:lang w:val="en-US"/>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Corporate liability under international law can be also considered in the context of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Kiobel</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case.</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75"/>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This case has famously raised the question of whether corporations could be held liable under the ATS for human rights violations. In addition, the </w:t>
      </w:r>
      <w:r w:rsidRPr="006A43BB">
        <w:rPr>
          <w:rStyle w:val="None"/>
          <w:rFonts w:cs="Times New Roman"/>
          <w:shd w:val="clear" w:color="auto" w:fill="FFFFFF"/>
          <w:lang w:val="en-US"/>
          <w14:textOutline w14:w="12700" w14:cap="flat" w14:cmpd="sng" w14:algn="ctr">
            <w14:noFill/>
            <w14:prstDash w14:val="solid"/>
            <w14:miter w14:lim="400000"/>
          </w14:textOutline>
        </w:rPr>
        <w:lastRenderedPageBreak/>
        <w:t>case questioned the hybridization of international law</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76"/>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that can be seen from the following </w:t>
      </w:r>
      <w:r w:rsidRPr="006A43BB">
        <w:rPr>
          <w:rStyle w:val="None"/>
          <w:rFonts w:cs="Times New Roman"/>
          <w:i/>
          <w:iCs/>
          <w:shd w:val="clear" w:color="auto" w:fill="FFFFFF"/>
          <w14:textOutline w14:w="12700" w14:cap="flat" w14:cmpd="sng" w14:algn="ctr">
            <w14:noFill/>
            <w14:prstDash w14:val="solid"/>
            <w14:miter w14:lim="400000"/>
          </w14:textOutline>
        </w:rPr>
        <w:t>amicus curiae</w:t>
      </w:r>
      <w:r w:rsidRPr="006A43BB">
        <w:rPr>
          <w:rStyle w:val="None"/>
          <w:rFonts w:cs="Times New Roman"/>
          <w:shd w:val="clear" w:color="auto" w:fill="FFFFFF"/>
          <w14:textOutline w14:w="12700" w14:cap="flat" w14:cmpd="sng" w14:algn="ctr">
            <w14:noFill/>
            <w14:prstDash w14:val="solid"/>
            <w14:miter w14:lim="400000"/>
          </w14:textOutline>
        </w:rPr>
        <w:t xml:space="preserve"> brief: </w:t>
      </w:r>
    </w:p>
    <w:p w14:paraId="73291927"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28" w14:textId="77777777" w:rsidR="003B207D" w:rsidRPr="006A43BB" w:rsidRDefault="00C96635" w:rsidP="006A43BB">
      <w:pPr>
        <w:pStyle w:val="Body"/>
        <w:spacing w:line="360" w:lineRule="auto"/>
        <w:ind w:left="720"/>
        <w:jc w:val="both"/>
        <w:rPr>
          <w:rStyle w:val="None"/>
          <w:rFonts w:cs="Times New Roman"/>
          <w:i/>
          <w:iCs/>
          <w:shd w:val="clear" w:color="auto" w:fill="FFFFFF"/>
          <w14:textOutline w14:w="12700" w14:cap="flat" w14:cmpd="sng" w14:algn="ctr">
            <w14:noFill/>
            <w14:prstDash w14:val="solid"/>
            <w14:miter w14:lim="400000"/>
          </w14:textOutline>
        </w:rPr>
      </w:pPr>
      <w:r w:rsidRPr="00BD2C93">
        <w:rPr>
          <w:rStyle w:val="None"/>
          <w:rFonts w:cs="Times New Roman"/>
          <w:i/>
          <w:iCs/>
          <w:shd w:val="clear" w:color="auto" w:fill="FFFFFF"/>
          <w:rtl/>
          <w14:textOutline w14:w="12700" w14:cap="flat" w14:cmpd="sng" w14:algn="ctr">
            <w14:noFill/>
            <w14:prstDash w14:val="solid"/>
            <w14:miter w14:lim="400000"/>
          </w14:textOutline>
        </w:rPr>
        <w:t>‘</w:t>
      </w:r>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The right question is not whether human rights treaties explicitly impose liability on corporations, or whether the international criminal tribunals have jurisdiction over corporations, or even whether other States have universally imposed criminal or civil liability for violations of international law, as the </w:t>
      </w:r>
      <w:proofErr w:type="spellStart"/>
      <w:r w:rsidRPr="006A43BB">
        <w:rPr>
          <w:rStyle w:val="None"/>
          <w:rFonts w:cs="Times New Roman"/>
          <w:i/>
          <w:iCs/>
          <w:shd w:val="clear" w:color="auto" w:fill="FFFFFF"/>
          <w:lang w:val="en-US"/>
          <w14:textOutline w14:w="12700" w14:cap="flat" w14:cmpd="sng" w14:algn="ctr">
            <w14:noFill/>
            <w14:prstDash w14:val="solid"/>
            <w14:miter w14:lim="400000"/>
          </w14:textOutline>
        </w:rPr>
        <w:t>Kiobel</w:t>
      </w:r>
      <w:proofErr w:type="spellEnd"/>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 majority thought. [</w:t>
      </w:r>
      <w:r w:rsidRPr="006A43BB">
        <w:rPr>
          <w:rStyle w:val="None"/>
          <w:rFonts w:cs="Times New Roman"/>
          <w:i/>
          <w:iCs/>
          <w:shd w:val="clear" w:color="auto" w:fill="FFFFFF"/>
          <w14:textOutline w14:w="12700" w14:cap="flat" w14:cmpd="sng" w14:algn="ctr">
            <w14:noFill/>
            <w14:prstDash w14:val="solid"/>
            <w14:miter w14:lim="400000"/>
          </w14:textOutline>
        </w:rPr>
        <w:t>…</w:t>
      </w:r>
      <w:r w:rsidRPr="006A43BB">
        <w:rPr>
          <w:rStyle w:val="None"/>
          <w:rFonts w:cs="Times New Roman"/>
          <w:i/>
          <w:iCs/>
          <w:shd w:val="clear" w:color="auto" w:fill="FFFFFF"/>
          <w:lang w:val="en-US"/>
          <w14:textOutline w14:w="12700" w14:cap="flat" w14:cmpd="sng" w14:algn="ctr">
            <w14:noFill/>
            <w14:prstDash w14:val="solid"/>
            <w14:miter w14:lim="400000"/>
          </w14:textOutline>
        </w:rPr>
        <w:t>] It is whether those treaties, the charters of the criminal tribunals, and the practice of states affirmatively distinguish between juristic and natural individuals in a way that exempts the former from all responsibility for violations of international law. They clearly and profoundly do not</w:t>
      </w:r>
      <w:r w:rsidRPr="00BD2C93">
        <w:rPr>
          <w:rStyle w:val="None"/>
          <w:rFonts w:cs="Times New Roman"/>
          <w:i/>
          <w:iCs/>
          <w:shd w:val="clear" w:color="auto" w:fill="FFFFFF"/>
          <w:rtl/>
          <w14:textOutline w14:w="12700" w14:cap="flat" w14:cmpd="sng" w14:algn="ctr">
            <w14:noFill/>
            <w14:prstDash w14:val="solid"/>
            <w14:miter w14:lim="400000"/>
          </w14:textOutline>
        </w:rPr>
        <w:t>’</w:t>
      </w:r>
      <w:r w:rsidRPr="006A43BB">
        <w:rPr>
          <w:rStyle w:val="None"/>
          <w:rFonts w:cs="Times New Roman"/>
          <w:i/>
          <w:iCs/>
          <w:shd w:val="clear" w:color="auto" w:fill="FFFFFF"/>
          <w14:textOutline w14:w="12700" w14:cap="flat" w14:cmpd="sng" w14:algn="ctr">
            <w14:noFill/>
            <w14:prstDash w14:val="solid"/>
            <w14:miter w14:lim="400000"/>
          </w14:textOutline>
        </w:rPr>
        <w:t>.</w:t>
      </w:r>
      <w:r w:rsidRPr="006A43BB">
        <w:rPr>
          <w:rStyle w:val="None"/>
          <w:rFonts w:cs="Times New Roman"/>
          <w:i/>
          <w:iCs/>
          <w:shd w:val="clear" w:color="auto" w:fill="FFFFFF"/>
          <w:vertAlign w:val="superscript"/>
          <w14:textOutline w14:w="12700" w14:cap="flat" w14:cmpd="sng" w14:algn="ctr">
            <w14:noFill/>
            <w14:prstDash w14:val="solid"/>
            <w14:miter w14:lim="400000"/>
          </w14:textOutline>
        </w:rPr>
        <w:footnoteReference w:id="177"/>
      </w:r>
    </w:p>
    <w:p w14:paraId="73291929" w14:textId="77777777" w:rsidR="003B207D" w:rsidRPr="006A43BB" w:rsidRDefault="003B207D" w:rsidP="006A43BB">
      <w:pPr>
        <w:pStyle w:val="Body"/>
        <w:spacing w:line="360" w:lineRule="auto"/>
        <w:jc w:val="both"/>
        <w:rPr>
          <w:rStyle w:val="None"/>
          <w:rFonts w:cs="Times New Roman"/>
          <w:i/>
          <w:iCs/>
          <w:shd w:val="clear" w:color="auto" w:fill="FFFFFF"/>
          <w14:textOutline w14:w="12700" w14:cap="flat" w14:cmpd="sng" w14:algn="ctr">
            <w14:noFill/>
            <w14:prstDash w14:val="solid"/>
            <w14:miter w14:lim="400000"/>
          </w14:textOutline>
        </w:rPr>
      </w:pPr>
    </w:p>
    <w:p w14:paraId="7329192A"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However, approach adopted in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Kiobel</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is still remains under one of the most grey areas in international law. The ATCA can be considered as the form of exercise the </w:t>
      </w:r>
      <w:r w:rsidRPr="00BD2C93">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universal jurisdiction</w:t>
      </w:r>
      <w:r w:rsidRPr="00BD2C93">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Arguments in support of this theory were developed in </w:t>
      </w:r>
      <w:r w:rsidRPr="006A43BB">
        <w:rPr>
          <w:rStyle w:val="None"/>
          <w:rFonts w:cs="Times New Roman"/>
          <w:i/>
          <w:iCs/>
          <w:shd w:val="clear" w:color="auto" w:fill="FFFFFF"/>
          <w14:textOutline w14:w="12700" w14:cap="flat" w14:cmpd="sng" w14:algn="ctr">
            <w14:noFill/>
            <w14:prstDash w14:val="solid"/>
            <w14:miter w14:lim="400000"/>
          </w14:textOutline>
        </w:rPr>
        <w:t>Sosa v Alvarez-Machan</w:t>
      </w:r>
      <w:r w:rsidRPr="006A43BB">
        <w:rPr>
          <w:rStyle w:val="None"/>
          <w:rFonts w:cs="Times New Roman"/>
          <w:shd w:val="clear" w:color="auto" w:fill="FFFFFF"/>
          <w14:textOutline w14:w="12700" w14:cap="flat" w14:cmpd="sng" w14:algn="ctr">
            <w14:noFill/>
            <w14:prstDash w14:val="solid"/>
            <w14:miter w14:lim="400000"/>
          </w14:textOutline>
        </w:rPr>
        <w:t xml:space="preserve"> case.</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78"/>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The State may use it</w:t>
      </w:r>
      <w:r w:rsidRPr="00BD2C93">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s lawmaking power to make the number of relevant offences punishable under domestic laws and use domestic standards of third-party liability. However, the ATCA does not include any provision is relation to jurisdiction.</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79"/>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92B"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2C"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The implication of domestic law can be effective, if the number of measures will be put in place including compulsion and severity. Those measures also needs to be seen as a part of a broader regulatory structure. One of the greatest examples of such regulation is a regulatory pyramid described by Ayres and Braithwaite.</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80"/>
      </w:r>
    </w:p>
    <w:p w14:paraId="7329192D"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2E" w14:textId="77777777" w:rsidR="003B207D" w:rsidRPr="006A43BB" w:rsidRDefault="003B207D" w:rsidP="006A43BB">
      <w:pPr>
        <w:pStyle w:val="Body"/>
        <w:spacing w:line="360" w:lineRule="auto"/>
        <w:jc w:val="both"/>
        <w:rPr>
          <w:rStyle w:val="None"/>
          <w:rFonts w:cs="Times New Roman"/>
          <w:b/>
          <w:bCs/>
          <w:shd w:val="clear" w:color="auto" w:fill="FFFFFF"/>
          <w14:textOutline w14:w="12700" w14:cap="flat" w14:cmpd="sng" w14:algn="ctr">
            <w14:noFill/>
            <w14:prstDash w14:val="solid"/>
            <w14:miter w14:lim="400000"/>
          </w14:textOutline>
        </w:rPr>
      </w:pPr>
    </w:p>
    <w:tbl>
      <w:tblPr>
        <w:tblW w:w="7650"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7650"/>
      </w:tblGrid>
      <w:tr w:rsidR="003B207D" w14:paraId="73291931" w14:textId="77777777">
        <w:trPr>
          <w:trHeight w:val="5186"/>
        </w:trPr>
        <w:tc>
          <w:tcPr>
            <w:tcW w:w="76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2F" w14:textId="77777777" w:rsidR="003B207D" w:rsidRDefault="00C96635">
            <w:pPr>
              <w:pStyle w:val="Body"/>
              <w:spacing w:line="276" w:lineRule="auto"/>
              <w:jc w:val="both"/>
              <w:rPr>
                <w:rStyle w:val="None"/>
                <w:shd w:val="clear" w:color="auto" w:fill="FFFFFF"/>
                <w14:textOutline w14:w="12700" w14:cap="flat" w14:cmpd="sng" w14:algn="ctr">
                  <w14:noFill/>
                  <w14:prstDash w14:val="solid"/>
                  <w14:miter w14:lim="400000"/>
                </w14:textOutline>
              </w:rPr>
            </w:pPr>
            <w:bookmarkStart w:id="18" w:name="_Hlk73267356"/>
            <w:r>
              <w:rPr>
                <w:rStyle w:val="None"/>
                <w:b/>
                <w:bCs/>
                <w:noProof/>
                <w:shd w:val="clear" w:color="auto" w:fill="FFFFFF"/>
                <w14:textOutline w14:w="12700" w14:cap="flat" w14:cmpd="sng" w14:algn="ctr">
                  <w14:noFill/>
                  <w14:prstDash w14:val="solid"/>
                  <w14:miter w14:lim="400000"/>
                </w14:textOutline>
              </w:rPr>
              <w:lastRenderedPageBreak/>
              <w:drawing>
                <wp:inline distT="0" distB="0" distL="0" distR="0" wp14:anchorId="73291B4B" wp14:editId="73291B4C">
                  <wp:extent cx="4011283" cy="3031558"/>
                  <wp:effectExtent l="0" t="0" r="0" b="0"/>
                  <wp:docPr id="1073741825" name="officeArt object" descr="Picture 1"/>
                  <wp:cNvGraphicFramePr/>
                  <a:graphic xmlns:a="http://schemas.openxmlformats.org/drawingml/2006/main">
                    <a:graphicData uri="http://schemas.openxmlformats.org/drawingml/2006/picture">
                      <pic:pic xmlns:pic="http://schemas.openxmlformats.org/drawingml/2006/picture">
                        <pic:nvPicPr>
                          <pic:cNvPr id="1073741825" name="Picture 1" descr="Picture 1"/>
                          <pic:cNvPicPr>
                            <a:picLocks noChangeAspect="1"/>
                          </pic:cNvPicPr>
                        </pic:nvPicPr>
                        <pic:blipFill>
                          <a:blip r:embed="rId14"/>
                          <a:srcRect l="13101" r="16851"/>
                          <a:stretch>
                            <a:fillRect/>
                          </a:stretch>
                        </pic:blipFill>
                        <pic:spPr>
                          <a:xfrm>
                            <a:off x="0" y="0"/>
                            <a:ext cx="4011283" cy="3031558"/>
                          </a:xfrm>
                          <a:prstGeom prst="rect">
                            <a:avLst/>
                          </a:prstGeom>
                          <a:ln w="12700" cap="flat">
                            <a:noFill/>
                            <a:miter lim="400000"/>
                          </a:ln>
                          <a:effectLst/>
                        </pic:spPr>
                      </pic:pic>
                    </a:graphicData>
                  </a:graphic>
                </wp:inline>
              </w:drawing>
            </w:r>
          </w:p>
          <w:p w14:paraId="73291930" w14:textId="77777777" w:rsidR="003B207D" w:rsidRDefault="00C96635">
            <w:pPr>
              <w:pStyle w:val="Body"/>
              <w:spacing w:line="276" w:lineRule="auto"/>
              <w:jc w:val="both"/>
            </w:pPr>
            <w:r>
              <w:rPr>
                <w:rStyle w:val="None"/>
                <w:b/>
                <w:bCs/>
                <w:shd w:val="clear" w:color="auto" w:fill="FFFFFF"/>
                <w:lang w:val="en-US"/>
                <w14:textOutline w14:w="12700" w14:cap="flat" w14:cmpd="sng" w14:algn="ctr">
                  <w14:noFill/>
                  <w14:prstDash w14:val="solid"/>
                  <w14:miter w14:lim="400000"/>
                </w14:textOutline>
              </w:rPr>
              <w:t xml:space="preserve">Figure 2: Regulatory Pyramid </w:t>
            </w:r>
          </w:p>
        </w:tc>
      </w:tr>
      <w:bookmarkEnd w:id="18"/>
    </w:tbl>
    <w:p w14:paraId="73291932" w14:textId="77777777" w:rsidR="003B207D" w:rsidRDefault="003B207D">
      <w:pPr>
        <w:pStyle w:val="Body"/>
        <w:widowControl w:val="0"/>
        <w:ind w:left="108" w:hanging="108"/>
        <w:jc w:val="both"/>
        <w:rPr>
          <w:rStyle w:val="None"/>
          <w:b/>
          <w:bCs/>
          <w:shd w:val="clear" w:color="auto" w:fill="FFFFFF"/>
          <w14:textOutline w14:w="12700" w14:cap="flat" w14:cmpd="sng" w14:algn="ctr">
            <w14:noFill/>
            <w14:prstDash w14:val="solid"/>
            <w14:miter w14:lim="400000"/>
          </w14:textOutline>
        </w:rPr>
      </w:pPr>
    </w:p>
    <w:p w14:paraId="5238F9C0" w14:textId="401A7D29" w:rsidR="00B017B2" w:rsidRPr="006A43BB" w:rsidRDefault="00E06281" w:rsidP="006A43BB">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sidRPr="006A43BB">
        <w:rPr>
          <w:rStyle w:val="None"/>
          <w:rFonts w:cs="Times New Roman"/>
          <w:shd w:val="clear" w:color="auto" w:fill="FFFFFF"/>
          <w14:textOutline w14:w="12700" w14:cap="flat" w14:cmpd="sng" w14:algn="ctr">
            <w14:noFill/>
            <w14:prstDash w14:val="solid"/>
            <w14:miter w14:lim="400000"/>
          </w14:textOutline>
        </w:rPr>
        <w:t xml:space="preserve">The pyramid illustrates various forms of self-regulation of corporations. For example, when it is impossible to </w:t>
      </w:r>
      <w:r w:rsidR="00231A6D" w:rsidRPr="006A43BB">
        <w:rPr>
          <w:rStyle w:val="None"/>
          <w:rFonts w:cs="Times New Roman"/>
          <w:shd w:val="clear" w:color="auto" w:fill="FFFFFF"/>
          <w14:textOutline w14:w="12700" w14:cap="flat" w14:cmpd="sng" w14:algn="ctr">
            <w14:noFill/>
            <w14:prstDash w14:val="solid"/>
            <w14:miter w14:lim="400000"/>
          </w14:textOutline>
        </w:rPr>
        <w:t xml:space="preserve">impose direct obligations, corporation could reply on civil </w:t>
      </w:r>
      <w:r w:rsidR="00C739E0" w:rsidRPr="006A43BB">
        <w:rPr>
          <w:rStyle w:val="None"/>
          <w:rFonts w:cs="Times New Roman"/>
          <w:shd w:val="clear" w:color="auto" w:fill="FFFFFF"/>
          <w14:textOutline w14:w="12700" w14:cap="flat" w14:cmpd="sng" w14:algn="ctr">
            <w14:noFill/>
            <w14:prstDash w14:val="solid"/>
            <w14:miter w14:lim="400000"/>
          </w14:textOutline>
        </w:rPr>
        <w:t>regulation</w:t>
      </w:r>
      <w:r w:rsidR="00231A6D" w:rsidRPr="006A43BB">
        <w:rPr>
          <w:rStyle w:val="None"/>
          <w:rFonts w:cs="Times New Roman"/>
          <w:shd w:val="clear" w:color="auto" w:fill="FFFFFF"/>
          <w14:textOutline w14:w="12700" w14:cap="flat" w14:cmpd="sng" w14:algn="ctr">
            <w14:noFill/>
            <w14:prstDash w14:val="solid"/>
            <w14:miter w14:lim="400000"/>
          </w14:textOutline>
        </w:rPr>
        <w:t xml:space="preserve">. On the other hand, </w:t>
      </w:r>
      <w:r w:rsidR="00C739E0" w:rsidRPr="006A43BB">
        <w:rPr>
          <w:rStyle w:val="None"/>
          <w:rFonts w:cs="Times New Roman"/>
          <w:shd w:val="clear" w:color="auto" w:fill="FFFFFF"/>
          <w14:textOutline w14:w="12700" w14:cap="flat" w14:cmpd="sng" w14:algn="ctr">
            <w14:noFill/>
            <w14:prstDash w14:val="solid"/>
            <w14:miter w14:lim="400000"/>
          </w14:textOutline>
        </w:rPr>
        <w:t>in cases when it is not possible to reply on civil regulation, corpo</w:t>
      </w:r>
      <w:r w:rsidR="00E24148" w:rsidRPr="006A43BB">
        <w:rPr>
          <w:rStyle w:val="None"/>
          <w:rFonts w:cs="Times New Roman"/>
          <w:shd w:val="clear" w:color="auto" w:fill="FFFFFF"/>
          <w14:textOutline w14:w="12700" w14:cap="flat" w14:cmpd="sng" w14:algn="ctr">
            <w14:noFill/>
            <w14:prstDash w14:val="solid"/>
            <w14:miter w14:lim="400000"/>
          </w14:textOutline>
        </w:rPr>
        <w:t xml:space="preserve">ration can refer to civil litigation and voluntary codes of conduct. Criminal law is occupying the top of the pyramid representing the social call for justice and condemnation. However, criminal law is not strong enough to regulate </w:t>
      </w:r>
      <w:proofErr w:type="spellStart"/>
      <w:r w:rsidR="00E24148" w:rsidRPr="006A43BB">
        <w:rPr>
          <w:rStyle w:val="None"/>
          <w:rFonts w:cs="Times New Roman"/>
          <w:shd w:val="clear" w:color="auto" w:fill="FFFFFF"/>
          <w14:textOutline w14:w="12700" w14:cap="flat" w14:cmpd="sng" w14:algn="ctr">
            <w14:noFill/>
            <w14:prstDash w14:val="solid"/>
            <w14:miter w14:lim="400000"/>
          </w14:textOutline>
        </w:rPr>
        <w:t>behavior</w:t>
      </w:r>
      <w:proofErr w:type="spellEnd"/>
      <w:r w:rsidR="00E24148" w:rsidRPr="006A43BB">
        <w:rPr>
          <w:rStyle w:val="None"/>
          <w:rFonts w:cs="Times New Roman"/>
          <w:shd w:val="clear" w:color="auto" w:fill="FFFFFF"/>
          <w14:textOutline w14:w="12700" w14:cap="flat" w14:cmpd="sng" w14:algn="ctr">
            <w14:noFill/>
            <w14:prstDash w14:val="solid"/>
            <w14:miter w14:lim="400000"/>
          </w14:textOutline>
        </w:rPr>
        <w:t xml:space="preserve"> of TNC</w:t>
      </w:r>
      <w:r w:rsidR="00E24148" w:rsidRPr="00C54425">
        <w:rPr>
          <w:rStyle w:val="None"/>
          <w:shd w:val="clear" w:color="auto" w:fill="FFFFFF"/>
          <w:rtl/>
          <w14:textOutline w14:w="12700" w14:cap="flat" w14:cmpd="sng" w14:algn="ctr">
            <w14:noFill/>
            <w14:prstDash w14:val="solid"/>
            <w14:miter w14:lim="400000"/>
          </w14:textOutline>
        </w:rPr>
        <w:t>’</w:t>
      </w:r>
      <w:r w:rsidR="00E24148" w:rsidRPr="006A43BB">
        <w:rPr>
          <w:rStyle w:val="None"/>
          <w:rFonts w:cs="Times New Roman"/>
          <w:shd w:val="clear" w:color="auto" w:fill="FFFFFF"/>
          <w14:textOutline w14:w="12700" w14:cap="flat" w14:cmpd="sng" w14:algn="ctr">
            <w14:noFill/>
            <w14:prstDash w14:val="solid"/>
            <w14:miter w14:lim="400000"/>
          </w14:textOutline>
        </w:rPr>
        <w:t>s on international level and especially when it comes to human rights violations. Therefore, one could argue that there is a need for domestic criminal liability for corporations.</w:t>
      </w:r>
      <w:r w:rsidR="00E24148"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81"/>
      </w:r>
      <w:r w:rsidR="00E24148" w:rsidRPr="006A43BB">
        <w:rPr>
          <w:rStyle w:val="None"/>
          <w:rFonts w:cs="Times New Roman"/>
          <w:shd w:val="clear" w:color="auto" w:fill="FFFFFF"/>
          <w14:textOutline w14:w="12700" w14:cap="flat" w14:cmpd="sng" w14:algn="ctr">
            <w14:noFill/>
            <w14:prstDash w14:val="solid"/>
            <w14:miter w14:lim="400000"/>
          </w14:textOutline>
        </w:rPr>
        <w:t xml:space="preserve"> T</w:t>
      </w:r>
      <w:proofErr w:type="spellStart"/>
      <w:r w:rsidR="00C96635" w:rsidRPr="006A43BB">
        <w:rPr>
          <w:rStyle w:val="None"/>
          <w:rFonts w:cs="Times New Roman"/>
          <w:shd w:val="clear" w:color="auto" w:fill="FFFFFF"/>
          <w:lang w:val="en-US"/>
          <w14:textOutline w14:w="12700" w14:cap="flat" w14:cmpd="sng" w14:algn="ctr">
            <w14:noFill/>
            <w14:prstDash w14:val="solid"/>
            <w14:miter w14:lim="400000"/>
          </w14:textOutline>
        </w:rPr>
        <w:t>hus</w:t>
      </w:r>
      <w:proofErr w:type="spellEnd"/>
      <w:r w:rsidR="00C96635" w:rsidRPr="006A43BB">
        <w:rPr>
          <w:rStyle w:val="None"/>
          <w:rFonts w:cs="Times New Roman"/>
          <w:shd w:val="clear" w:color="auto" w:fill="FFFFFF"/>
          <w:lang w:val="en-US"/>
          <w14:textOutline w14:w="12700" w14:cap="flat" w14:cmpd="sng" w14:algn="ctr">
            <w14:noFill/>
            <w14:prstDash w14:val="solid"/>
            <w14:miter w14:lim="400000"/>
          </w14:textOutline>
        </w:rPr>
        <w:t>, on the one hand, the application of domestic law could be more successful in filling the gaps rather than international as it simply fails to include any guidance on third-party liability. On the other hand, domestic law is unnecessary as international law is fully capable of providing necessary standards of complicity. However, this argument should be considered in the context of international criminal law that will be examined in the next section.</w:t>
      </w:r>
      <w:r w:rsidR="00C96635"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82"/>
      </w:r>
      <w:r w:rsidR="007F13B6">
        <w:rPr>
          <w:rStyle w:val="None"/>
          <w:rFonts w:cs="Times New Roman"/>
          <w:shd w:val="clear" w:color="auto" w:fill="FFFFFF"/>
          <w:lang w:val="en-US"/>
          <w14:textOutline w14:w="12700" w14:cap="flat" w14:cmpd="sng" w14:algn="ctr">
            <w14:noFill/>
            <w14:prstDash w14:val="solid"/>
            <w14:miter w14:lim="400000"/>
          </w14:textOutline>
        </w:rPr>
        <w:t xml:space="preserve"> </w:t>
      </w:r>
      <w:r w:rsidR="00B017B2" w:rsidRPr="006A43BB">
        <w:rPr>
          <w:rStyle w:val="None"/>
          <w:rFonts w:cs="Times New Roman"/>
          <w:shd w:val="clear" w:color="auto" w:fill="FFFFFF"/>
          <w:lang w:val="en-US"/>
          <w14:textOutline w14:w="12700" w14:cap="flat" w14:cmpd="sng" w14:algn="ctr">
            <w14:noFill/>
            <w14:prstDash w14:val="solid"/>
            <w14:miter w14:lim="400000"/>
          </w14:textOutline>
        </w:rPr>
        <w:t xml:space="preserve">Tort law negligence has the ability to </w:t>
      </w:r>
      <w:r w:rsidR="00010E5B" w:rsidRPr="006A43BB">
        <w:rPr>
          <w:rStyle w:val="None"/>
          <w:rFonts w:cs="Times New Roman"/>
          <w:shd w:val="clear" w:color="auto" w:fill="FFFFFF"/>
          <w:lang w:val="en-US"/>
          <w14:textOutline w14:w="12700" w14:cap="flat" w14:cmpd="sng" w14:algn="ctr">
            <w14:noFill/>
            <w14:prstDash w14:val="solid"/>
            <w14:miter w14:lim="400000"/>
          </w14:textOutline>
        </w:rPr>
        <w:t xml:space="preserve">count on social and legal standards including self-regulation of corporations. </w:t>
      </w:r>
      <w:r w:rsidR="00AE5535" w:rsidRPr="006A43BB">
        <w:rPr>
          <w:rStyle w:val="None"/>
          <w:rFonts w:cs="Times New Roman"/>
          <w:shd w:val="clear" w:color="auto" w:fill="FFFFFF"/>
          <w:lang w:val="en-US"/>
          <w14:textOutline w14:w="12700" w14:cap="flat" w14:cmpd="sng" w14:algn="ctr">
            <w14:noFill/>
            <w14:prstDash w14:val="solid"/>
            <w14:miter w14:lim="400000"/>
          </w14:textOutline>
        </w:rPr>
        <w:t xml:space="preserve">Transformation of those standards into binding norms is crucial and this cannot be relied on voluntary </w:t>
      </w:r>
      <w:r w:rsidR="002A6494" w:rsidRPr="006A43BB">
        <w:rPr>
          <w:rStyle w:val="None"/>
          <w:rFonts w:cs="Times New Roman"/>
          <w:shd w:val="clear" w:color="auto" w:fill="FFFFFF"/>
          <w:lang w:val="en-US"/>
          <w14:textOutline w14:w="12700" w14:cap="flat" w14:cmpd="sng" w14:algn="ctr">
            <w14:noFill/>
            <w14:prstDash w14:val="solid"/>
            <w14:miter w14:lim="400000"/>
          </w14:textOutline>
        </w:rPr>
        <w:t>initiatives any longer. The duty to respect human rights needs to be elaborated as a binding principle</w:t>
      </w:r>
      <w:r w:rsidR="00FF560C" w:rsidRPr="006A43BB">
        <w:rPr>
          <w:rStyle w:val="None"/>
          <w:rFonts w:cs="Times New Roman"/>
          <w:shd w:val="clear" w:color="auto" w:fill="FFFFFF"/>
          <w:lang w:val="en-US"/>
          <w14:textOutline w14:w="12700" w14:cap="flat" w14:cmpd="sng" w14:algn="ctr">
            <w14:noFill/>
            <w14:prstDash w14:val="solid"/>
            <w14:miter w14:lim="400000"/>
          </w14:textOutline>
        </w:rPr>
        <w:t>.</w:t>
      </w:r>
      <w:r w:rsidR="00FF560C" w:rsidRPr="006A43BB">
        <w:rPr>
          <w:rStyle w:val="FootnoteReference"/>
          <w:rFonts w:cs="Times New Roman"/>
          <w:shd w:val="clear" w:color="auto" w:fill="FFFFFF"/>
          <w:lang w:val="en-US"/>
          <w14:textOutline w14:w="12700" w14:cap="flat" w14:cmpd="sng" w14:algn="ctr">
            <w14:noFill/>
            <w14:prstDash w14:val="solid"/>
            <w14:miter w14:lim="400000"/>
          </w14:textOutline>
        </w:rPr>
        <w:footnoteReference w:id="183"/>
      </w:r>
      <w:r w:rsidR="00B15A1C" w:rsidRPr="006A43BB">
        <w:rPr>
          <w:rStyle w:val="None"/>
          <w:rFonts w:cs="Times New Roman"/>
          <w:shd w:val="clear" w:color="auto" w:fill="FFFFFF"/>
          <w:lang w:val="en-US"/>
          <w14:textOutline w14:w="12700" w14:cap="flat" w14:cmpd="sng" w14:algn="ctr">
            <w14:noFill/>
            <w14:prstDash w14:val="solid"/>
            <w14:miter w14:lim="400000"/>
          </w14:textOutline>
        </w:rPr>
        <w:t xml:space="preserve"> </w:t>
      </w:r>
    </w:p>
    <w:p w14:paraId="73291938"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39" w14:textId="77777777" w:rsidR="003B207D" w:rsidRPr="006A43BB" w:rsidRDefault="00C96635" w:rsidP="006A43BB">
      <w:pPr>
        <w:pStyle w:val="Body"/>
        <w:spacing w:line="360" w:lineRule="auto"/>
        <w:jc w:val="both"/>
        <w:rPr>
          <w:rStyle w:val="None"/>
          <w:rFonts w:cs="Times New Roman"/>
          <w:b/>
          <w:bCs/>
          <w:shd w:val="clear" w:color="auto" w:fill="FFFFFF"/>
          <w14:textOutline w14:w="12700" w14:cap="flat" w14:cmpd="sng" w14:algn="ctr">
            <w14:noFill/>
            <w14:prstDash w14:val="solid"/>
            <w14:miter w14:lim="400000"/>
          </w14:textOutline>
        </w:rPr>
      </w:pPr>
      <w:r w:rsidRPr="006A43BB">
        <w:rPr>
          <w:rStyle w:val="None"/>
          <w:rFonts w:cs="Times New Roman"/>
          <w:b/>
          <w:bCs/>
          <w:shd w:val="clear" w:color="auto" w:fill="FFFFFF"/>
          <w:lang w:val="en-US"/>
          <w14:textOutline w14:w="12700" w14:cap="flat" w14:cmpd="sng" w14:algn="ctr">
            <w14:noFill/>
            <w14:prstDash w14:val="solid"/>
            <w14:miter w14:lim="400000"/>
          </w14:textOutline>
        </w:rPr>
        <w:lastRenderedPageBreak/>
        <w:t xml:space="preserve">4.4 Obligations under International Criminal Law </w:t>
      </w:r>
    </w:p>
    <w:p w14:paraId="7329193A" w14:textId="77777777" w:rsidR="003B207D" w:rsidRPr="006A43BB" w:rsidRDefault="003B207D" w:rsidP="006A43BB">
      <w:pPr>
        <w:pStyle w:val="Body"/>
        <w:spacing w:line="360" w:lineRule="auto"/>
        <w:jc w:val="both"/>
        <w:rPr>
          <w:rStyle w:val="None"/>
          <w:rFonts w:cs="Times New Roman"/>
          <w:b/>
          <w:bCs/>
          <w:shd w:val="clear" w:color="auto" w:fill="FFFFFF"/>
          <w14:textOutline w14:w="12700" w14:cap="flat" w14:cmpd="sng" w14:algn="ctr">
            <w14:noFill/>
            <w14:prstDash w14:val="solid"/>
            <w14:miter w14:lim="400000"/>
          </w14:textOutline>
        </w:rPr>
      </w:pPr>
    </w:p>
    <w:p w14:paraId="7329193B" w14:textId="672CA07E"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Considering the complexity of imposing direct obligations on corporations under domestic law there is a number of arguments in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favour</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of international criminal law. States are not only ones to have duties under international law as individuals are also bound by international obligations. However, the question is whether companies can be brought to the same responsibility as natural persons.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84"/>
      </w:r>
    </w:p>
    <w:p w14:paraId="7329193C"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3D"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Common law countries such as UK and US have abandoned long time ago the traditional approach excluding criminal liability of TNC</w:t>
      </w:r>
      <w:r w:rsidRPr="00726ADE">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pt-PT"/>
          <w14:textOutline w14:w="12700" w14:cap="flat" w14:cmpd="sng" w14:algn="ctr">
            <w14:noFill/>
            <w14:prstDash w14:val="solid"/>
            <w14:miter w14:lim="400000"/>
          </w14:textOutline>
        </w:rPr>
        <w:t>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85"/>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However, this position was justified with the following conceptual reasons:</w:t>
      </w:r>
    </w:p>
    <w:p w14:paraId="7329193E"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3F" w14:textId="77777777" w:rsidR="003B207D" w:rsidRPr="006A43BB" w:rsidRDefault="00C96635" w:rsidP="006A43BB">
      <w:pPr>
        <w:pStyle w:val="Body"/>
        <w:numPr>
          <w:ilvl w:val="0"/>
          <w:numId w:val="10"/>
        </w:numPr>
        <w:spacing w:line="360" w:lineRule="auto"/>
        <w:jc w:val="both"/>
        <w:rPr>
          <w:rFonts w:cs="Times New Roman"/>
          <w:lang w:val="en-US"/>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Legal persons are considered as </w:t>
      </w:r>
      <w:r w:rsidRPr="00726ADE">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artificial subjects</w:t>
      </w:r>
      <w:r w:rsidRPr="00726ADE">
        <w:rPr>
          <w:rStyle w:val="None"/>
          <w:rFonts w:cs="Times New Roman"/>
          <w:shd w:val="clear" w:color="auto" w:fill="FFFFFF"/>
          <w:rtl/>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according to abstraction doctrine and criminal liability is only applicable to human beings implying naturalistic approach;</w:t>
      </w:r>
    </w:p>
    <w:p w14:paraId="73291940" w14:textId="77777777" w:rsidR="003B207D" w:rsidRPr="006A43BB" w:rsidRDefault="00C96635" w:rsidP="006A43BB">
      <w:pPr>
        <w:pStyle w:val="Body"/>
        <w:numPr>
          <w:ilvl w:val="0"/>
          <w:numId w:val="10"/>
        </w:numPr>
        <w:spacing w:line="360" w:lineRule="auto"/>
        <w:jc w:val="both"/>
        <w:rPr>
          <w:rFonts w:cs="Times New Roman"/>
          <w:lang w:val="en-US"/>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Legal entities do not possess mental attitudes such as negligence, intent or recklessness that should normally be central to criminal punishment; </w:t>
      </w:r>
    </w:p>
    <w:p w14:paraId="73291941" w14:textId="77777777" w:rsidR="003B207D" w:rsidRPr="006A43BB" w:rsidRDefault="00C96635" w:rsidP="006A43BB">
      <w:pPr>
        <w:pStyle w:val="Body"/>
        <w:numPr>
          <w:ilvl w:val="0"/>
          <w:numId w:val="10"/>
        </w:numPr>
        <w:spacing w:line="360" w:lineRule="auto"/>
        <w:jc w:val="both"/>
        <w:rPr>
          <w:rFonts w:cs="Times New Roman"/>
          <w:lang w:val="en-US"/>
        </w:rPr>
      </w:pPr>
      <w:r w:rsidRPr="006A43BB">
        <w:rPr>
          <w:rStyle w:val="None"/>
          <w:rFonts w:cs="Times New Roman"/>
          <w:shd w:val="clear" w:color="auto" w:fill="FFFFFF"/>
          <w:lang w:val="en-US"/>
          <w14:textOutline w14:w="12700" w14:cap="flat" w14:cmpd="sng" w14:algn="ctr">
            <w14:noFill/>
            <w14:prstDash w14:val="solid"/>
            <w14:miter w14:lim="400000"/>
          </w14:textOutline>
        </w:rPr>
        <w:t>The concept of individual criminal liability does not include criminal liability of actions committed by other persons.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86"/>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73291942" w14:textId="77777777" w:rsidR="003B207D" w:rsidRPr="006A43BB" w:rsidRDefault="003B207D" w:rsidP="006A43BB">
      <w:pPr>
        <w:pStyle w:val="Body"/>
        <w:spacing w:line="360" w:lineRule="auto"/>
        <w:ind w:left="720"/>
        <w:jc w:val="both"/>
        <w:rPr>
          <w:rStyle w:val="None"/>
          <w:rFonts w:cs="Times New Roman"/>
          <w:shd w:val="clear" w:color="auto" w:fill="FFFFFF"/>
          <w14:textOutline w14:w="12700" w14:cap="flat" w14:cmpd="sng" w14:algn="ctr">
            <w14:noFill/>
            <w14:prstDash w14:val="solid"/>
            <w14:miter w14:lim="400000"/>
          </w14:textOutline>
        </w:rPr>
      </w:pPr>
    </w:p>
    <w:p w14:paraId="73291943" w14:textId="042ECC92" w:rsidR="003B207D" w:rsidRDefault="00C96635" w:rsidP="006E2B4D">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The International Military Tribunal (hereinafter</w:t>
      </w:r>
      <w:r w:rsidRPr="00726ADE">
        <w:rPr>
          <w:rStyle w:val="None"/>
          <w:rFonts w:cs="Times New Roman"/>
          <w:shd w:val="clear" w:color="auto" w:fill="FFFFFF"/>
          <w:rtl/>
          <w14:textOutline w14:w="12700" w14:cap="flat" w14:cmpd="sng" w14:algn="ctr">
            <w14:noFill/>
            <w14:prstDash w14:val="solid"/>
            <w14:miter w14:lim="400000"/>
          </w14:textOutline>
        </w:rPr>
        <w:t>–</w:t>
      </w:r>
      <w:r w:rsidR="00457E73">
        <w:rPr>
          <w:rStyle w:val="None"/>
          <w:rFonts w:cs="Times New Roman" w:hint="cs"/>
          <w:shd w:val="clear" w:color="auto" w:fill="FFFFFF"/>
          <w:rtl/>
          <w14:textOutline w14:w="12700" w14:cap="flat" w14:cmpd="sng" w14:algn="ctr">
            <w14:noFill/>
            <w14:prstDash w14:val="solid"/>
            <w14:miter w14:lim="400000"/>
          </w14:textOutline>
        </w:rPr>
        <w:t xml:space="preserve"> </w:t>
      </w:r>
      <w:r w:rsidR="00457E73">
        <w:rPr>
          <w:rStyle w:val="None"/>
          <w:rFonts w:cs="Times New Roman"/>
          <w:shd w:val="clear" w:color="auto" w:fill="FFFFFF"/>
          <w:lang w:val="en-US"/>
          <w14:textOutline w14:w="12700" w14:cap="flat" w14:cmpd="sng" w14:algn="ctr">
            <w14:noFill/>
            <w14:prstDash w14:val="solid"/>
            <w14:miter w14:lim="400000"/>
          </w14:textOutline>
        </w:rPr>
        <w:t xml:space="preserve">  ‘IMT’) in</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several cases such as the IG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Faben</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Krupp, Presbyterian Church of Sudan v Talisman has consistently discussed failure of the Rome Statute to impose criminal liability of legal persons.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87"/>
      </w:r>
      <w:r w:rsidRPr="006A43BB">
        <w:rPr>
          <w:rStyle w:val="None"/>
          <w:rFonts w:cs="Times New Roman"/>
          <w:sz w:val="22"/>
          <w:szCs w:val="22"/>
          <w:shd w:val="clear" w:color="auto" w:fill="FFFFFF"/>
          <w:lang w:val="en-US"/>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According to Andrew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Clapham</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who was part of the delegations at the Rome Conference, stated that questions of whether legal persons have obligations under international law was never</w:t>
      </w:r>
      <w:r w:rsidR="00F91FC0">
        <w:rPr>
          <w:rStyle w:val="None"/>
          <w:rFonts w:cs="Times New Roman"/>
          <w:shd w:val="clear" w:color="auto" w:fill="FFFFFF"/>
          <w:lang w:val="en-US"/>
          <w14:textOutline w14:w="12700" w14:cap="flat" w14:cmpd="sng" w14:algn="ctr">
            <w14:noFill/>
            <w14:prstDash w14:val="solid"/>
            <w14:miter w14:lim="400000"/>
          </w14:textOutline>
        </w:rPr>
        <w:t xml:space="preserve"> brought to the agenda</w:t>
      </w:r>
      <w:r w:rsidRPr="006A43BB">
        <w:rPr>
          <w:rStyle w:val="None"/>
          <w:rFonts w:cs="Times New Roman"/>
          <w:shd w:val="clear" w:color="auto" w:fill="FFFFFF"/>
          <w:lang w:val="en-US"/>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88"/>
      </w:r>
      <w:r w:rsidRPr="006A43BB">
        <w:rPr>
          <w:rStyle w:val="None"/>
          <w:rFonts w:cs="Times New Roman"/>
          <w:shd w:val="clear" w:color="auto" w:fill="FFFFFF"/>
          <w14:textOutline w14:w="12700" w14:cap="flat" w14:cmpd="sng" w14:algn="ctr">
            <w14:noFill/>
            <w14:prstDash w14:val="solid"/>
            <w14:miter w14:lim="400000"/>
          </w14:textOutline>
        </w:rPr>
        <w:t xml:space="preserve"> </w:t>
      </w:r>
      <w:r w:rsidRPr="006A43BB">
        <w:rPr>
          <w:rStyle w:val="None"/>
          <w:rFonts w:cs="Times New Roman"/>
          <w:sz w:val="22"/>
          <w:szCs w:val="22"/>
          <w:shd w:val="clear" w:color="auto" w:fill="FFFFFF"/>
          <w:lang w:val="en-US"/>
          <w14:textOutline w14:w="12700" w14:cap="flat" w14:cmpd="sng" w14:algn="ctr">
            <w14:noFill/>
            <w14:prstDash w14:val="solid"/>
            <w14:miter w14:lim="400000"/>
          </w14:textOutline>
        </w:rPr>
        <w:t xml:space="preserve">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The application of criminal norms in the context of criminal liability is not practically developed. Moreover, it is not necessary due to the existing mechanisms of compliance under international law. As Harold Hogan stated </w:t>
      </w:r>
      <w:r w:rsidRPr="00726ADE">
        <w:rPr>
          <w:rStyle w:val="None"/>
          <w:rFonts w:cs="Times New Roman"/>
          <w:shd w:val="clear" w:color="auto" w:fill="FFFFFF"/>
          <w:rtl/>
          <w14:textOutline w14:w="12700" w14:cap="flat" w14:cmpd="sng" w14:algn="ctr">
            <w14:noFill/>
            <w14:prstDash w14:val="solid"/>
            <w14:miter w14:lim="400000"/>
          </w14:textOutline>
        </w:rPr>
        <w:t>‘</w:t>
      </w:r>
      <w:r w:rsidRPr="007A4442">
        <w:rPr>
          <w:rStyle w:val="None"/>
          <w:rFonts w:cs="Times New Roman"/>
          <w:i/>
          <w:iCs/>
          <w:shd w:val="clear" w:color="auto" w:fill="FFFFFF"/>
          <w:lang w:val="en-US"/>
          <w14:textOutline w14:w="12700" w14:cap="flat" w14:cmpd="sng" w14:algn="ctr">
            <w14:noFill/>
            <w14:prstDash w14:val="solid"/>
            <w14:miter w14:lim="400000"/>
          </w14:textOutline>
        </w:rPr>
        <w:t xml:space="preserve">even if for some reason international law did not impose civil </w:t>
      </w:r>
      <w:r w:rsidRPr="007A4442">
        <w:rPr>
          <w:rStyle w:val="None"/>
          <w:rFonts w:cs="Times New Roman"/>
          <w:i/>
          <w:iCs/>
          <w:shd w:val="clear" w:color="auto" w:fill="FFFFFF"/>
          <w:lang w:val="en-US"/>
          <w14:textOutline w14:w="12700" w14:cap="flat" w14:cmpd="sng" w14:algn="ctr">
            <w14:noFill/>
            <w14:prstDash w14:val="solid"/>
            <w14:miter w14:lim="400000"/>
          </w14:textOutline>
        </w:rPr>
        <w:lastRenderedPageBreak/>
        <w:t>liability directly, there is nothing to prevent domestic law from supplementing international criminal law remedies arising out of domestic law</w:t>
      </w:r>
      <w:r w:rsidRPr="007A4442">
        <w:rPr>
          <w:rStyle w:val="None"/>
          <w:rFonts w:cs="Times New Roman"/>
          <w:i/>
          <w:iCs/>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89"/>
      </w:r>
      <w:r w:rsidRPr="006A43BB">
        <w:rPr>
          <w:rStyle w:val="None"/>
          <w:rFonts w:cs="Times New Roman"/>
          <w:shd w:val="clear" w:color="auto" w:fill="FFFFFF"/>
          <w14:textOutline w14:w="12700" w14:cap="flat" w14:cmpd="sng" w14:algn="ctr">
            <w14:noFill/>
            <w14:prstDash w14:val="solid"/>
            <w14:miter w14:lim="400000"/>
          </w14:textOutline>
        </w:rPr>
        <w:t xml:space="preserve"> </w:t>
      </w:r>
    </w:p>
    <w:p w14:paraId="5EB53E5F" w14:textId="77777777" w:rsidR="006E2B4D" w:rsidRPr="006A43BB" w:rsidRDefault="006E2B4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44"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Under the civil systems of criminal law the only one way to impose criminal obligations on associations and groups is referring to offence of </w:t>
      </w:r>
      <w:r w:rsidRPr="006E2B4D">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14:textOutline w14:w="12700" w14:cap="flat" w14:cmpd="sng" w14:algn="ctr">
            <w14:noFill/>
            <w14:prstDash w14:val="solid"/>
            <w14:miter w14:lim="400000"/>
          </w14:textOutline>
        </w:rPr>
        <w:t>criminal association</w:t>
      </w:r>
      <w:r w:rsidRPr="006E2B4D">
        <w:rPr>
          <w:rStyle w:val="None"/>
          <w:rFonts w:cs="Times New Roman"/>
          <w:shd w:val="clear" w:color="auto" w:fill="FFFFFF"/>
          <w:rtl/>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For example, in France this could be referred as association </w:t>
      </w:r>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de </w:t>
      </w:r>
      <w:proofErr w:type="spellStart"/>
      <w:r w:rsidRPr="006A43BB">
        <w:rPr>
          <w:rStyle w:val="None"/>
          <w:rFonts w:cs="Times New Roman"/>
          <w:i/>
          <w:iCs/>
          <w:shd w:val="clear" w:color="auto" w:fill="FFFFFF"/>
          <w:lang w:val="en-US"/>
          <w14:textOutline w14:w="12700" w14:cap="flat" w14:cmpd="sng" w14:algn="ctr">
            <w14:noFill/>
            <w14:prstDash w14:val="solid"/>
            <w14:miter w14:lim="400000"/>
          </w14:textOutline>
        </w:rPr>
        <w:t>malfaiteurs</w:t>
      </w:r>
      <w:proofErr w:type="spellEnd"/>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90"/>
      </w:r>
      <w:r w:rsidRPr="006A43BB">
        <w:rPr>
          <w:rStyle w:val="None"/>
          <w:rFonts w:cs="Times New Roman"/>
          <w:shd w:val="clear" w:color="auto" w:fill="FFFFFF"/>
          <w14:textOutline w14:w="12700" w14:cap="flat" w14:cmpd="sng" w14:algn="ctr">
            <w14:noFill/>
            <w14:prstDash w14:val="solid"/>
            <w14:miter w14:lim="400000"/>
          </w14:textOutline>
        </w:rPr>
        <w:t xml:space="preserve"> and in Italy </w:t>
      </w:r>
      <w:proofErr w:type="spellStart"/>
      <w:r w:rsidRPr="006A43BB">
        <w:rPr>
          <w:rStyle w:val="None"/>
          <w:rFonts w:cs="Times New Roman"/>
          <w:i/>
          <w:iCs/>
          <w:shd w:val="clear" w:color="auto" w:fill="FFFFFF"/>
          <w14:textOutline w14:w="12700" w14:cap="flat" w14:cmpd="sng" w14:algn="ctr">
            <w14:noFill/>
            <w14:prstDash w14:val="solid"/>
            <w14:miter w14:lim="400000"/>
          </w14:textOutline>
        </w:rPr>
        <w:t>associazione</w:t>
      </w:r>
      <w:proofErr w:type="spellEnd"/>
      <w:r w:rsidRPr="006A43BB">
        <w:rPr>
          <w:rStyle w:val="None"/>
          <w:rFonts w:cs="Times New Roman"/>
          <w:i/>
          <w:iCs/>
          <w:shd w:val="clear" w:color="auto" w:fill="FFFFFF"/>
          <w14:textOutline w14:w="12700" w14:cap="flat" w14:cmpd="sng" w14:algn="ctr">
            <w14:noFill/>
            <w14:prstDash w14:val="solid"/>
            <w14:miter w14:lim="400000"/>
          </w14:textOutline>
        </w:rPr>
        <w:t xml:space="preserve"> a </w:t>
      </w:r>
      <w:proofErr w:type="spellStart"/>
      <w:r w:rsidRPr="006A43BB">
        <w:rPr>
          <w:rStyle w:val="None"/>
          <w:rFonts w:cs="Times New Roman"/>
          <w:i/>
          <w:iCs/>
          <w:shd w:val="clear" w:color="auto" w:fill="FFFFFF"/>
          <w14:textOutline w14:w="12700" w14:cap="flat" w14:cmpd="sng" w14:algn="ctr">
            <w14:noFill/>
            <w14:prstDash w14:val="solid"/>
            <w14:miter w14:lim="400000"/>
          </w14:textOutline>
        </w:rPr>
        <w:t>delinquere</w:t>
      </w:r>
      <w:proofErr w:type="spellEnd"/>
      <w:r w:rsidRPr="006A43BB">
        <w:rPr>
          <w:rStyle w:val="None"/>
          <w:rFonts w:cs="Times New Roman"/>
          <w:shd w:val="clear" w:color="auto" w:fill="FFFFFF"/>
          <w14:textOutline w14:w="12700" w14:cap="flat" w14:cmpd="sng" w14:algn="ctr">
            <w14:noFill/>
            <w14:prstDash w14:val="solid"/>
            <w14:miter w14:lim="400000"/>
          </w14:textOutline>
        </w:rPr>
        <w:t>.</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91"/>
      </w:r>
    </w:p>
    <w:p w14:paraId="73291945"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46" w14:textId="435125AA"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Over the last few years</w:t>
      </w:r>
      <w:r w:rsidR="00A07143">
        <w:rPr>
          <w:rStyle w:val="None"/>
          <w:rFonts w:cs="Times New Roman"/>
          <w:shd w:val="clear" w:color="auto" w:fill="FFFFFF"/>
          <w:lang w:val="en-US"/>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because of the development of terrorism and corruption</w:t>
      </w:r>
      <w:r w:rsidR="00A07143">
        <w:rPr>
          <w:rStyle w:val="None"/>
          <w:rFonts w:cs="Times New Roman"/>
          <w:shd w:val="clear" w:color="auto" w:fill="FFFFFF"/>
          <w:lang w:val="en-US"/>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legislators around the globe started to think more constructively about the application of international criminal law to corporations and not only to individuals. This would include reparations and deterrence as two main tools for corporate criminal accountability.</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92"/>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Deterrence is currently considered as an important mechanism of criminal justice policy that could potentially be used to deter individuals involved in corporate human rights violations and reparations can be provided in the form of financial resources of corporations.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93"/>
      </w:r>
    </w:p>
    <w:p w14:paraId="73291947"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48" w14:textId="77777777"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Currently the concept of criminal liability of corporations is embodied in national law of many countries with respect to a particular activities such as public fraud, corruption, money laundering and terrorism. In addition, over the past decade there were a number of international instruments and Conventions introduced in the field of terrorism and corruption.</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94"/>
      </w:r>
    </w:p>
    <w:p w14:paraId="73291949"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4A" w14:textId="0DBD6A6F" w:rsidR="003B207D" w:rsidRPr="006A43BB" w:rsidRDefault="00C96635"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One could argue that criminal liability can be </w:t>
      </w:r>
      <w:r w:rsidR="00C5497A">
        <w:rPr>
          <w:rStyle w:val="None"/>
          <w:rFonts w:cs="Times New Roman"/>
          <w:shd w:val="clear" w:color="auto" w:fill="FFFFFF"/>
          <w:lang w:val="en-US"/>
          <w14:textOutline w14:w="12700" w14:cap="flat" w14:cmpd="sng" w14:algn="ctr">
            <w14:noFill/>
            <w14:prstDash w14:val="solid"/>
            <w14:miter w14:lim="400000"/>
          </w14:textOutline>
        </w:rPr>
        <w:t xml:space="preserve">analyzed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in </w:t>
      </w:r>
      <w:r w:rsidR="00D73F9B">
        <w:rPr>
          <w:rStyle w:val="None"/>
          <w:rFonts w:cs="Times New Roman"/>
          <w:shd w:val="clear" w:color="auto" w:fill="FFFFFF"/>
          <w:lang w:val="en-US"/>
          <w14:textOutline w14:w="12700" w14:cap="flat" w14:cmpd="sng" w14:algn="ctr">
            <w14:noFill/>
            <w14:prstDash w14:val="solid"/>
            <w14:miter w14:lim="400000"/>
          </w14:textOutline>
        </w:rPr>
        <w:t xml:space="preserve">respect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of </w:t>
      </w:r>
      <w:r w:rsidRPr="006A43BB">
        <w:rPr>
          <w:rStyle w:val="None"/>
          <w:rFonts w:cs="Times New Roman"/>
          <w:i/>
          <w:iCs/>
          <w:shd w:val="clear" w:color="auto" w:fill="FFFFFF"/>
          <w:lang w:val="pt-PT"/>
          <w14:textOutline w14:w="12700" w14:cap="flat" w14:cmpd="sng" w14:algn="ctr">
            <w14:noFill/>
            <w14:prstDash w14:val="solid"/>
            <w14:miter w14:lim="400000"/>
          </w14:textOutline>
        </w:rPr>
        <w:t xml:space="preserve">mens rea. </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As a legal doctrine </w:t>
      </w:r>
      <w:proofErr w:type="spellStart"/>
      <w:r w:rsidRPr="006A43BB">
        <w:rPr>
          <w:rStyle w:val="None"/>
          <w:rFonts w:cs="Times New Roman"/>
          <w:i/>
          <w:iCs/>
          <w:shd w:val="clear" w:color="auto" w:fill="FFFFFF"/>
          <w:lang w:val="en-US"/>
          <w14:textOutline w14:w="12700" w14:cap="flat" w14:cmpd="sng" w14:algn="ctr">
            <w14:noFill/>
            <w14:prstDash w14:val="solid"/>
            <w14:miter w14:lim="400000"/>
          </w14:textOutline>
        </w:rPr>
        <w:t>mens</w:t>
      </w:r>
      <w:proofErr w:type="spellEnd"/>
      <w:r w:rsidRPr="006A43BB">
        <w:rPr>
          <w:rStyle w:val="None"/>
          <w:rFonts w:cs="Times New Roman"/>
          <w:i/>
          <w:iCs/>
          <w:shd w:val="clear" w:color="auto" w:fill="FFFFFF"/>
          <w:lang w:val="en-US"/>
          <w14:textOutline w14:w="12700" w14:cap="flat" w14:cmpd="sng" w14:algn="ctr">
            <w14:noFill/>
            <w14:prstDash w14:val="solid"/>
            <w14:miter w14:lim="400000"/>
          </w14:textOutline>
        </w:rPr>
        <w:t xml:space="preserve"> rea</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has faced a number of </w:t>
      </w:r>
      <w:r w:rsidR="00741476">
        <w:rPr>
          <w:rStyle w:val="None"/>
          <w:rFonts w:cs="Times New Roman"/>
          <w:shd w:val="clear" w:color="auto" w:fill="FFFFFF"/>
          <w:lang w:val="en-US"/>
          <w14:textOutline w14:w="12700" w14:cap="flat" w14:cmpd="sng" w14:algn="ctr">
            <w14:noFill/>
            <w14:prstDash w14:val="solid"/>
            <w14:miter w14:lim="400000"/>
          </w14:textOutline>
        </w:rPr>
        <w:t>challenges</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in relation to its attribution to corporations.</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95"/>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Thus, the following attribution solutions has been suggested:</w:t>
      </w:r>
    </w:p>
    <w:p w14:paraId="7329194B"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4C" w14:textId="1B1ECF9D" w:rsidR="003B207D" w:rsidRPr="006A43BB" w:rsidRDefault="00C96635" w:rsidP="006A43BB">
      <w:pPr>
        <w:pStyle w:val="Body"/>
        <w:numPr>
          <w:ilvl w:val="0"/>
          <w:numId w:val="12"/>
        </w:numPr>
        <w:spacing w:line="360" w:lineRule="auto"/>
        <w:jc w:val="both"/>
        <w:rPr>
          <w:rFonts w:cs="Times New Roman"/>
          <w:lang w:val="en-US"/>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Codes of Conduct or corporate compliance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programme</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This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programme</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xml:space="preserve"> would set up a number of rules and regulations in relation to human rights and ensure that employees would know certain laws and corporate policies. Corporation would avoid criminal liability if it would establish an effective corporate compliance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programme</w:t>
      </w:r>
      <w:proofErr w:type="spellEnd"/>
      <w:r w:rsidR="00576555">
        <w:rPr>
          <w:rStyle w:val="None"/>
          <w:rFonts w:cs="Times New Roman"/>
          <w:shd w:val="clear" w:color="auto" w:fill="FFFFFF"/>
          <w:lang w:val="en-US"/>
          <w14:textOutline w14:w="12700" w14:cap="flat" w14:cmpd="sng" w14:algn="ctr">
            <w14:noFill/>
            <w14:prstDash w14:val="solid"/>
            <w14:miter w14:lim="400000"/>
          </w14:textOutline>
        </w:rPr>
        <w:t>;</w:t>
      </w:r>
      <w:r w:rsidRPr="006A43BB">
        <w:rPr>
          <w:rStyle w:val="None"/>
          <w:rFonts w:cs="Times New Roman"/>
          <w:shd w:val="clear" w:color="auto" w:fill="FFFFFF"/>
          <w:lang w:val="en-US"/>
          <w14:textOutline w14:w="12700" w14:cap="flat" w14:cmpd="sng" w14:algn="ctr">
            <w14:noFill/>
            <w14:prstDash w14:val="solid"/>
            <w14:miter w14:lim="400000"/>
          </w14:textOutline>
        </w:rPr>
        <w:t xml:space="preserve"> </w:t>
      </w:r>
    </w:p>
    <w:p w14:paraId="7329194D" w14:textId="77777777" w:rsidR="003B207D" w:rsidRPr="006A43BB" w:rsidRDefault="00C96635" w:rsidP="006A43BB">
      <w:pPr>
        <w:pStyle w:val="Body"/>
        <w:numPr>
          <w:ilvl w:val="0"/>
          <w:numId w:val="12"/>
        </w:numPr>
        <w:spacing w:line="360" w:lineRule="auto"/>
        <w:jc w:val="both"/>
        <w:rPr>
          <w:rFonts w:cs="Times New Roman"/>
          <w:lang w:val="en-US"/>
        </w:rPr>
      </w:pPr>
      <w:r w:rsidRPr="006A43BB">
        <w:rPr>
          <w:rStyle w:val="None"/>
          <w:rFonts w:cs="Times New Roman"/>
          <w:shd w:val="clear" w:color="auto" w:fill="FFFFFF"/>
          <w:lang w:val="en-US"/>
          <w14:textOutline w14:w="12700" w14:cap="flat" w14:cmpd="sng" w14:algn="ctr">
            <w14:noFill/>
            <w14:prstDash w14:val="solid"/>
            <w14:miter w14:lim="400000"/>
          </w14:textOutline>
        </w:rPr>
        <w:lastRenderedPageBreak/>
        <w:t>The aggregation doctrine (actions of employees would amount to crime);</w:t>
      </w:r>
    </w:p>
    <w:p w14:paraId="7329194E" w14:textId="77777777" w:rsidR="003B207D" w:rsidRPr="006A43BB" w:rsidRDefault="00C96635" w:rsidP="006A43BB">
      <w:pPr>
        <w:pStyle w:val="Body"/>
        <w:numPr>
          <w:ilvl w:val="0"/>
          <w:numId w:val="12"/>
        </w:numPr>
        <w:spacing w:line="360" w:lineRule="auto"/>
        <w:jc w:val="both"/>
        <w:rPr>
          <w:rFonts w:cs="Times New Roman"/>
          <w:lang w:val="en-US"/>
        </w:rPr>
      </w:pPr>
      <w:r w:rsidRPr="006A43BB">
        <w:rPr>
          <w:rStyle w:val="None"/>
          <w:rFonts w:cs="Times New Roman"/>
          <w:shd w:val="clear" w:color="auto" w:fill="FFFFFF"/>
          <w:lang w:val="en-US"/>
          <w14:textOutline w14:w="12700" w14:cap="flat" w14:cmpd="sng" w14:algn="ctr">
            <w14:noFill/>
            <w14:prstDash w14:val="solid"/>
            <w14:miter w14:lim="400000"/>
          </w14:textOutline>
        </w:rPr>
        <w:t>The identification doctrine (activities of individuals who are considered as an important figures within the corporation would amount to criminal liability);</w:t>
      </w:r>
    </w:p>
    <w:p w14:paraId="7329194F" w14:textId="77777777" w:rsidR="003B207D" w:rsidRPr="006A43BB" w:rsidRDefault="00C96635" w:rsidP="006A43BB">
      <w:pPr>
        <w:pStyle w:val="Body"/>
        <w:numPr>
          <w:ilvl w:val="0"/>
          <w:numId w:val="12"/>
        </w:numPr>
        <w:spacing w:line="360" w:lineRule="auto"/>
        <w:jc w:val="both"/>
        <w:rPr>
          <w:rFonts w:cs="Times New Roman"/>
          <w:lang w:val="en-US"/>
        </w:rPr>
      </w:pPr>
      <w:r w:rsidRPr="006A43BB">
        <w:rPr>
          <w:rStyle w:val="None"/>
          <w:rFonts w:cs="Times New Roman"/>
          <w:shd w:val="clear" w:color="auto" w:fill="FFFFFF"/>
          <w:lang w:val="en-US"/>
          <w14:textOutline w14:w="12700" w14:cap="flat" w14:cmpd="sng" w14:algn="ctr">
            <w14:noFill/>
            <w14:prstDash w14:val="solid"/>
            <w14:miter w14:lim="400000"/>
          </w14:textOutline>
        </w:rPr>
        <w:t>The interest doctrine (in cases when the crime is committed in the interest of corporation);</w:t>
      </w:r>
      <w:r w:rsidRPr="006A43BB">
        <w:rPr>
          <w:rStyle w:val="None"/>
          <w:rFonts w:cs="Times New Roman"/>
          <w:shd w:val="clear" w:color="auto" w:fill="FFFFFF"/>
          <w:vertAlign w:val="superscript"/>
          <w14:textOutline w14:w="12700" w14:cap="flat" w14:cmpd="sng" w14:algn="ctr">
            <w14:noFill/>
            <w14:prstDash w14:val="solid"/>
            <w14:miter w14:lim="400000"/>
          </w14:textOutline>
        </w:rPr>
        <w:footnoteReference w:id="196"/>
      </w:r>
    </w:p>
    <w:p w14:paraId="73291950" w14:textId="77777777" w:rsidR="003B207D" w:rsidRPr="006A43BB" w:rsidRDefault="003B207D" w:rsidP="006A43BB">
      <w:pPr>
        <w:pStyle w:val="Body"/>
        <w:spacing w:line="360" w:lineRule="auto"/>
        <w:jc w:val="both"/>
        <w:rPr>
          <w:rStyle w:val="None"/>
          <w:rFonts w:cs="Times New Roman"/>
          <w:shd w:val="clear" w:color="auto" w:fill="FFFFFF"/>
          <w14:textOutline w14:w="12700" w14:cap="flat" w14:cmpd="sng" w14:algn="ctr">
            <w14:noFill/>
            <w14:prstDash w14:val="solid"/>
            <w14:miter w14:lim="400000"/>
          </w14:textOutline>
        </w:rPr>
      </w:pPr>
    </w:p>
    <w:p w14:paraId="73291951" w14:textId="0DE236B7" w:rsidR="003B207D" w:rsidRPr="00524939" w:rsidRDefault="00C96635" w:rsidP="006A43BB">
      <w:pPr>
        <w:pStyle w:val="Body"/>
        <w:spacing w:line="360" w:lineRule="auto"/>
        <w:jc w:val="both"/>
        <w:rPr>
          <w:rStyle w:val="None"/>
          <w:rFonts w:cs="Times New Roman"/>
          <w:shd w:val="clear" w:color="auto" w:fill="FFFFFF"/>
          <w:lang w:val="en-US"/>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The concept of</w:t>
      </w:r>
      <w:r w:rsidRPr="008800DF">
        <w:rPr>
          <w:rStyle w:val="None"/>
          <w:shd w:val="clear" w:color="auto" w:fill="FFFFFF"/>
          <w:lang w:val="en-US"/>
          <w14:textOutline w14:w="12700" w14:cap="flat" w14:cmpd="sng" w14:algn="ctr">
            <w14:noFill/>
            <w14:prstDash w14:val="solid"/>
            <w14:miter w14:lim="400000"/>
          </w14:textOutline>
        </w:rPr>
        <w:t xml:space="preserve"> criminal liability is generally accepted on international and domestic levels. However, there is still lack of clarity in relation to types of crimes, sanctions and interrelation with liability for individuals. The possible solution would be the extension of the ICC jurisdiction to corporations as this would lead to the direct enforcement of the ICC Statute and create a substantially stringer deterrent against criminal activities of corporations. However, this would be quite hard to achieve considering the need to fully review the Statute. This process has already started through soft law instruments and indirect enforcement mechanisms discussed earlier. </w:t>
      </w:r>
      <w:r w:rsidRPr="006A43BB">
        <w:rPr>
          <w:rStyle w:val="None"/>
          <w:rFonts w:ascii="Arial" w:hAnsi="Arial"/>
          <w:shd w:val="clear" w:color="auto" w:fill="FFFFFF"/>
          <w:lang w:val="en-US"/>
          <w14:textOutline w14:w="12700" w14:cap="flat" w14:cmpd="sng" w14:algn="ctr">
            <w14:noFill/>
            <w14:prstDash w14:val="solid"/>
            <w14:miter w14:lim="400000"/>
          </w14:textOutline>
        </w:rPr>
        <w:t xml:space="preserve"> </w:t>
      </w:r>
      <w:r w:rsidRPr="008800DF">
        <w:rPr>
          <w:rStyle w:val="None"/>
          <w:shd w:val="clear" w:color="auto" w:fill="FFFFFF"/>
          <w:lang w:val="en-US"/>
          <w14:textOutline w14:w="12700" w14:cap="flat" w14:cmpd="sng" w14:algn="ctr">
            <w14:noFill/>
            <w14:prstDash w14:val="solid"/>
            <w14:miter w14:lim="400000"/>
          </w14:textOutline>
        </w:rPr>
        <w:t>More work needs to be done in order to create a strong enforcement mechanism under domestic law and international criminal law to make corporations directly accountable. These analyses clearly demonstrate</w:t>
      </w:r>
      <w:r w:rsidR="005C20B2">
        <w:rPr>
          <w:rStyle w:val="None"/>
          <w:shd w:val="clear" w:color="auto" w:fill="FFFFFF"/>
          <w:lang w:val="en-US"/>
          <w14:textOutline w14:w="12700" w14:cap="flat" w14:cmpd="sng" w14:algn="ctr">
            <w14:noFill/>
            <w14:prstDash w14:val="solid"/>
            <w14:miter w14:lim="400000"/>
          </w14:textOutline>
        </w:rPr>
        <w:t>s</w:t>
      </w:r>
      <w:r w:rsidRPr="008800DF">
        <w:rPr>
          <w:rStyle w:val="None"/>
          <w:shd w:val="clear" w:color="auto" w:fill="FFFFFF"/>
          <w:lang w:val="en-US"/>
          <w14:textOutline w14:w="12700" w14:cap="flat" w14:cmpd="sng" w14:algn="ctr">
            <w14:noFill/>
            <w14:prstDash w14:val="solid"/>
            <w14:miter w14:lim="400000"/>
          </w14:textOutline>
        </w:rPr>
        <w:t xml:space="preserve"> the need for a strong enforcement mechanism at the international level that would include responsibility of home states. However, there is a number of issues related to such approaches that will be more closely examined in the next chapter. </w:t>
      </w:r>
    </w:p>
    <w:p w14:paraId="73291952" w14:textId="1CB5A117" w:rsidR="003B207D" w:rsidRDefault="003B207D" w:rsidP="008800DF">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54" w14:textId="77777777" w:rsidR="003B207D" w:rsidRPr="006A43BB" w:rsidRDefault="00C96635" w:rsidP="006A43BB">
      <w:pPr>
        <w:pStyle w:val="BodyA"/>
        <w:spacing w:line="360" w:lineRule="auto"/>
        <w:jc w:val="both"/>
        <w:rPr>
          <w:rStyle w:val="None"/>
          <w:rFonts w:ascii="Times New Roman" w:eastAsia="Times New Roman" w:hAnsi="Times New Roman" w:cs="Times New Roman"/>
          <w:b/>
          <w:bCs/>
          <w:sz w:val="24"/>
          <w:szCs w:val="24"/>
          <w:shd w:val="clear" w:color="auto" w:fill="FFFFFF"/>
        </w:rPr>
      </w:pPr>
      <w:r w:rsidRPr="008800DF">
        <w:rPr>
          <w:rStyle w:val="None"/>
          <w:rFonts w:ascii="Times New Roman" w:hAnsi="Times New Roman"/>
          <w:b/>
          <w:bCs/>
          <w:sz w:val="24"/>
          <w:szCs w:val="24"/>
          <w:shd w:val="clear" w:color="auto" w:fill="FFFFFF"/>
        </w:rPr>
        <w:t xml:space="preserve">Chapter V Responsibility of States </w:t>
      </w:r>
    </w:p>
    <w:p w14:paraId="73291955" w14:textId="77777777" w:rsidR="003B207D" w:rsidRPr="008800DF"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56" w14:textId="77777777" w:rsidR="003B207D" w:rsidRPr="008800DF" w:rsidRDefault="00C96635" w:rsidP="006A43BB">
      <w:pPr>
        <w:pStyle w:val="BodyA"/>
        <w:spacing w:line="360" w:lineRule="auto"/>
        <w:jc w:val="both"/>
        <w:rPr>
          <w:rStyle w:val="None"/>
          <w:rFonts w:ascii="Times New Roman" w:eastAsia="Times New Roman" w:hAnsi="Times New Roman" w:cs="Times New Roman"/>
          <w:b/>
          <w:bCs/>
          <w:sz w:val="24"/>
          <w:szCs w:val="24"/>
          <w:shd w:val="clear" w:color="auto" w:fill="FFFFFF"/>
        </w:rPr>
      </w:pPr>
      <w:r w:rsidRPr="008800DF">
        <w:rPr>
          <w:rStyle w:val="None"/>
          <w:rFonts w:ascii="Times New Roman" w:hAnsi="Times New Roman"/>
          <w:b/>
          <w:bCs/>
          <w:sz w:val="24"/>
          <w:szCs w:val="24"/>
          <w:shd w:val="clear" w:color="auto" w:fill="FFFFFF"/>
        </w:rPr>
        <w:t xml:space="preserve">5.1 Introduction </w:t>
      </w:r>
    </w:p>
    <w:p w14:paraId="73291957" w14:textId="77777777" w:rsidR="003B207D" w:rsidRPr="008800DF"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58" w14:textId="614E1554" w:rsidR="003B207D" w:rsidRPr="008800DF"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8800DF">
        <w:rPr>
          <w:rStyle w:val="None"/>
          <w:rFonts w:ascii="Times New Roman" w:hAnsi="Times New Roman"/>
          <w:sz w:val="24"/>
          <w:szCs w:val="24"/>
          <w:shd w:val="clear" w:color="auto" w:fill="FFFFFF"/>
        </w:rPr>
        <w:t xml:space="preserve">As it has been argued in the previous chapters of this research the direct regulation through voluntary initiatives and non-binding international instruments is lacking teeth when it comes to accountability of corporations. This chapter is designed to explore another possible option that include indirect regulation of corporate behavior through the exercise </w:t>
      </w:r>
      <w:r w:rsidR="00423DF1">
        <w:rPr>
          <w:rStyle w:val="None"/>
          <w:rFonts w:ascii="Times New Roman" w:hAnsi="Times New Roman"/>
          <w:sz w:val="24"/>
          <w:szCs w:val="24"/>
          <w:shd w:val="clear" w:color="auto" w:fill="FFFFFF"/>
        </w:rPr>
        <w:t>by</w:t>
      </w:r>
      <w:r w:rsidRPr="008800DF">
        <w:rPr>
          <w:rStyle w:val="None"/>
          <w:rFonts w:ascii="Times New Roman" w:hAnsi="Times New Roman"/>
          <w:sz w:val="24"/>
          <w:szCs w:val="24"/>
          <w:shd w:val="clear" w:color="auto" w:fill="FFFFFF"/>
        </w:rPr>
        <w:t xml:space="preserve"> states of their extraterritorial obligation to protect human rights. </w:t>
      </w:r>
    </w:p>
    <w:p w14:paraId="73291959" w14:textId="77777777" w:rsidR="003B207D" w:rsidRPr="00D2760C"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D2760C">
        <w:rPr>
          <w:rStyle w:val="None"/>
          <w:rFonts w:ascii="Times New Roman" w:hAnsi="Times New Roman"/>
          <w:sz w:val="24"/>
          <w:szCs w:val="24"/>
          <w:shd w:val="clear" w:color="auto" w:fill="FFFFFF"/>
        </w:rPr>
        <w:t xml:space="preserve">However, this approach is widely </w:t>
      </w:r>
      <w:proofErr w:type="spellStart"/>
      <w:r w:rsidRPr="00D2760C">
        <w:rPr>
          <w:rStyle w:val="None"/>
          <w:rFonts w:ascii="Times New Roman" w:hAnsi="Times New Roman"/>
          <w:sz w:val="24"/>
          <w:szCs w:val="24"/>
          <w:shd w:val="clear" w:color="auto" w:fill="FFFFFF"/>
        </w:rPr>
        <w:t>criticised</w:t>
      </w:r>
      <w:proofErr w:type="spellEnd"/>
      <w:r w:rsidRPr="00D2760C">
        <w:rPr>
          <w:rStyle w:val="None"/>
          <w:rFonts w:ascii="Times New Roman" w:hAnsi="Times New Roman"/>
          <w:sz w:val="24"/>
          <w:szCs w:val="24"/>
          <w:shd w:val="clear" w:color="auto" w:fill="FFFFFF"/>
        </w:rPr>
        <w:t xml:space="preserve"> due to its cross border nature raising questions of territorial integrity, sovereignty and jurisdiction. This chapter will examine the indirect </w:t>
      </w:r>
      <w:r w:rsidRPr="00D2760C">
        <w:rPr>
          <w:rStyle w:val="None"/>
          <w:rFonts w:ascii="Times New Roman" w:hAnsi="Times New Roman"/>
          <w:sz w:val="24"/>
          <w:szCs w:val="24"/>
          <w:shd w:val="clear" w:color="auto" w:fill="FFFFFF"/>
        </w:rPr>
        <w:lastRenderedPageBreak/>
        <w:t xml:space="preserve">approach of holding corporations accountable for human rights violations and establish whether this approach can be considered as a valuable alternative. </w:t>
      </w:r>
    </w:p>
    <w:p w14:paraId="7329195A" w14:textId="77777777" w:rsidR="003B207D" w:rsidRPr="00D2760C"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5B" w14:textId="77777777" w:rsidR="003B207D" w:rsidRPr="00D2760C" w:rsidRDefault="00C96635" w:rsidP="006A43BB">
      <w:pPr>
        <w:pStyle w:val="BodyA"/>
        <w:spacing w:line="360" w:lineRule="auto"/>
        <w:jc w:val="both"/>
        <w:rPr>
          <w:rStyle w:val="None"/>
          <w:rFonts w:ascii="Times New Roman" w:eastAsia="Times New Roman" w:hAnsi="Times New Roman" w:cs="Times New Roman"/>
          <w:b/>
          <w:bCs/>
          <w:sz w:val="24"/>
          <w:szCs w:val="24"/>
          <w:shd w:val="clear" w:color="auto" w:fill="FFFFFF"/>
        </w:rPr>
      </w:pPr>
      <w:r w:rsidRPr="00D2760C">
        <w:rPr>
          <w:rStyle w:val="None"/>
          <w:rFonts w:ascii="Times New Roman" w:hAnsi="Times New Roman"/>
          <w:b/>
          <w:bCs/>
          <w:sz w:val="24"/>
          <w:szCs w:val="24"/>
          <w:shd w:val="clear" w:color="auto" w:fill="FFFFFF"/>
        </w:rPr>
        <w:t xml:space="preserve">5.2 Extraterritorial regulation </w:t>
      </w:r>
    </w:p>
    <w:p w14:paraId="7329195C" w14:textId="77777777" w:rsidR="003B207D" w:rsidRPr="00D2760C"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5D" w14:textId="33E28691" w:rsidR="003B207D" w:rsidRDefault="00C96635" w:rsidP="006A43BB">
      <w:pPr>
        <w:pStyle w:val="BodyA"/>
        <w:spacing w:line="360" w:lineRule="auto"/>
        <w:jc w:val="both"/>
        <w:rPr>
          <w:rStyle w:val="None"/>
          <w:rFonts w:ascii="Times New Roman" w:hAnsi="Times New Roman"/>
          <w:i/>
          <w:iCs/>
          <w:sz w:val="24"/>
          <w:szCs w:val="24"/>
          <w:shd w:val="clear" w:color="auto" w:fill="FFFFFF"/>
        </w:rPr>
      </w:pPr>
      <w:r w:rsidRPr="00D2760C">
        <w:rPr>
          <w:rStyle w:val="None"/>
          <w:rFonts w:ascii="Times New Roman" w:hAnsi="Times New Roman"/>
          <w:sz w:val="24"/>
          <w:szCs w:val="24"/>
          <w:shd w:val="clear" w:color="auto" w:fill="FFFFFF"/>
        </w:rPr>
        <w:t>Each state has a due diligence obligation to protect human rights acting within or under its jurisdiction.</w:t>
      </w:r>
      <w:r w:rsidRPr="00D2760C">
        <w:rPr>
          <w:rStyle w:val="None"/>
          <w:rFonts w:ascii="Times New Roman" w:eastAsia="Times New Roman" w:hAnsi="Times New Roman" w:cs="Times New Roman"/>
          <w:sz w:val="24"/>
          <w:szCs w:val="24"/>
          <w:shd w:val="clear" w:color="auto" w:fill="FFFFFF"/>
          <w:vertAlign w:val="superscript"/>
        </w:rPr>
        <w:footnoteReference w:id="197"/>
      </w:r>
      <w:r w:rsidRPr="00D2760C">
        <w:rPr>
          <w:rStyle w:val="None"/>
          <w:rFonts w:ascii="Times New Roman" w:hAnsi="Times New Roman"/>
          <w:sz w:val="24"/>
          <w:szCs w:val="24"/>
          <w:shd w:val="clear" w:color="auto" w:fill="FFFFFF"/>
        </w:rPr>
        <w:t xml:space="preserve"> In Velasquez Rodriguez v Honduras case it has been argued that </w:t>
      </w:r>
      <w:r w:rsidRPr="00D2760C">
        <w:rPr>
          <w:rStyle w:val="None"/>
          <w:rFonts w:ascii="Times New Roman" w:hAnsi="Times New Roman"/>
          <w:i/>
          <w:iCs/>
          <w:sz w:val="24"/>
          <w:szCs w:val="24"/>
          <w:shd w:val="clear" w:color="auto" w:fill="FFFFFF"/>
        </w:rPr>
        <w:t>‘an illegal act which violates human rights and which is initially not directly imputable to a State (for example, because it is the act of a private person or because the person responsible has not been identified) can lead to international responsibility of the State, not because of an act itself, but because of the lack of due diligence to prevent the violation or to respond to it as required by the Convention’.</w:t>
      </w:r>
      <w:r w:rsidRPr="00D2760C">
        <w:rPr>
          <w:rStyle w:val="None"/>
          <w:rFonts w:ascii="Times New Roman" w:eastAsia="Times New Roman" w:hAnsi="Times New Roman" w:cs="Times New Roman"/>
          <w:i/>
          <w:iCs/>
          <w:sz w:val="24"/>
          <w:szCs w:val="24"/>
          <w:shd w:val="clear" w:color="auto" w:fill="FFFFFF"/>
          <w:vertAlign w:val="superscript"/>
        </w:rPr>
        <w:footnoteReference w:id="198"/>
      </w:r>
    </w:p>
    <w:p w14:paraId="14514571" w14:textId="77777777" w:rsidR="00E02C53" w:rsidRPr="00D2760C" w:rsidRDefault="00E02C53" w:rsidP="006A43BB">
      <w:pPr>
        <w:pStyle w:val="BodyA"/>
        <w:spacing w:line="360" w:lineRule="auto"/>
        <w:jc w:val="both"/>
        <w:rPr>
          <w:rStyle w:val="None"/>
          <w:rFonts w:ascii="Times New Roman" w:eastAsia="Times New Roman" w:hAnsi="Times New Roman" w:cs="Times New Roman"/>
          <w:i/>
          <w:iCs/>
          <w:sz w:val="24"/>
          <w:szCs w:val="24"/>
          <w:shd w:val="clear" w:color="auto" w:fill="FFFFFF"/>
        </w:rPr>
      </w:pPr>
    </w:p>
    <w:p w14:paraId="7329195E" w14:textId="2C8B0D29" w:rsidR="003B207D" w:rsidRDefault="00C96635" w:rsidP="006A43BB">
      <w:pPr>
        <w:pStyle w:val="BodyA"/>
        <w:spacing w:line="360" w:lineRule="auto"/>
        <w:jc w:val="both"/>
        <w:rPr>
          <w:rStyle w:val="None"/>
          <w:rFonts w:ascii="Times New Roman" w:hAnsi="Times New Roman"/>
          <w:sz w:val="24"/>
          <w:szCs w:val="24"/>
          <w:shd w:val="clear" w:color="auto" w:fill="FFFFFF"/>
        </w:rPr>
      </w:pPr>
      <w:r w:rsidRPr="00D2760C">
        <w:rPr>
          <w:rStyle w:val="None"/>
          <w:rFonts w:ascii="Times New Roman" w:hAnsi="Times New Roman"/>
          <w:sz w:val="24"/>
          <w:szCs w:val="24"/>
          <w:shd w:val="clear" w:color="auto" w:fill="FFFFFF"/>
        </w:rPr>
        <w:t>In other words, this obligation is a part of international responsibility of states. However,  international human rights law applies different approaches when it comes to the territorial nature of this obligation.</w:t>
      </w:r>
      <w:r w:rsidRPr="00D2760C">
        <w:rPr>
          <w:rStyle w:val="None"/>
          <w:rFonts w:ascii="Times New Roman" w:eastAsia="Times New Roman" w:hAnsi="Times New Roman" w:cs="Times New Roman"/>
          <w:sz w:val="24"/>
          <w:szCs w:val="24"/>
          <w:shd w:val="clear" w:color="auto" w:fill="FFFFFF"/>
          <w:vertAlign w:val="superscript"/>
        </w:rPr>
        <w:footnoteReference w:id="199"/>
      </w:r>
      <w:r w:rsidRPr="00D2760C">
        <w:rPr>
          <w:rStyle w:val="None"/>
          <w:rFonts w:ascii="Times New Roman" w:hAnsi="Times New Roman"/>
          <w:sz w:val="24"/>
          <w:szCs w:val="24"/>
          <w:shd w:val="clear" w:color="auto" w:fill="FFFFFF"/>
        </w:rPr>
        <w:t xml:space="preserve"> </w:t>
      </w:r>
    </w:p>
    <w:p w14:paraId="6D84B63C" w14:textId="77777777" w:rsidR="00E02C53" w:rsidRPr="006A43BB" w:rsidRDefault="00E02C53"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5F" w14:textId="0E3F715D" w:rsidR="003B207D" w:rsidRDefault="00C96635" w:rsidP="00D2760C">
      <w:pPr>
        <w:pStyle w:val="BodyA"/>
        <w:spacing w:line="360" w:lineRule="auto"/>
        <w:jc w:val="both"/>
        <w:rPr>
          <w:rStyle w:val="None"/>
          <w:rFonts w:ascii="Times New Roman" w:hAnsi="Times New Roman"/>
          <w:sz w:val="24"/>
          <w:szCs w:val="24"/>
          <w:shd w:val="clear" w:color="auto" w:fill="FFFFFF"/>
        </w:rPr>
      </w:pPr>
      <w:r w:rsidRPr="00D2760C">
        <w:rPr>
          <w:rStyle w:val="None"/>
          <w:rFonts w:ascii="Times New Roman" w:hAnsi="Times New Roman"/>
          <w:sz w:val="24"/>
          <w:szCs w:val="24"/>
          <w:shd w:val="clear" w:color="auto" w:fill="FFFFFF"/>
        </w:rPr>
        <w:t>For example, according to the ICCPR</w:t>
      </w:r>
      <w:r w:rsidR="005C20B2">
        <w:rPr>
          <w:rStyle w:val="None"/>
          <w:rFonts w:ascii="Times New Roman" w:hAnsi="Times New Roman"/>
          <w:sz w:val="24"/>
          <w:szCs w:val="24"/>
          <w:shd w:val="clear" w:color="auto" w:fill="FFFFFF"/>
        </w:rPr>
        <w:t xml:space="preserve"> </w:t>
      </w:r>
      <w:r w:rsidRPr="00D2760C">
        <w:rPr>
          <w:rStyle w:val="None"/>
          <w:rFonts w:ascii="Times New Roman" w:hAnsi="Times New Roman"/>
          <w:sz w:val="24"/>
          <w:szCs w:val="24"/>
          <w:shd w:val="clear" w:color="auto" w:fill="FFFFFF"/>
        </w:rPr>
        <w:t xml:space="preserve">every state have a duty to </w:t>
      </w:r>
      <w:r w:rsidRPr="006A43BB">
        <w:rPr>
          <w:rStyle w:val="None"/>
          <w:rFonts w:ascii="Times New Roman" w:hAnsi="Times New Roman"/>
          <w:i/>
          <w:iCs/>
          <w:sz w:val="24"/>
          <w:szCs w:val="24"/>
          <w:shd w:val="clear" w:color="auto" w:fill="FFFFFF"/>
        </w:rPr>
        <w:t xml:space="preserve">“respect and ensure to all individuals within its territory and subject to jurisdiction the rights </w:t>
      </w:r>
      <w:proofErr w:type="spellStart"/>
      <w:r w:rsidRPr="006A43BB">
        <w:rPr>
          <w:rStyle w:val="None"/>
          <w:rFonts w:ascii="Times New Roman" w:hAnsi="Times New Roman"/>
          <w:i/>
          <w:iCs/>
          <w:sz w:val="24"/>
          <w:szCs w:val="24"/>
          <w:shd w:val="clear" w:color="auto" w:fill="FFFFFF"/>
        </w:rPr>
        <w:t>recognised</w:t>
      </w:r>
      <w:proofErr w:type="spellEnd"/>
      <w:r w:rsidRPr="006A43BB">
        <w:rPr>
          <w:rStyle w:val="None"/>
          <w:rFonts w:ascii="Times New Roman" w:hAnsi="Times New Roman"/>
          <w:i/>
          <w:iCs/>
          <w:sz w:val="24"/>
          <w:szCs w:val="24"/>
          <w:shd w:val="clear" w:color="auto" w:fill="FFFFFF"/>
        </w:rPr>
        <w:t xml:space="preserve"> in the present Covenant”</w:t>
      </w:r>
      <w:r w:rsidRPr="00D2760C">
        <w:rPr>
          <w:rStyle w:val="None"/>
          <w:rFonts w:ascii="Times New Roman" w:hAnsi="Times New Roman"/>
          <w:sz w:val="24"/>
          <w:szCs w:val="24"/>
          <w:shd w:val="clear" w:color="auto" w:fill="FFFFFF"/>
        </w:rPr>
        <w:t>.</w:t>
      </w:r>
      <w:r w:rsidRPr="00D2760C">
        <w:rPr>
          <w:rStyle w:val="None"/>
          <w:rFonts w:ascii="Times New Roman" w:eastAsia="Times New Roman" w:hAnsi="Times New Roman" w:cs="Times New Roman"/>
          <w:sz w:val="24"/>
          <w:szCs w:val="24"/>
          <w:shd w:val="clear" w:color="auto" w:fill="FFFFFF"/>
          <w:vertAlign w:val="superscript"/>
        </w:rPr>
        <w:footnoteReference w:id="200"/>
      </w:r>
    </w:p>
    <w:p w14:paraId="2CDD85DD" w14:textId="77777777" w:rsidR="005C20B2" w:rsidRPr="006A43BB" w:rsidRDefault="005C20B2"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60" w14:textId="77777777" w:rsidR="003B207D" w:rsidRPr="00D2760C"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D2760C">
        <w:rPr>
          <w:rStyle w:val="None"/>
          <w:rFonts w:ascii="Times New Roman" w:hAnsi="Times New Roman"/>
          <w:sz w:val="24"/>
          <w:szCs w:val="24"/>
          <w:shd w:val="clear" w:color="auto" w:fill="FFFFFF"/>
        </w:rPr>
        <w:t>General Comments of the UN Committee on Economic, Social and Cultural Rights stated as follows:</w:t>
      </w:r>
    </w:p>
    <w:p w14:paraId="73291961" w14:textId="77777777" w:rsidR="003B207D" w:rsidRPr="00D2760C"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62" w14:textId="77777777" w:rsidR="003B207D" w:rsidRPr="00D2760C" w:rsidRDefault="00C96635" w:rsidP="006A43BB">
      <w:pPr>
        <w:pStyle w:val="BodyA"/>
        <w:spacing w:line="360" w:lineRule="auto"/>
        <w:jc w:val="both"/>
        <w:rPr>
          <w:rStyle w:val="None"/>
          <w:rFonts w:ascii="Times New Roman" w:eastAsia="Times New Roman" w:hAnsi="Times New Roman" w:cs="Times New Roman"/>
          <w:i/>
          <w:iCs/>
          <w:sz w:val="24"/>
          <w:szCs w:val="24"/>
          <w:shd w:val="clear" w:color="auto" w:fill="FFFFFF"/>
        </w:rPr>
      </w:pPr>
      <w:r w:rsidRPr="00D2760C">
        <w:rPr>
          <w:rStyle w:val="None"/>
          <w:rFonts w:ascii="Times New Roman" w:hAnsi="Times New Roman"/>
          <w:i/>
          <w:iCs/>
          <w:sz w:val="24"/>
          <w:szCs w:val="24"/>
          <w:shd w:val="clear" w:color="auto" w:fill="FFFFFF"/>
        </w:rPr>
        <w:t>‘To comply with their international obligations in relation to article 12, States parties have to respect the enjoyment of the right to health in other countries, and to prevent third parties from violating the right in other countries, if they are able to influence these third parties by way of legal or political means, in accordance with the Charter of the United Nations and applicable international law’.</w:t>
      </w:r>
      <w:r w:rsidRPr="00D2760C">
        <w:rPr>
          <w:rStyle w:val="None"/>
          <w:rFonts w:ascii="Times New Roman" w:eastAsia="Times New Roman" w:hAnsi="Times New Roman" w:cs="Times New Roman"/>
          <w:i/>
          <w:iCs/>
          <w:sz w:val="24"/>
          <w:szCs w:val="24"/>
          <w:shd w:val="clear" w:color="auto" w:fill="FFFFFF"/>
          <w:vertAlign w:val="superscript"/>
        </w:rPr>
        <w:footnoteReference w:id="201"/>
      </w:r>
    </w:p>
    <w:p w14:paraId="2C04A5CE" w14:textId="77777777" w:rsidR="007D77CC" w:rsidRPr="006A43BB" w:rsidRDefault="007D77CC" w:rsidP="006A43BB">
      <w:pPr>
        <w:pStyle w:val="BodyA"/>
        <w:spacing w:line="360" w:lineRule="auto"/>
        <w:jc w:val="both"/>
        <w:rPr>
          <w:rStyle w:val="None"/>
          <w:rFonts w:ascii="Times New Roman" w:eastAsia="Times New Roman" w:hAnsi="Times New Roman" w:cs="Times New Roman"/>
          <w:i/>
          <w:iCs/>
          <w:sz w:val="24"/>
          <w:szCs w:val="24"/>
          <w:shd w:val="clear" w:color="auto" w:fill="FFFFFF"/>
        </w:rPr>
      </w:pPr>
    </w:p>
    <w:p w14:paraId="73291964" w14:textId="7FA1C1F5" w:rsidR="003B207D" w:rsidRPr="001D194F" w:rsidRDefault="00C96635" w:rsidP="006A43BB">
      <w:pPr>
        <w:pStyle w:val="BodyA"/>
        <w:spacing w:line="360" w:lineRule="auto"/>
        <w:jc w:val="both"/>
        <w:rPr>
          <w:rStyle w:val="None"/>
          <w:rFonts w:ascii="Times New Roman" w:hAnsi="Times New Roman"/>
          <w:sz w:val="24"/>
          <w:szCs w:val="24"/>
          <w:shd w:val="clear" w:color="auto" w:fill="FFFFFF"/>
        </w:rPr>
      </w:pPr>
      <w:r w:rsidRPr="00D2760C">
        <w:rPr>
          <w:rStyle w:val="None"/>
          <w:rFonts w:ascii="Times New Roman" w:hAnsi="Times New Roman"/>
          <w:sz w:val="24"/>
          <w:szCs w:val="24"/>
          <w:shd w:val="clear" w:color="auto" w:fill="FFFFFF"/>
        </w:rPr>
        <w:lastRenderedPageBreak/>
        <w:t xml:space="preserve">Thus, </w:t>
      </w:r>
      <w:r w:rsidR="00D86709">
        <w:rPr>
          <w:rStyle w:val="None"/>
          <w:rFonts w:ascii="Times New Roman" w:hAnsi="Times New Roman"/>
          <w:sz w:val="24"/>
          <w:szCs w:val="24"/>
          <w:shd w:val="clear" w:color="auto" w:fill="FFFFFF"/>
        </w:rPr>
        <w:t xml:space="preserve">jurisdiction can be central </w:t>
      </w:r>
      <w:r w:rsidR="00E40940">
        <w:rPr>
          <w:rStyle w:val="None"/>
          <w:rFonts w:ascii="Times New Roman" w:hAnsi="Times New Roman"/>
          <w:sz w:val="24"/>
          <w:szCs w:val="24"/>
          <w:shd w:val="clear" w:color="auto" w:fill="FFFFFF"/>
        </w:rPr>
        <w:t>limitation with respect to the duty to protect limiting its effectiveness to the non-binding soft law obligation</w:t>
      </w:r>
      <w:r w:rsidR="001D194F">
        <w:rPr>
          <w:rStyle w:val="None"/>
          <w:rFonts w:ascii="Times New Roman" w:hAnsi="Times New Roman"/>
          <w:sz w:val="24"/>
          <w:szCs w:val="24"/>
          <w:shd w:val="clear" w:color="auto" w:fill="FFFFFF"/>
        </w:rPr>
        <w:t xml:space="preserve"> under domestic laws</w:t>
      </w:r>
      <w:r w:rsidRPr="00D2760C">
        <w:rPr>
          <w:rStyle w:val="None"/>
          <w:rFonts w:ascii="Times New Roman" w:hAnsi="Times New Roman"/>
          <w:sz w:val="24"/>
          <w:szCs w:val="24"/>
          <w:shd w:val="clear" w:color="auto" w:fill="FFFFFF"/>
        </w:rPr>
        <w:t>.</w:t>
      </w:r>
      <w:r w:rsidRPr="00D2760C">
        <w:rPr>
          <w:rStyle w:val="None"/>
          <w:rFonts w:ascii="Times New Roman" w:eastAsia="Times New Roman" w:hAnsi="Times New Roman" w:cs="Times New Roman"/>
          <w:sz w:val="24"/>
          <w:szCs w:val="24"/>
          <w:shd w:val="clear" w:color="auto" w:fill="FFFFFF"/>
          <w:vertAlign w:val="superscript"/>
        </w:rPr>
        <w:footnoteReference w:id="202"/>
      </w:r>
    </w:p>
    <w:p w14:paraId="73291965" w14:textId="77777777" w:rsidR="003B207D" w:rsidRPr="006A43BB"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66" w14:textId="0E1DCC03" w:rsidR="003B207D" w:rsidRPr="006F6976" w:rsidRDefault="00C96635" w:rsidP="006A43BB">
      <w:pPr>
        <w:pStyle w:val="BodyA"/>
        <w:spacing w:line="360" w:lineRule="auto"/>
        <w:jc w:val="both"/>
        <w:rPr>
          <w:rStyle w:val="None"/>
          <w:rFonts w:ascii="Times New Roman" w:hAnsi="Times New Roman"/>
          <w:sz w:val="24"/>
          <w:szCs w:val="24"/>
          <w:shd w:val="clear" w:color="auto" w:fill="FFFFFF"/>
        </w:rPr>
      </w:pPr>
      <w:r>
        <w:rPr>
          <w:rStyle w:val="None"/>
          <w:rFonts w:ascii="Times New Roman" w:hAnsi="Times New Roman"/>
          <w:sz w:val="24"/>
          <w:szCs w:val="24"/>
          <w:shd w:val="clear" w:color="auto" w:fill="FFFFFF"/>
        </w:rPr>
        <w:t xml:space="preserve">Each state has an exclusive jurisdiction under international law that includes regulation of activities of entities and individuals within its territory, this is also known as the principle of territoriality. Exercise of extraterritorial jurisdiction </w:t>
      </w:r>
      <w:r w:rsidR="00AF3D75">
        <w:rPr>
          <w:rStyle w:val="None"/>
          <w:rFonts w:ascii="Times New Roman" w:hAnsi="Times New Roman"/>
          <w:sz w:val="24"/>
          <w:szCs w:val="24"/>
          <w:shd w:val="clear" w:color="auto" w:fill="FFFFFF"/>
        </w:rPr>
        <w:t xml:space="preserve">is generally not allowed, </w:t>
      </w:r>
      <w:r w:rsidR="006F6976">
        <w:rPr>
          <w:rStyle w:val="None"/>
          <w:rFonts w:ascii="Times New Roman" w:hAnsi="Times New Roman"/>
          <w:sz w:val="24"/>
          <w:szCs w:val="24"/>
          <w:shd w:val="clear" w:color="auto" w:fill="FFFFFF"/>
        </w:rPr>
        <w:t xml:space="preserve">unless justification can be given in the context of </w:t>
      </w:r>
      <w:r>
        <w:rPr>
          <w:rStyle w:val="None"/>
          <w:rFonts w:ascii="Times New Roman" w:hAnsi="Times New Roman"/>
          <w:sz w:val="24"/>
          <w:szCs w:val="24"/>
          <w:shd w:val="clear" w:color="auto" w:fill="FFFFFF"/>
        </w:rPr>
        <w:t>the following customary law principles: the effects doctrine, universality and nationality principle.</w:t>
      </w:r>
      <w:r>
        <w:rPr>
          <w:rStyle w:val="None"/>
          <w:rFonts w:ascii="Times New Roman" w:eastAsia="Times New Roman" w:hAnsi="Times New Roman" w:cs="Times New Roman"/>
          <w:sz w:val="24"/>
          <w:szCs w:val="24"/>
          <w:shd w:val="clear" w:color="auto" w:fill="FFFFFF"/>
          <w:vertAlign w:val="superscript"/>
        </w:rPr>
        <w:footnoteReference w:id="203"/>
      </w:r>
    </w:p>
    <w:p w14:paraId="73291967" w14:textId="77777777" w:rsidR="003B207D"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68"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Under international law it is possible to establish the nationality of corporations. States have duties to regulate the activities of TNC’s that are acting under their laws on the grounds of ‘nationality’ principle.</w:t>
      </w:r>
      <w:r>
        <w:rPr>
          <w:rStyle w:val="None"/>
          <w:rFonts w:ascii="Times New Roman" w:eastAsia="Times New Roman" w:hAnsi="Times New Roman" w:cs="Times New Roman"/>
          <w:sz w:val="24"/>
          <w:szCs w:val="24"/>
          <w:shd w:val="clear" w:color="auto" w:fill="FFFFFF"/>
          <w:vertAlign w:val="superscript"/>
        </w:rPr>
        <w:footnoteReference w:id="204"/>
      </w:r>
      <w:r>
        <w:rPr>
          <w:rStyle w:val="None"/>
          <w:rFonts w:ascii="Times New Roman" w:hAnsi="Times New Roman"/>
          <w:sz w:val="24"/>
          <w:szCs w:val="24"/>
          <w:shd w:val="clear" w:color="auto" w:fill="FFFFFF"/>
        </w:rPr>
        <w:t xml:space="preserve"> In the context of this principle there are two kinds of extraterritorial regulation ‘foreign based’ and ‘parent based’. Good example can be found in the US law, for instance, according to the Export Administration Act of 1979, the president could put ‘foreign policy controls’ on the export of “any goods, technology or other information subject to the jurisdiction of the United States or by any person subject to the jurisdiction of the United States”.</w:t>
      </w:r>
      <w:r>
        <w:rPr>
          <w:rStyle w:val="None"/>
          <w:rFonts w:ascii="Times New Roman" w:eastAsia="Times New Roman" w:hAnsi="Times New Roman" w:cs="Times New Roman"/>
          <w:sz w:val="24"/>
          <w:szCs w:val="24"/>
          <w:shd w:val="clear" w:color="auto" w:fill="FFFFFF"/>
          <w:vertAlign w:val="superscript"/>
        </w:rPr>
        <w:footnoteReference w:id="205"/>
      </w:r>
      <w:r>
        <w:rPr>
          <w:rStyle w:val="None"/>
          <w:rFonts w:ascii="Times New Roman" w:hAnsi="Times New Roman"/>
          <w:sz w:val="24"/>
          <w:szCs w:val="24"/>
          <w:shd w:val="clear" w:color="auto" w:fill="FFFFFF"/>
        </w:rPr>
        <w:t xml:space="preserve"> Most importantly, those principles directly addressed foreign subsidiaries of the US companies.</w:t>
      </w:r>
      <w:r>
        <w:rPr>
          <w:rStyle w:val="None"/>
          <w:rFonts w:ascii="Times New Roman" w:eastAsia="Times New Roman" w:hAnsi="Times New Roman" w:cs="Times New Roman"/>
          <w:sz w:val="24"/>
          <w:szCs w:val="24"/>
          <w:shd w:val="clear" w:color="auto" w:fill="FFFFFF"/>
          <w:vertAlign w:val="superscript"/>
        </w:rPr>
        <w:footnoteReference w:id="206"/>
      </w:r>
    </w:p>
    <w:p w14:paraId="73291969" w14:textId="77777777" w:rsidR="003B207D"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6A" w14:textId="2B74E04C" w:rsidR="003B207D" w:rsidRPr="00B4193B" w:rsidRDefault="00B4193B" w:rsidP="006A43BB">
      <w:pPr>
        <w:pStyle w:val="BodyA"/>
        <w:spacing w:line="360" w:lineRule="auto"/>
        <w:jc w:val="both"/>
        <w:rPr>
          <w:rStyle w:val="None"/>
          <w:rFonts w:ascii="Times New Roman" w:hAnsi="Times New Roman"/>
          <w:sz w:val="24"/>
          <w:szCs w:val="24"/>
          <w:shd w:val="clear" w:color="auto" w:fill="FFFFFF"/>
        </w:rPr>
      </w:pPr>
      <w:r>
        <w:rPr>
          <w:rStyle w:val="None"/>
          <w:rFonts w:ascii="Times New Roman" w:hAnsi="Times New Roman"/>
          <w:sz w:val="24"/>
          <w:szCs w:val="24"/>
          <w:shd w:val="clear" w:color="auto" w:fill="FFFFFF"/>
        </w:rPr>
        <w:t xml:space="preserve">The principle of territoriality implies that </w:t>
      </w:r>
      <w:r w:rsidR="00C96635">
        <w:rPr>
          <w:rStyle w:val="None"/>
          <w:rFonts w:ascii="Times New Roman" w:hAnsi="Times New Roman"/>
          <w:sz w:val="24"/>
          <w:szCs w:val="24"/>
          <w:shd w:val="clear" w:color="auto" w:fill="FFFFFF"/>
        </w:rPr>
        <w:t>each state has jurisdiction to control activities within its boundaries. Under the doctrines of objective and subjective territoriality, the territorial principle has been extended to provide states with extraterritorial jurisdiction over criminal offences occurred in once jurisdiction and concluded on another.</w:t>
      </w:r>
      <w:r w:rsidR="00C96635">
        <w:rPr>
          <w:rStyle w:val="None"/>
          <w:rFonts w:ascii="Times New Roman" w:eastAsia="Times New Roman" w:hAnsi="Times New Roman" w:cs="Times New Roman"/>
          <w:sz w:val="24"/>
          <w:szCs w:val="24"/>
          <w:shd w:val="clear" w:color="auto" w:fill="FFFFFF"/>
          <w:vertAlign w:val="superscript"/>
        </w:rPr>
        <w:footnoteReference w:id="207"/>
      </w:r>
      <w:r w:rsidR="00C96635">
        <w:rPr>
          <w:rStyle w:val="None"/>
          <w:rFonts w:ascii="Times New Roman" w:hAnsi="Times New Roman"/>
          <w:sz w:val="24"/>
          <w:szCs w:val="24"/>
          <w:shd w:val="clear" w:color="auto" w:fill="FFFFFF"/>
        </w:rPr>
        <w:t xml:space="preserve"> The effects doctrine is often referenced as a basis of extraterritorial jurisdiction. However, the effects doctrine is quite controversial and usually opposed by states. Even if it will be widely accepted, the extraterritorial application of social and environmental standards would still be widely </w:t>
      </w:r>
      <w:proofErr w:type="spellStart"/>
      <w:r w:rsidR="00C96635">
        <w:rPr>
          <w:rStyle w:val="None"/>
          <w:rFonts w:ascii="Times New Roman" w:hAnsi="Times New Roman"/>
          <w:sz w:val="24"/>
          <w:szCs w:val="24"/>
          <w:shd w:val="clear" w:color="auto" w:fill="FFFFFF"/>
        </w:rPr>
        <w:t>criticised</w:t>
      </w:r>
      <w:r w:rsidR="002F2DFF">
        <w:rPr>
          <w:rStyle w:val="None"/>
          <w:rFonts w:ascii="Times New Roman" w:hAnsi="Times New Roman"/>
          <w:sz w:val="24"/>
          <w:szCs w:val="24"/>
          <w:shd w:val="clear" w:color="auto" w:fill="FFFFFF"/>
        </w:rPr>
        <w:t>a</w:t>
      </w:r>
      <w:proofErr w:type="spellEnd"/>
      <w:r w:rsidR="002F2DFF">
        <w:rPr>
          <w:rStyle w:val="None"/>
          <w:rFonts w:ascii="Times New Roman" w:hAnsi="Times New Roman"/>
          <w:sz w:val="24"/>
          <w:szCs w:val="24"/>
          <w:shd w:val="clear" w:color="auto" w:fill="FFFFFF"/>
        </w:rPr>
        <w:t xml:space="preserve"> and questioned by many states</w:t>
      </w:r>
      <w:r w:rsidR="00C96635">
        <w:rPr>
          <w:rStyle w:val="None"/>
          <w:rFonts w:ascii="Times New Roman" w:hAnsi="Times New Roman"/>
          <w:sz w:val="24"/>
          <w:szCs w:val="24"/>
          <w:shd w:val="clear" w:color="auto" w:fill="FFFFFF"/>
        </w:rPr>
        <w:t>.</w:t>
      </w:r>
      <w:r w:rsidR="00C96635">
        <w:rPr>
          <w:rStyle w:val="None"/>
          <w:rFonts w:ascii="Times New Roman" w:eastAsia="Times New Roman" w:hAnsi="Times New Roman" w:cs="Times New Roman"/>
          <w:sz w:val="24"/>
          <w:szCs w:val="24"/>
          <w:shd w:val="clear" w:color="auto" w:fill="FFFFFF"/>
          <w:vertAlign w:val="superscript"/>
        </w:rPr>
        <w:footnoteReference w:id="208"/>
      </w:r>
      <w:r w:rsidR="00C96635">
        <w:rPr>
          <w:rStyle w:val="None"/>
          <w:rFonts w:ascii="Times New Roman" w:hAnsi="Times New Roman"/>
          <w:sz w:val="24"/>
          <w:szCs w:val="24"/>
          <w:shd w:val="clear" w:color="auto" w:fill="FFFFFF"/>
        </w:rPr>
        <w:t xml:space="preserve"> </w:t>
      </w:r>
    </w:p>
    <w:p w14:paraId="7329196B" w14:textId="77777777" w:rsidR="003B207D"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6C" w14:textId="01750C96" w:rsidR="003B207D" w:rsidRPr="00130C2D" w:rsidRDefault="00C96635" w:rsidP="006A43BB">
      <w:pPr>
        <w:pStyle w:val="BodyA"/>
        <w:spacing w:line="360" w:lineRule="auto"/>
        <w:jc w:val="both"/>
        <w:rPr>
          <w:rStyle w:val="None"/>
          <w:rFonts w:ascii="Times New Roman" w:hAnsi="Times New Roman"/>
          <w:sz w:val="24"/>
          <w:szCs w:val="24"/>
          <w:shd w:val="clear" w:color="auto" w:fill="FFFFFF"/>
        </w:rPr>
      </w:pPr>
      <w:r>
        <w:rPr>
          <w:rStyle w:val="None"/>
          <w:rFonts w:ascii="Times New Roman" w:hAnsi="Times New Roman"/>
          <w:sz w:val="24"/>
          <w:szCs w:val="24"/>
          <w:shd w:val="clear" w:color="auto" w:fill="FFFFFF"/>
        </w:rPr>
        <w:lastRenderedPageBreak/>
        <w:t xml:space="preserve">The universal jurisdiction is </w:t>
      </w:r>
      <w:r w:rsidR="00130C2D">
        <w:rPr>
          <w:rStyle w:val="None"/>
          <w:rFonts w:ascii="Times New Roman" w:hAnsi="Times New Roman"/>
          <w:sz w:val="24"/>
          <w:szCs w:val="24"/>
          <w:shd w:val="clear" w:color="auto" w:fill="FFFFFF"/>
        </w:rPr>
        <w:t xml:space="preserve">often referred as a doctrine of customary international law. </w:t>
      </w:r>
      <w:r>
        <w:rPr>
          <w:rStyle w:val="None"/>
          <w:rFonts w:ascii="Times New Roman" w:hAnsi="Times New Roman"/>
          <w:sz w:val="24"/>
          <w:szCs w:val="24"/>
          <w:shd w:val="clear" w:color="auto" w:fill="FFFFFF"/>
        </w:rPr>
        <w:t>However, the list of offences attracted the universal jurisdiction is small and include the following: terrorism, genocide, war crimes, torture, piracy, crimes against humanity, slavery. It has been also often mentioned that it’s connection with customary international law is quite controversial.</w:t>
      </w:r>
      <w:r>
        <w:rPr>
          <w:rStyle w:val="None"/>
          <w:rFonts w:ascii="Times New Roman" w:eastAsia="Times New Roman" w:hAnsi="Times New Roman" w:cs="Times New Roman"/>
          <w:sz w:val="24"/>
          <w:szCs w:val="24"/>
          <w:shd w:val="clear" w:color="auto" w:fill="FFFFFF"/>
          <w:vertAlign w:val="superscript"/>
        </w:rPr>
        <w:footnoteReference w:id="209"/>
      </w:r>
      <w:r>
        <w:rPr>
          <w:rStyle w:val="None"/>
          <w:rFonts w:ascii="Times New Roman" w:hAnsi="Times New Roman"/>
          <w:sz w:val="24"/>
          <w:szCs w:val="24"/>
          <w:shd w:val="clear" w:color="auto" w:fill="FFFFFF"/>
        </w:rPr>
        <w:t xml:space="preserve"> However, the universal jurisdiction can only be applied in order to justify extraterritorial regulation of TNC’s in cases when, for example, corporations have been involved in crimes against humanity or terrorism.</w:t>
      </w:r>
      <w:r>
        <w:rPr>
          <w:rStyle w:val="None"/>
          <w:rFonts w:ascii="Times New Roman" w:eastAsia="Times New Roman" w:hAnsi="Times New Roman" w:cs="Times New Roman"/>
          <w:sz w:val="24"/>
          <w:szCs w:val="24"/>
          <w:shd w:val="clear" w:color="auto" w:fill="FFFFFF"/>
          <w:vertAlign w:val="superscript"/>
        </w:rPr>
        <w:footnoteReference w:id="210"/>
      </w:r>
    </w:p>
    <w:p w14:paraId="7329196D" w14:textId="77777777" w:rsidR="003B207D"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6E"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Even considering an ambitious potential of the doctrines discussed above, this does not impose any obligations on states to apply environmental or social standards directly on corporations. The universal principal would only justify the application of extraterritorial laws only in extreme situations.</w:t>
      </w:r>
      <w:r>
        <w:rPr>
          <w:rStyle w:val="None"/>
          <w:rFonts w:ascii="Times New Roman" w:eastAsia="Times New Roman" w:hAnsi="Times New Roman" w:cs="Times New Roman"/>
          <w:sz w:val="24"/>
          <w:szCs w:val="24"/>
          <w:shd w:val="clear" w:color="auto" w:fill="FFFFFF"/>
          <w:vertAlign w:val="superscript"/>
        </w:rPr>
        <w:footnoteReference w:id="211"/>
      </w:r>
    </w:p>
    <w:p w14:paraId="7329196F" w14:textId="77777777" w:rsidR="003B207D"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70"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One of the major obstacles is the issue of sovereignty. The concept of sovereignty poses one of the greatest challenges on extraterritorial regulation. However, this concept is not absolute it is limited by a number of norms, for example it has been widely agreed that slavery, genocide and torture are violations of international human rights law.</w:t>
      </w:r>
      <w:r>
        <w:rPr>
          <w:rStyle w:val="None"/>
          <w:rFonts w:ascii="Times New Roman" w:eastAsia="Times New Roman" w:hAnsi="Times New Roman" w:cs="Times New Roman"/>
          <w:sz w:val="24"/>
          <w:szCs w:val="24"/>
          <w:shd w:val="clear" w:color="auto" w:fill="FFFFFF"/>
          <w:vertAlign w:val="superscript"/>
        </w:rPr>
        <w:footnoteReference w:id="212"/>
      </w:r>
    </w:p>
    <w:p w14:paraId="73291971" w14:textId="77777777" w:rsidR="003B207D"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72"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However, even if states can’t directly apply environmental and social standards, there is still a large amount of regulatory power that can be used based on the states jurisdiction. There are two dimensions of states jurisdiction, one driving from domestic law and one from public international law. The former addressed the jurisdiction of national courts and the later refers to geographical limits of the regulatory power. It is generally accepted that direct regulation of multinational corporations under international law is not generally permitted. The activities of corporations are outside of the scope of the state jurisdiction with the one exception under universal jurisdiction that has been covered earlier.</w:t>
      </w:r>
      <w:r>
        <w:rPr>
          <w:rStyle w:val="None"/>
          <w:rFonts w:ascii="Times New Roman" w:eastAsia="Times New Roman" w:hAnsi="Times New Roman" w:cs="Times New Roman"/>
          <w:sz w:val="24"/>
          <w:szCs w:val="24"/>
          <w:shd w:val="clear" w:color="auto" w:fill="FFFFFF"/>
          <w:vertAlign w:val="superscript"/>
        </w:rPr>
        <w:footnoteReference w:id="213"/>
      </w:r>
    </w:p>
    <w:p w14:paraId="73291973" w14:textId="77777777" w:rsidR="003B207D"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74"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The case law of various human rights bodies addressed nature of the due diligence obligation of states to protect human rights with the possible extraterritorial dimension. The following sub-chapter will focus on this. </w:t>
      </w:r>
    </w:p>
    <w:p w14:paraId="73291975"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76" w14:textId="77777777" w:rsidR="003B207D" w:rsidRDefault="00C96635" w:rsidP="006A43BB">
      <w:pPr>
        <w:pStyle w:val="BodyA"/>
        <w:spacing w:line="360" w:lineRule="auto"/>
        <w:jc w:val="both"/>
        <w:rPr>
          <w:rStyle w:val="None"/>
          <w:rFonts w:ascii="Times New Roman" w:eastAsia="Times New Roman" w:hAnsi="Times New Roman" w:cs="Times New Roman"/>
          <w:b/>
          <w:bCs/>
          <w:sz w:val="24"/>
          <w:szCs w:val="24"/>
          <w:shd w:val="clear" w:color="auto" w:fill="FFFFFF"/>
        </w:rPr>
      </w:pPr>
      <w:r>
        <w:rPr>
          <w:rStyle w:val="None"/>
          <w:rFonts w:ascii="Times New Roman" w:hAnsi="Times New Roman"/>
          <w:b/>
          <w:bCs/>
          <w:sz w:val="24"/>
          <w:szCs w:val="24"/>
          <w:shd w:val="clear" w:color="auto" w:fill="FFFFFF"/>
        </w:rPr>
        <w:t xml:space="preserve">5.3 Duty to protect </w:t>
      </w:r>
    </w:p>
    <w:p w14:paraId="73291977"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78" w14:textId="0325CFA3"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The number of international instruments and </w:t>
      </w:r>
      <w:r w:rsidR="00067DA9">
        <w:rPr>
          <w:rStyle w:val="None"/>
          <w:rFonts w:ascii="Times New Roman" w:hAnsi="Times New Roman"/>
          <w:sz w:val="24"/>
          <w:szCs w:val="24"/>
          <w:shd w:val="clear" w:color="auto" w:fill="FFFFFF"/>
        </w:rPr>
        <w:t xml:space="preserve">case law demonstrates </w:t>
      </w:r>
      <w:r>
        <w:rPr>
          <w:rStyle w:val="None"/>
          <w:rFonts w:ascii="Times New Roman" w:hAnsi="Times New Roman"/>
          <w:sz w:val="24"/>
          <w:szCs w:val="24"/>
          <w:shd w:val="clear" w:color="auto" w:fill="FFFFFF"/>
        </w:rPr>
        <w:t>that obligation to protect applies to corporations stating that states have an obligation to act in cases of abuse of various actors including corporations.</w:t>
      </w:r>
      <w:r>
        <w:rPr>
          <w:rStyle w:val="None"/>
          <w:rFonts w:ascii="Times New Roman" w:eastAsia="Times New Roman" w:hAnsi="Times New Roman" w:cs="Times New Roman"/>
          <w:sz w:val="24"/>
          <w:szCs w:val="24"/>
          <w:shd w:val="clear" w:color="auto" w:fill="FFFFFF"/>
          <w:vertAlign w:val="superscript"/>
        </w:rPr>
        <w:footnoteReference w:id="214"/>
      </w:r>
      <w:r>
        <w:rPr>
          <w:rStyle w:val="None"/>
          <w:rFonts w:ascii="Times New Roman" w:hAnsi="Times New Roman"/>
          <w:sz w:val="24"/>
          <w:szCs w:val="24"/>
          <w:shd w:val="clear" w:color="auto" w:fill="FFFFFF"/>
        </w:rPr>
        <w:t xml:space="preserve"> The UN General Comment N. 31 states as follows: </w:t>
      </w:r>
    </w:p>
    <w:p w14:paraId="73291979" w14:textId="77777777" w:rsidR="003B207D"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7A" w14:textId="77777777" w:rsidR="003B207D" w:rsidRDefault="00C96635" w:rsidP="006A43BB">
      <w:pPr>
        <w:pStyle w:val="BodyA"/>
        <w:spacing w:line="360" w:lineRule="auto"/>
        <w:jc w:val="both"/>
        <w:rPr>
          <w:rStyle w:val="None"/>
          <w:rFonts w:ascii="Times New Roman" w:eastAsia="Times New Roman" w:hAnsi="Times New Roman" w:cs="Times New Roman"/>
          <w:i/>
          <w:iCs/>
          <w:sz w:val="24"/>
          <w:szCs w:val="24"/>
          <w:shd w:val="clear" w:color="auto" w:fill="FFFFFF"/>
        </w:rPr>
      </w:pPr>
      <w:r>
        <w:rPr>
          <w:rStyle w:val="None"/>
          <w:rFonts w:ascii="Times New Roman" w:hAnsi="Times New Roman"/>
          <w:i/>
          <w:iCs/>
          <w:sz w:val="24"/>
          <w:szCs w:val="24"/>
          <w:shd w:val="clear" w:color="auto" w:fill="FFFFFF"/>
        </w:rPr>
        <w:t>‘The positive obligation on State Parties to ensure Covenant rights will  only be fully discharged if individuals are protected by the state, not  just against violations of Covenant rights by its agents, but also against  acts committed by private persons or entities that would impair the  enjoyment of Covenant rights in so far as they are amenable to  application between private persons or entities.’</w:t>
      </w:r>
      <w:r>
        <w:rPr>
          <w:rStyle w:val="None"/>
          <w:rFonts w:ascii="Times New Roman" w:eastAsia="Times New Roman" w:hAnsi="Times New Roman" w:cs="Times New Roman"/>
          <w:i/>
          <w:iCs/>
          <w:sz w:val="24"/>
          <w:szCs w:val="24"/>
          <w:shd w:val="clear" w:color="auto" w:fill="FFFFFF"/>
          <w:vertAlign w:val="superscript"/>
        </w:rPr>
        <w:footnoteReference w:id="215"/>
      </w:r>
    </w:p>
    <w:p w14:paraId="7329197B" w14:textId="77777777" w:rsidR="003B207D" w:rsidRDefault="003B207D" w:rsidP="006A43BB">
      <w:pPr>
        <w:pStyle w:val="BodyA"/>
        <w:spacing w:line="360" w:lineRule="auto"/>
        <w:jc w:val="both"/>
        <w:rPr>
          <w:rStyle w:val="None"/>
          <w:rFonts w:ascii="Times New Roman" w:eastAsia="Times New Roman" w:hAnsi="Times New Roman" w:cs="Times New Roman"/>
          <w:i/>
          <w:iCs/>
          <w:color w:val="auto"/>
          <w:sz w:val="24"/>
          <w:szCs w:val="24"/>
          <w:shd w:val="clear" w:color="auto" w:fill="FFFFFF"/>
          <w:lang w:eastAsia="en-US"/>
          <w14:textOutline w14:w="0" w14:cap="rnd" w14:cmpd="sng" w14:algn="ctr">
            <w14:noFill/>
            <w14:prstDash w14:val="solid"/>
            <w14:bevel/>
          </w14:textOutline>
        </w:rPr>
      </w:pPr>
    </w:p>
    <w:p w14:paraId="7329197C"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There is a number of other UN documents that state almost the same provision in relation to the duty to protect including CRPD</w:t>
      </w:r>
      <w:r>
        <w:rPr>
          <w:rStyle w:val="None"/>
          <w:rFonts w:ascii="Times New Roman" w:eastAsia="Times New Roman" w:hAnsi="Times New Roman" w:cs="Times New Roman"/>
          <w:sz w:val="24"/>
          <w:szCs w:val="24"/>
          <w:shd w:val="clear" w:color="auto" w:fill="FFFFFF"/>
          <w:vertAlign w:val="superscript"/>
        </w:rPr>
        <w:footnoteReference w:id="216"/>
      </w:r>
      <w:r>
        <w:rPr>
          <w:rStyle w:val="None"/>
          <w:rFonts w:ascii="Times New Roman" w:hAnsi="Times New Roman"/>
          <w:sz w:val="24"/>
          <w:szCs w:val="24"/>
          <w:shd w:val="clear" w:color="auto" w:fill="FFFFFF"/>
        </w:rPr>
        <w:t xml:space="preserve"> and CRC</w:t>
      </w:r>
      <w:r>
        <w:rPr>
          <w:rStyle w:val="None"/>
          <w:rFonts w:ascii="Times New Roman" w:eastAsia="Times New Roman" w:hAnsi="Times New Roman" w:cs="Times New Roman"/>
          <w:sz w:val="24"/>
          <w:szCs w:val="24"/>
          <w:shd w:val="clear" w:color="auto" w:fill="FFFFFF"/>
          <w:vertAlign w:val="superscript"/>
        </w:rPr>
        <w:footnoteReference w:id="217"/>
      </w:r>
      <w:r>
        <w:rPr>
          <w:rStyle w:val="None"/>
          <w:rFonts w:ascii="Times New Roman" w:hAnsi="Times New Roman"/>
          <w:sz w:val="24"/>
          <w:szCs w:val="24"/>
          <w:shd w:val="clear" w:color="auto" w:fill="FFFFFF"/>
        </w:rPr>
        <w:t>.</w:t>
      </w:r>
    </w:p>
    <w:p w14:paraId="7329197D" w14:textId="77777777" w:rsidR="003B207D" w:rsidRDefault="003B207D" w:rsidP="006A43BB">
      <w:pPr>
        <w:pStyle w:val="BodyA"/>
        <w:spacing w:line="360" w:lineRule="auto"/>
        <w:jc w:val="both"/>
        <w:rPr>
          <w:rStyle w:val="None"/>
          <w:rFonts w:ascii="Times New Roman" w:eastAsia="Times New Roman" w:hAnsi="Times New Roman" w:cs="Times New Roman"/>
          <w:i/>
          <w:iCs/>
          <w:color w:val="auto"/>
          <w:sz w:val="24"/>
          <w:szCs w:val="24"/>
          <w:shd w:val="clear" w:color="auto" w:fill="FFFFFF"/>
          <w:lang w:eastAsia="en-US"/>
          <w14:textOutline w14:w="0" w14:cap="rnd" w14:cmpd="sng" w14:algn="ctr">
            <w14:noFill/>
            <w14:prstDash w14:val="solid"/>
            <w14:bevel/>
          </w14:textOutline>
        </w:rPr>
      </w:pPr>
    </w:p>
    <w:p w14:paraId="7329197E" w14:textId="323506A0"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The obligation to protect will always appear under the due diligence doctrine referring to the positive obligation of states to protect human rights. For example, a state will violate </w:t>
      </w:r>
      <w:r w:rsidR="008D5587">
        <w:rPr>
          <w:rStyle w:val="None"/>
          <w:rFonts w:ascii="Times New Roman" w:hAnsi="Times New Roman"/>
          <w:sz w:val="24"/>
          <w:szCs w:val="24"/>
          <w:shd w:val="clear" w:color="auto" w:fill="FFFFFF"/>
        </w:rPr>
        <w:t>its</w:t>
      </w:r>
      <w:r>
        <w:rPr>
          <w:rStyle w:val="None"/>
          <w:rFonts w:ascii="Times New Roman" w:hAnsi="Times New Roman"/>
          <w:sz w:val="24"/>
          <w:szCs w:val="24"/>
          <w:shd w:val="clear" w:color="auto" w:fill="FFFFFF"/>
        </w:rPr>
        <w:t xml:space="preserve"> obligations if it permits or fails ‘to take appropriate measures or to exercise due diligence to prevent, punish, investigate or redress the harm caused by such acts by private persons or entities’.</w:t>
      </w:r>
      <w:r>
        <w:rPr>
          <w:rStyle w:val="None"/>
          <w:rFonts w:ascii="Times New Roman" w:eastAsia="Times New Roman" w:hAnsi="Times New Roman" w:cs="Times New Roman"/>
          <w:sz w:val="24"/>
          <w:szCs w:val="24"/>
          <w:shd w:val="clear" w:color="auto" w:fill="FFFFFF"/>
          <w:vertAlign w:val="superscript"/>
        </w:rPr>
        <w:footnoteReference w:id="218"/>
      </w:r>
      <w:r>
        <w:rPr>
          <w:rStyle w:val="None"/>
          <w:rFonts w:ascii="Times New Roman" w:hAnsi="Times New Roman"/>
          <w:sz w:val="24"/>
          <w:szCs w:val="24"/>
          <w:shd w:val="clear" w:color="auto" w:fill="FFFFFF"/>
        </w:rPr>
        <w:t xml:space="preserve"> </w:t>
      </w:r>
    </w:p>
    <w:p w14:paraId="7329197F" w14:textId="77777777" w:rsidR="003B207D"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80" w14:textId="1A399731" w:rsidR="003B207D" w:rsidRPr="00CC22C6"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The doctrine of due diligence applies when there is certain risk that individual rights are being violated and preventive measures needs to be taken by states in order to minimize the risk and </w:t>
      </w:r>
      <w:r w:rsidRPr="00CC22C6">
        <w:rPr>
          <w:rStyle w:val="None"/>
          <w:rFonts w:ascii="Times New Roman" w:hAnsi="Times New Roman"/>
          <w:sz w:val="24"/>
          <w:szCs w:val="24"/>
          <w:shd w:val="clear" w:color="auto" w:fill="FFFFFF"/>
        </w:rPr>
        <w:t>end violations.</w:t>
      </w:r>
      <w:r w:rsidRPr="00CC22C6">
        <w:rPr>
          <w:rStyle w:val="None"/>
          <w:rFonts w:ascii="Times New Roman" w:eastAsia="Times New Roman" w:hAnsi="Times New Roman" w:cs="Times New Roman"/>
          <w:sz w:val="24"/>
          <w:szCs w:val="24"/>
          <w:shd w:val="clear" w:color="auto" w:fill="FFFFFF"/>
          <w:vertAlign w:val="superscript"/>
        </w:rPr>
        <w:footnoteReference w:id="219"/>
      </w:r>
      <w:r w:rsidRPr="00CC22C6">
        <w:rPr>
          <w:rStyle w:val="None"/>
          <w:rFonts w:ascii="Times New Roman" w:hAnsi="Times New Roman"/>
          <w:sz w:val="24"/>
          <w:szCs w:val="24"/>
          <w:shd w:val="clear" w:color="auto" w:fill="FFFFFF"/>
        </w:rPr>
        <w:t xml:space="preserve"> Moreover, state has a responsibility to provide those who’s rights have been violated with effective remedies in order to ensure that wrongdoer will be sanctioned and victim will be compensated.</w:t>
      </w:r>
      <w:r w:rsidRPr="00CC22C6">
        <w:rPr>
          <w:rStyle w:val="None"/>
          <w:rFonts w:ascii="Times New Roman" w:eastAsia="Times New Roman" w:hAnsi="Times New Roman" w:cs="Times New Roman"/>
          <w:sz w:val="24"/>
          <w:szCs w:val="24"/>
          <w:shd w:val="clear" w:color="auto" w:fill="FFFFFF"/>
          <w:vertAlign w:val="superscript"/>
        </w:rPr>
        <w:footnoteReference w:id="220"/>
      </w:r>
      <w:r w:rsidRPr="00CC22C6">
        <w:rPr>
          <w:rStyle w:val="None"/>
          <w:rFonts w:ascii="Times New Roman" w:hAnsi="Times New Roman"/>
          <w:sz w:val="24"/>
          <w:szCs w:val="24"/>
          <w:shd w:val="clear" w:color="auto" w:fill="FFFFFF"/>
        </w:rPr>
        <w:t xml:space="preserve"> </w:t>
      </w:r>
    </w:p>
    <w:p w14:paraId="73291981" w14:textId="77777777" w:rsidR="003B207D" w:rsidRPr="00CC22C6"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82" w14:textId="38A241A6" w:rsidR="003B207D" w:rsidRPr="00771893" w:rsidRDefault="00C96635" w:rsidP="006A43BB">
      <w:pPr>
        <w:pStyle w:val="BodyA"/>
        <w:spacing w:line="360" w:lineRule="auto"/>
        <w:jc w:val="both"/>
        <w:rPr>
          <w:rStyle w:val="None"/>
          <w:rFonts w:ascii="Times New Roman" w:hAnsi="Times New Roman"/>
          <w:sz w:val="24"/>
          <w:szCs w:val="24"/>
          <w:shd w:val="clear" w:color="auto" w:fill="FFFFFF"/>
        </w:rPr>
      </w:pPr>
      <w:r w:rsidRPr="00CC22C6">
        <w:rPr>
          <w:rStyle w:val="None"/>
          <w:rFonts w:ascii="Times New Roman" w:hAnsi="Times New Roman"/>
          <w:sz w:val="24"/>
          <w:szCs w:val="24"/>
          <w:shd w:val="clear" w:color="auto" w:fill="FFFFFF"/>
        </w:rPr>
        <w:t>The obligation to protect implies the positive measures aimed to protect individuals under its jurisdiction and meanwhile establishing ‘quasi-horizontal’ effect.</w:t>
      </w:r>
      <w:r w:rsidRPr="00CC22C6">
        <w:rPr>
          <w:rStyle w:val="None"/>
          <w:rFonts w:ascii="Times New Roman" w:eastAsia="Times New Roman" w:hAnsi="Times New Roman" w:cs="Times New Roman"/>
          <w:sz w:val="24"/>
          <w:szCs w:val="24"/>
          <w:shd w:val="clear" w:color="auto" w:fill="FFFFFF"/>
          <w:vertAlign w:val="superscript"/>
        </w:rPr>
        <w:footnoteReference w:id="221"/>
      </w:r>
      <w:r w:rsidRPr="00CC22C6">
        <w:rPr>
          <w:rStyle w:val="None"/>
          <w:rFonts w:ascii="Times New Roman" w:hAnsi="Times New Roman"/>
          <w:sz w:val="24"/>
          <w:szCs w:val="24"/>
          <w:shd w:val="clear" w:color="auto" w:fill="FFFFFF"/>
        </w:rPr>
        <w:t xml:space="preserve"> This is different from the vertical effect </w:t>
      </w:r>
      <w:r w:rsidR="00AF5809">
        <w:rPr>
          <w:rStyle w:val="None"/>
          <w:rFonts w:ascii="Times New Roman" w:hAnsi="Times New Roman"/>
          <w:sz w:val="24"/>
          <w:szCs w:val="24"/>
          <w:shd w:val="clear" w:color="auto" w:fill="FFFFFF"/>
        </w:rPr>
        <w:t>and allow</w:t>
      </w:r>
      <w:r w:rsidR="00771893">
        <w:rPr>
          <w:rStyle w:val="None"/>
          <w:rFonts w:ascii="Times New Roman" w:hAnsi="Times New Roman"/>
          <w:sz w:val="24"/>
          <w:szCs w:val="24"/>
          <w:shd w:val="clear" w:color="auto" w:fill="FFFFFF"/>
        </w:rPr>
        <w:t xml:space="preserve">s to directly bring claims against the state. </w:t>
      </w:r>
      <w:r w:rsidRPr="00CC22C6">
        <w:rPr>
          <w:rStyle w:val="None"/>
          <w:rFonts w:ascii="Times New Roman" w:hAnsi="Times New Roman"/>
          <w:sz w:val="24"/>
          <w:szCs w:val="24"/>
          <w:shd w:val="clear" w:color="auto" w:fill="FFFFFF"/>
        </w:rPr>
        <w:t>However, due to the indirect nature of the effect it is impossible to bring legal claim on the grounds of the violation of international human rights law.</w:t>
      </w:r>
      <w:r w:rsidRPr="00CC22C6">
        <w:rPr>
          <w:rStyle w:val="None"/>
          <w:rFonts w:ascii="Times New Roman" w:eastAsia="Times New Roman" w:hAnsi="Times New Roman" w:cs="Times New Roman"/>
          <w:sz w:val="24"/>
          <w:szCs w:val="24"/>
          <w:shd w:val="clear" w:color="auto" w:fill="FFFFFF"/>
          <w:vertAlign w:val="superscript"/>
        </w:rPr>
        <w:footnoteReference w:id="222"/>
      </w:r>
    </w:p>
    <w:p w14:paraId="73291983" w14:textId="77777777" w:rsidR="003B207D" w:rsidRPr="006A43BB"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84" w14:textId="20FA56FB" w:rsidR="003B207D" w:rsidRPr="00CC22C6"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CC22C6">
        <w:rPr>
          <w:rStyle w:val="None"/>
          <w:rFonts w:ascii="Times New Roman" w:hAnsi="Times New Roman"/>
          <w:sz w:val="24"/>
          <w:szCs w:val="24"/>
          <w:shd w:val="clear" w:color="auto" w:fill="FFFFFF"/>
        </w:rPr>
        <w:t xml:space="preserve">The due diligence obligation has been adopted and widely discussed in the jurisprudence of </w:t>
      </w:r>
      <w:r w:rsidR="00BA38BF">
        <w:rPr>
          <w:rStyle w:val="None"/>
          <w:rFonts w:ascii="Times New Roman" w:hAnsi="Times New Roman"/>
          <w:sz w:val="24"/>
          <w:szCs w:val="24"/>
          <w:shd w:val="clear" w:color="auto" w:fill="FFFFFF"/>
        </w:rPr>
        <w:t xml:space="preserve">European Court of Human Rights (hereinafter </w:t>
      </w:r>
      <w:r w:rsidRPr="00CC22C6">
        <w:rPr>
          <w:rStyle w:val="None"/>
          <w:rFonts w:ascii="Times New Roman" w:hAnsi="Times New Roman"/>
          <w:sz w:val="24"/>
          <w:szCs w:val="24"/>
          <w:shd w:val="clear" w:color="auto" w:fill="FFFFFF"/>
        </w:rPr>
        <w:t>the ECtHR</w:t>
      </w:r>
      <w:r w:rsidR="00870175">
        <w:rPr>
          <w:rStyle w:val="None"/>
          <w:rFonts w:ascii="Times New Roman" w:hAnsi="Times New Roman"/>
          <w:sz w:val="24"/>
          <w:szCs w:val="24"/>
          <w:shd w:val="clear" w:color="auto" w:fill="FFFFFF"/>
        </w:rPr>
        <w:t>)</w:t>
      </w:r>
      <w:r w:rsidRPr="00CC22C6">
        <w:rPr>
          <w:rStyle w:val="None"/>
          <w:rFonts w:ascii="Times New Roman" w:hAnsi="Times New Roman"/>
          <w:sz w:val="24"/>
          <w:szCs w:val="24"/>
          <w:shd w:val="clear" w:color="auto" w:fill="FFFFFF"/>
        </w:rPr>
        <w:t xml:space="preserve"> and  Inter-American Court of Human Rights. For instance, in </w:t>
      </w:r>
      <w:proofErr w:type="spellStart"/>
      <w:r w:rsidRPr="00CC22C6">
        <w:rPr>
          <w:rStyle w:val="None"/>
          <w:rFonts w:ascii="Times New Roman" w:hAnsi="Times New Roman"/>
          <w:i/>
          <w:iCs/>
          <w:sz w:val="24"/>
          <w:szCs w:val="24"/>
          <w:shd w:val="clear" w:color="auto" w:fill="FFFFFF"/>
        </w:rPr>
        <w:t>Ilascu</w:t>
      </w:r>
      <w:proofErr w:type="spellEnd"/>
      <w:r w:rsidRPr="00CC22C6">
        <w:rPr>
          <w:rStyle w:val="None"/>
          <w:rFonts w:ascii="Times New Roman" w:hAnsi="Times New Roman"/>
          <w:i/>
          <w:iCs/>
          <w:sz w:val="24"/>
          <w:szCs w:val="24"/>
          <w:shd w:val="clear" w:color="auto" w:fill="FFFFFF"/>
        </w:rPr>
        <w:t xml:space="preserve"> v Moldova</w:t>
      </w:r>
      <w:r w:rsidRPr="00CC22C6">
        <w:rPr>
          <w:rStyle w:val="None"/>
          <w:rFonts w:ascii="Times New Roman" w:hAnsi="Times New Roman"/>
          <w:sz w:val="24"/>
          <w:szCs w:val="24"/>
          <w:shd w:val="clear" w:color="auto" w:fill="FFFFFF"/>
        </w:rPr>
        <w:t xml:space="preserve"> </w:t>
      </w:r>
      <w:r w:rsidRPr="00CC22C6">
        <w:rPr>
          <w:rStyle w:val="None"/>
          <w:rFonts w:ascii="Times New Roman" w:hAnsi="Times New Roman"/>
          <w:i/>
          <w:iCs/>
          <w:sz w:val="24"/>
          <w:szCs w:val="24"/>
          <w:shd w:val="clear" w:color="auto" w:fill="FFFFFF"/>
        </w:rPr>
        <w:t xml:space="preserve">and Russia </w:t>
      </w:r>
      <w:r w:rsidRPr="00CC22C6">
        <w:rPr>
          <w:rStyle w:val="None"/>
          <w:rFonts w:ascii="Times New Roman" w:hAnsi="Times New Roman"/>
          <w:sz w:val="24"/>
          <w:szCs w:val="24"/>
          <w:shd w:val="clear" w:color="auto" w:fill="FFFFFF"/>
        </w:rPr>
        <w:t>case it has been argued that states have a positive obligations to secure the rights under the Convention in accordance with international law.</w:t>
      </w:r>
      <w:r w:rsidRPr="00CC22C6">
        <w:rPr>
          <w:rStyle w:val="None"/>
          <w:rFonts w:ascii="Times New Roman" w:eastAsia="Times New Roman" w:hAnsi="Times New Roman" w:cs="Times New Roman"/>
          <w:sz w:val="24"/>
          <w:szCs w:val="24"/>
          <w:shd w:val="clear" w:color="auto" w:fill="FFFFFF"/>
          <w:vertAlign w:val="superscript"/>
        </w:rPr>
        <w:footnoteReference w:id="223"/>
      </w:r>
      <w:r w:rsidRPr="00CC22C6">
        <w:rPr>
          <w:rStyle w:val="None"/>
          <w:rFonts w:ascii="Times New Roman" w:hAnsi="Times New Roman"/>
          <w:sz w:val="24"/>
          <w:szCs w:val="24"/>
          <w:shd w:val="clear" w:color="auto" w:fill="FFFFFF"/>
        </w:rPr>
        <w:t xml:space="preserve"> In the case of </w:t>
      </w:r>
      <w:r w:rsidRPr="00CC22C6">
        <w:rPr>
          <w:rStyle w:val="None"/>
          <w:rFonts w:ascii="Times New Roman" w:hAnsi="Times New Roman"/>
          <w:i/>
          <w:iCs/>
          <w:sz w:val="24"/>
          <w:szCs w:val="24"/>
          <w:shd w:val="clear" w:color="auto" w:fill="FFFFFF"/>
        </w:rPr>
        <w:t xml:space="preserve">Velasquez Rodriguez v Honduras </w:t>
      </w:r>
      <w:r w:rsidRPr="00CC22C6">
        <w:rPr>
          <w:rStyle w:val="None"/>
          <w:rFonts w:ascii="Times New Roman" w:hAnsi="Times New Roman"/>
          <w:sz w:val="24"/>
          <w:szCs w:val="24"/>
          <w:shd w:val="clear" w:color="auto" w:fill="FFFFFF"/>
        </w:rPr>
        <w:t xml:space="preserve">it has been also established that </w:t>
      </w:r>
      <w:r w:rsidRPr="00F0610A">
        <w:rPr>
          <w:rStyle w:val="None"/>
          <w:rFonts w:ascii="Times New Roman" w:hAnsi="Times New Roman"/>
          <w:i/>
          <w:iCs/>
          <w:sz w:val="24"/>
          <w:szCs w:val="24"/>
          <w:shd w:val="clear" w:color="auto" w:fill="FFFFFF"/>
        </w:rPr>
        <w:t>‘an illegal act which violates human rights and which is initially not directly imputable to a state can lead to  international responsibility because of lack of due diligence to prevent the violation or to respond to it as required by the Convention’</w:t>
      </w:r>
      <w:r w:rsidRPr="00CC22C6">
        <w:rPr>
          <w:rStyle w:val="None"/>
          <w:rFonts w:ascii="Times New Roman" w:hAnsi="Times New Roman"/>
          <w:sz w:val="24"/>
          <w:szCs w:val="24"/>
          <w:shd w:val="clear" w:color="auto" w:fill="FFFFFF"/>
        </w:rPr>
        <w:t>.</w:t>
      </w:r>
      <w:r w:rsidRPr="00CC22C6">
        <w:rPr>
          <w:rStyle w:val="None"/>
          <w:rFonts w:ascii="Times New Roman" w:eastAsia="Times New Roman" w:hAnsi="Times New Roman" w:cs="Times New Roman"/>
          <w:sz w:val="24"/>
          <w:szCs w:val="24"/>
          <w:shd w:val="clear" w:color="auto" w:fill="FFFFFF"/>
          <w:vertAlign w:val="superscript"/>
        </w:rPr>
        <w:footnoteReference w:id="224"/>
      </w:r>
    </w:p>
    <w:p w14:paraId="73291985" w14:textId="77777777" w:rsidR="003B207D" w:rsidRPr="006A43BB"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86" w14:textId="7D2BB603" w:rsidR="003B207D" w:rsidRPr="006C7409" w:rsidRDefault="00C96635" w:rsidP="006A43BB">
      <w:pPr>
        <w:pStyle w:val="BodyA"/>
        <w:spacing w:line="360" w:lineRule="auto"/>
        <w:jc w:val="both"/>
        <w:rPr>
          <w:rStyle w:val="None"/>
          <w:rFonts w:ascii="Times New Roman" w:hAnsi="Times New Roman"/>
          <w:sz w:val="24"/>
          <w:szCs w:val="24"/>
          <w:shd w:val="clear" w:color="auto" w:fill="FFFFFF"/>
        </w:rPr>
      </w:pPr>
      <w:r w:rsidRPr="00CC22C6">
        <w:rPr>
          <w:rStyle w:val="None"/>
          <w:rFonts w:ascii="Times New Roman" w:hAnsi="Times New Roman"/>
          <w:sz w:val="24"/>
          <w:szCs w:val="24"/>
          <w:shd w:val="clear" w:color="auto" w:fill="FFFFFF"/>
        </w:rPr>
        <w:t xml:space="preserve">Another important case is </w:t>
      </w:r>
      <w:r w:rsidRPr="00CC22C6">
        <w:rPr>
          <w:rStyle w:val="None"/>
          <w:rFonts w:ascii="Times New Roman" w:hAnsi="Times New Roman"/>
          <w:i/>
          <w:iCs/>
          <w:sz w:val="24"/>
          <w:szCs w:val="24"/>
          <w:shd w:val="clear" w:color="auto" w:fill="FFFFFF"/>
        </w:rPr>
        <w:t xml:space="preserve">Osman v The United Kingdom </w:t>
      </w:r>
      <w:r w:rsidRPr="00CC22C6">
        <w:rPr>
          <w:rStyle w:val="None"/>
          <w:rFonts w:ascii="Times New Roman" w:hAnsi="Times New Roman"/>
          <w:sz w:val="24"/>
          <w:szCs w:val="24"/>
          <w:shd w:val="clear" w:color="auto" w:fill="FFFFFF"/>
        </w:rPr>
        <w:t xml:space="preserve">where court </w:t>
      </w:r>
      <w:r w:rsidR="00F92E48">
        <w:rPr>
          <w:rStyle w:val="None"/>
          <w:rFonts w:ascii="Times New Roman" w:hAnsi="Times New Roman"/>
          <w:sz w:val="24"/>
          <w:szCs w:val="24"/>
          <w:shd w:val="clear" w:color="auto" w:fill="FFFFFF"/>
        </w:rPr>
        <w:t xml:space="preserve">mentioned a particular </w:t>
      </w:r>
      <w:r w:rsidR="006C7409">
        <w:rPr>
          <w:rStyle w:val="None"/>
          <w:rFonts w:ascii="Times New Roman" w:hAnsi="Times New Roman"/>
          <w:sz w:val="24"/>
          <w:szCs w:val="24"/>
          <w:shd w:val="clear" w:color="auto" w:fill="FFFFFF"/>
        </w:rPr>
        <w:t xml:space="preserve">standards </w:t>
      </w:r>
      <w:r w:rsidRPr="00CC22C6">
        <w:rPr>
          <w:rStyle w:val="None"/>
          <w:rFonts w:ascii="Times New Roman" w:hAnsi="Times New Roman"/>
          <w:sz w:val="24"/>
          <w:szCs w:val="24"/>
          <w:shd w:val="clear" w:color="auto" w:fill="FFFFFF"/>
        </w:rPr>
        <w:t>for the punitive and preventive measures for states. In particular, this involves the need of proportionality, operational choices and the knowledge of the risk. However, this criteria is limited and fails to provide a single method of interpretation. This has been slightly developed and included other measures such as monitoring, regulatory and adjudicatory.</w:t>
      </w:r>
      <w:r w:rsidRPr="00CC22C6">
        <w:rPr>
          <w:rStyle w:val="None"/>
          <w:rFonts w:ascii="Times New Roman" w:eastAsia="Times New Roman" w:hAnsi="Times New Roman" w:cs="Times New Roman"/>
          <w:sz w:val="24"/>
          <w:szCs w:val="24"/>
          <w:shd w:val="clear" w:color="auto" w:fill="FFFFFF"/>
          <w:vertAlign w:val="superscript"/>
        </w:rPr>
        <w:footnoteReference w:id="225"/>
      </w:r>
    </w:p>
    <w:p w14:paraId="73291987" w14:textId="77777777" w:rsidR="003B207D" w:rsidRPr="006A43BB"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88" w14:textId="1FBC751D" w:rsidR="003B207D" w:rsidRPr="008F76B7" w:rsidRDefault="00C96635" w:rsidP="006A43BB">
      <w:pPr>
        <w:pStyle w:val="BodyA"/>
        <w:spacing w:line="360" w:lineRule="auto"/>
        <w:jc w:val="both"/>
        <w:rPr>
          <w:rStyle w:val="None"/>
          <w:rFonts w:ascii="Times New Roman" w:hAnsi="Times New Roman"/>
          <w:sz w:val="24"/>
          <w:szCs w:val="24"/>
          <w:shd w:val="clear" w:color="auto" w:fill="FFFFFF"/>
        </w:rPr>
      </w:pPr>
      <w:r w:rsidRPr="00CC22C6">
        <w:rPr>
          <w:rStyle w:val="None"/>
          <w:rFonts w:ascii="Times New Roman" w:hAnsi="Times New Roman"/>
          <w:sz w:val="24"/>
          <w:szCs w:val="24"/>
          <w:shd w:val="clear" w:color="auto" w:fill="FFFFFF"/>
        </w:rPr>
        <w:t>The extraterritorial expansion of the obligation to protect is a highly debated issue. The restrictive interpretation of the state obligations is largely challenged by the state boundaries.</w:t>
      </w:r>
      <w:r w:rsidRPr="00CC22C6">
        <w:rPr>
          <w:rStyle w:val="None"/>
          <w:rFonts w:ascii="Times New Roman" w:eastAsia="Times New Roman" w:hAnsi="Times New Roman" w:cs="Times New Roman"/>
          <w:sz w:val="24"/>
          <w:szCs w:val="24"/>
          <w:shd w:val="clear" w:color="auto" w:fill="FFFFFF"/>
          <w:vertAlign w:val="superscript"/>
        </w:rPr>
        <w:footnoteReference w:id="226"/>
      </w:r>
      <w:r w:rsidRPr="00CC22C6">
        <w:rPr>
          <w:rStyle w:val="None"/>
          <w:rFonts w:ascii="Times New Roman" w:hAnsi="Times New Roman"/>
          <w:sz w:val="24"/>
          <w:szCs w:val="24"/>
          <w:shd w:val="clear" w:color="auto" w:fill="FFFFFF"/>
        </w:rPr>
        <w:t xml:space="preserve"> However, even considering the restrictive interpretation of the human rights obligations, the denial of extraterritoriality will </w:t>
      </w:r>
      <w:r w:rsidR="008F76B7">
        <w:rPr>
          <w:rStyle w:val="None"/>
          <w:rFonts w:ascii="Times New Roman" w:hAnsi="Times New Roman"/>
          <w:sz w:val="24"/>
          <w:szCs w:val="24"/>
          <w:shd w:val="clear" w:color="auto" w:fill="FFFFFF"/>
        </w:rPr>
        <w:t xml:space="preserve">contradict nature of international law. </w:t>
      </w:r>
      <w:r w:rsidRPr="00CC22C6">
        <w:rPr>
          <w:rStyle w:val="None"/>
          <w:rFonts w:ascii="Times New Roman" w:hAnsi="Times New Roman"/>
          <w:sz w:val="24"/>
          <w:szCs w:val="24"/>
          <w:shd w:val="clear" w:color="auto" w:fill="FFFFFF"/>
        </w:rPr>
        <w:t>When</w:t>
      </w:r>
      <w:r>
        <w:rPr>
          <w:rStyle w:val="None"/>
          <w:rFonts w:ascii="Times New Roman" w:hAnsi="Times New Roman"/>
          <w:sz w:val="24"/>
          <w:szCs w:val="24"/>
          <w:shd w:val="clear" w:color="auto" w:fill="FFFFFF"/>
        </w:rPr>
        <w:t xml:space="preserve"> it comes to the extraterritoriality, the jurisdiction is always discussed in the context of effective control that has been developed by the ECtHR.</w:t>
      </w:r>
      <w:r>
        <w:rPr>
          <w:rStyle w:val="None"/>
          <w:rFonts w:ascii="Times New Roman" w:eastAsia="Times New Roman" w:hAnsi="Times New Roman" w:cs="Times New Roman"/>
          <w:sz w:val="24"/>
          <w:szCs w:val="24"/>
          <w:shd w:val="clear" w:color="auto" w:fill="FFFFFF"/>
          <w:vertAlign w:val="superscript"/>
        </w:rPr>
        <w:footnoteReference w:id="227"/>
      </w:r>
      <w:r>
        <w:rPr>
          <w:rStyle w:val="None"/>
          <w:rFonts w:ascii="Times New Roman" w:hAnsi="Times New Roman"/>
          <w:sz w:val="24"/>
          <w:szCs w:val="24"/>
          <w:shd w:val="clear" w:color="auto" w:fill="FFFFFF"/>
        </w:rPr>
        <w:t xml:space="preserve"> </w:t>
      </w:r>
    </w:p>
    <w:p w14:paraId="73291989" w14:textId="77777777" w:rsidR="003B207D"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8A"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Marco Milanovic has discussed this matter in his analyses of Serbian genocide, in particular it has been argued that </w:t>
      </w:r>
      <w:r>
        <w:rPr>
          <w:rStyle w:val="None"/>
          <w:rFonts w:ascii="Times New Roman" w:hAnsi="Times New Roman"/>
          <w:i/>
          <w:iCs/>
          <w:sz w:val="24"/>
          <w:szCs w:val="24"/>
          <w:shd w:val="clear" w:color="auto" w:fill="FFFFFF"/>
        </w:rPr>
        <w:t>‘since it was impossible to prove the required degree of certainty that  the Srebrenica genocide was attributable to Serbia under either the test  of complete control or the test of effective control, the Court  nonetheless found Serbia responsible for failing to prevent that genocide, for its own wrongful act of failing to exercise due diligence to prevent violations by third parties’.</w:t>
      </w:r>
      <w:r>
        <w:rPr>
          <w:rStyle w:val="None"/>
          <w:rFonts w:ascii="Times New Roman" w:eastAsia="Times New Roman" w:hAnsi="Times New Roman" w:cs="Times New Roman"/>
          <w:sz w:val="24"/>
          <w:szCs w:val="24"/>
          <w:shd w:val="clear" w:color="auto" w:fill="FFFFFF"/>
          <w:vertAlign w:val="superscript"/>
        </w:rPr>
        <w:footnoteReference w:id="228"/>
      </w:r>
      <w:r>
        <w:rPr>
          <w:rStyle w:val="None"/>
          <w:rFonts w:ascii="Times New Roman" w:hAnsi="Times New Roman"/>
          <w:i/>
          <w:iCs/>
          <w:sz w:val="24"/>
          <w:szCs w:val="24"/>
          <w:shd w:val="clear" w:color="auto" w:fill="FFFFFF"/>
        </w:rPr>
        <w:t xml:space="preserve"> </w:t>
      </w:r>
      <w:r>
        <w:rPr>
          <w:rStyle w:val="None"/>
          <w:rFonts w:ascii="Times New Roman" w:hAnsi="Times New Roman"/>
          <w:sz w:val="24"/>
          <w:szCs w:val="24"/>
          <w:shd w:val="clear" w:color="auto" w:fill="FFFFFF"/>
        </w:rPr>
        <w:t xml:space="preserve">Therefore, the country had an ability to prevent genocide when it was impossible to establish effective control. This demonstrates the exercise of the due diligence obligation to protect human rights in action. </w:t>
      </w:r>
    </w:p>
    <w:p w14:paraId="7329198B" w14:textId="77777777" w:rsidR="003B207D"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8C" w14:textId="33CC27AE"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Thus, it is obvious that under current international law approach home states are failing to punish, prevent and regulate extraterritorial activities of TNC’s.</w:t>
      </w:r>
      <w:r>
        <w:rPr>
          <w:rStyle w:val="None"/>
          <w:rFonts w:ascii="Times New Roman" w:eastAsia="Times New Roman" w:hAnsi="Times New Roman" w:cs="Times New Roman"/>
          <w:sz w:val="24"/>
          <w:szCs w:val="24"/>
          <w:shd w:val="clear" w:color="auto" w:fill="FFFFFF"/>
          <w:vertAlign w:val="superscript"/>
        </w:rPr>
        <w:footnoteReference w:id="229"/>
      </w:r>
      <w:r>
        <w:rPr>
          <w:rStyle w:val="None"/>
          <w:rFonts w:ascii="Times New Roman" w:hAnsi="Times New Roman"/>
          <w:sz w:val="24"/>
          <w:szCs w:val="24"/>
          <w:shd w:val="clear" w:color="auto" w:fill="FFFFFF"/>
        </w:rPr>
        <w:t xml:space="preserve"> The current case law and jurisprudence even if its limited to the effective control, suggests that states clearly have positive human rights obligations. However, it is impossible to enforce due to the lack of the binding human rights instrument with extraterritorial application. </w:t>
      </w:r>
      <w:r w:rsidR="00321415">
        <w:rPr>
          <w:rStyle w:val="None"/>
          <w:rFonts w:ascii="Times New Roman" w:hAnsi="Times New Roman"/>
          <w:sz w:val="24"/>
          <w:szCs w:val="24"/>
          <w:shd w:val="clear" w:color="auto" w:fill="FFFFFF"/>
        </w:rPr>
        <w:t>I</w:t>
      </w:r>
      <w:r>
        <w:rPr>
          <w:rStyle w:val="None"/>
          <w:rFonts w:ascii="Times New Roman" w:hAnsi="Times New Roman"/>
          <w:sz w:val="24"/>
          <w:szCs w:val="24"/>
          <w:shd w:val="clear" w:color="auto" w:fill="FFFFFF"/>
        </w:rPr>
        <w:t>t is almost impossible to establish an adequate human rights protection due to the economic interests of states considering arguments in favor of sovereignty, limited liability and forum non conveniences. The existing domestic mechanisms and soft law attempts that has been previously discussed are also ineffective. Thus, the most appropriate option would be to impose obligations at international level. The next chapter will reflect the possibility of such binding international regulation and how international legal framework in this area should be further developed.</w:t>
      </w:r>
    </w:p>
    <w:p w14:paraId="7329198E" w14:textId="77777777" w:rsidR="003B207D" w:rsidRDefault="003B207D" w:rsidP="006A43BB">
      <w:pPr>
        <w:pStyle w:val="BodyA"/>
        <w:spacing w:line="360" w:lineRule="auto"/>
        <w:jc w:val="both"/>
        <w:rPr>
          <w:rStyle w:val="None"/>
          <w:rFonts w:ascii="Times New Roman" w:eastAsia="Times New Roman" w:hAnsi="Times New Roman" w:cs="Times New Roman"/>
          <w:b/>
          <w:bCs/>
          <w:color w:val="auto"/>
          <w:sz w:val="24"/>
          <w:szCs w:val="24"/>
          <w:shd w:val="clear" w:color="auto" w:fill="FFFFFF"/>
          <w:lang w:eastAsia="en-US"/>
          <w14:textOutline w14:w="0" w14:cap="rnd" w14:cmpd="sng" w14:algn="ctr">
            <w14:noFill/>
            <w14:prstDash w14:val="solid"/>
            <w14:bevel/>
          </w14:textOutline>
        </w:rPr>
      </w:pPr>
    </w:p>
    <w:p w14:paraId="7329198F" w14:textId="77777777" w:rsidR="003B207D" w:rsidRDefault="00C96635" w:rsidP="006A43BB">
      <w:pPr>
        <w:pStyle w:val="BodyA"/>
        <w:spacing w:line="360" w:lineRule="auto"/>
        <w:jc w:val="both"/>
        <w:rPr>
          <w:rStyle w:val="None"/>
          <w:rFonts w:ascii="Times New Roman" w:eastAsia="Times New Roman" w:hAnsi="Times New Roman" w:cs="Times New Roman"/>
          <w:b/>
          <w:bCs/>
          <w:sz w:val="24"/>
          <w:szCs w:val="24"/>
          <w:shd w:val="clear" w:color="auto" w:fill="FFFFFF"/>
        </w:rPr>
      </w:pPr>
      <w:r>
        <w:rPr>
          <w:rStyle w:val="None"/>
          <w:rFonts w:ascii="Times New Roman" w:hAnsi="Times New Roman"/>
          <w:b/>
          <w:bCs/>
          <w:sz w:val="24"/>
          <w:szCs w:val="24"/>
          <w:shd w:val="clear" w:color="auto" w:fill="FFFFFF"/>
        </w:rPr>
        <w:t xml:space="preserve">Chapter VI Business and Human Rights Treaty </w:t>
      </w:r>
    </w:p>
    <w:p w14:paraId="73291990"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91" w14:textId="77777777" w:rsidR="003B207D" w:rsidRDefault="00C96635" w:rsidP="006A43BB">
      <w:pPr>
        <w:pStyle w:val="BodyA"/>
        <w:spacing w:line="360" w:lineRule="auto"/>
        <w:jc w:val="both"/>
        <w:rPr>
          <w:rStyle w:val="None"/>
          <w:rFonts w:ascii="Times New Roman" w:eastAsia="Times New Roman" w:hAnsi="Times New Roman" w:cs="Times New Roman"/>
          <w:b/>
          <w:bCs/>
          <w:sz w:val="24"/>
          <w:szCs w:val="24"/>
          <w:shd w:val="clear" w:color="auto" w:fill="FFFFFF"/>
        </w:rPr>
      </w:pPr>
      <w:r>
        <w:rPr>
          <w:rStyle w:val="None"/>
          <w:rFonts w:ascii="Times New Roman" w:hAnsi="Times New Roman"/>
          <w:b/>
          <w:bCs/>
          <w:sz w:val="24"/>
          <w:szCs w:val="24"/>
          <w:shd w:val="clear" w:color="auto" w:fill="FFFFFF"/>
        </w:rPr>
        <w:t xml:space="preserve">6.1 Business and Human Rights Treaty: The Beginning </w:t>
      </w:r>
    </w:p>
    <w:p w14:paraId="73291992" w14:textId="77777777" w:rsidR="003B207D" w:rsidRDefault="003B207D" w:rsidP="006A43BB">
      <w:pPr>
        <w:pStyle w:val="BodyA"/>
        <w:spacing w:line="360" w:lineRule="auto"/>
        <w:jc w:val="both"/>
        <w:rPr>
          <w:rStyle w:val="None"/>
          <w:rFonts w:ascii="Times New Roman" w:eastAsia="Times New Roman" w:hAnsi="Times New Roman" w:cs="Times New Roman"/>
          <w:b/>
          <w:bCs/>
          <w:sz w:val="24"/>
          <w:szCs w:val="24"/>
          <w:shd w:val="clear" w:color="auto" w:fill="FFFFFF"/>
        </w:rPr>
      </w:pPr>
    </w:p>
    <w:p w14:paraId="73291993" w14:textId="0251FFF5"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Due to the unwillingness or inability to regulate human rights violations and weakness of existing regulatory initiatives the number of states called for the establishment of Business and Human Rights Treaty.</w:t>
      </w:r>
      <w:r>
        <w:rPr>
          <w:rStyle w:val="None"/>
          <w:rFonts w:ascii="Times New Roman" w:eastAsia="Times New Roman" w:hAnsi="Times New Roman" w:cs="Times New Roman"/>
          <w:sz w:val="24"/>
          <w:szCs w:val="24"/>
          <w:shd w:val="clear" w:color="auto" w:fill="FFFFFF"/>
          <w:vertAlign w:val="superscript"/>
        </w:rPr>
        <w:footnoteReference w:id="230"/>
      </w:r>
    </w:p>
    <w:p w14:paraId="73291994" w14:textId="77777777" w:rsidR="003B207D"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95"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lastRenderedPageBreak/>
        <w:t>At the 24th session of the Human Rights Council under the Ecuador initiative it has been proposed to adopt binding international legal instrument that will help to hold corporations accountable for human rights violations.</w:t>
      </w:r>
      <w:r>
        <w:rPr>
          <w:rStyle w:val="None"/>
          <w:rFonts w:ascii="Times New Roman" w:eastAsia="Times New Roman" w:hAnsi="Times New Roman" w:cs="Times New Roman"/>
          <w:sz w:val="24"/>
          <w:szCs w:val="24"/>
          <w:shd w:val="clear" w:color="auto" w:fill="FFFFFF"/>
          <w:vertAlign w:val="superscript"/>
        </w:rPr>
        <w:footnoteReference w:id="231"/>
      </w:r>
      <w:r>
        <w:rPr>
          <w:rStyle w:val="None"/>
          <w:rFonts w:ascii="Times New Roman" w:hAnsi="Times New Roman"/>
          <w:sz w:val="24"/>
          <w:szCs w:val="24"/>
          <w:shd w:val="clear" w:color="auto" w:fill="FFFFFF"/>
        </w:rPr>
        <w:t xml:space="preserve"> It has been also admitted that previous voluntary initiatives are important and valuable foundation for the future binding legislation. The proposal outlines the following:</w:t>
      </w:r>
    </w:p>
    <w:p w14:paraId="73291996" w14:textId="77777777" w:rsidR="003B207D"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97"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i/>
          <w:iCs/>
          <w:sz w:val="24"/>
          <w:szCs w:val="24"/>
          <w:shd w:val="clear" w:color="auto" w:fill="FFFFFF"/>
        </w:rPr>
        <w:t>‘An international legally binding instrument concluded within the UN system, would clarify the obligations of transnational corporations in the field of human rights and provide for the establishment of effective remedies for victims in cases where domestic jurisdiction is clearly unable to prosecute effectively those companies.’</w:t>
      </w:r>
      <w:r>
        <w:rPr>
          <w:rStyle w:val="None"/>
          <w:rFonts w:ascii="Times New Roman" w:eastAsia="Times New Roman" w:hAnsi="Times New Roman" w:cs="Times New Roman"/>
          <w:i/>
          <w:iCs/>
          <w:sz w:val="24"/>
          <w:szCs w:val="24"/>
          <w:shd w:val="clear" w:color="auto" w:fill="FFFFFF"/>
          <w:vertAlign w:val="superscript"/>
        </w:rPr>
        <w:footnoteReference w:id="232"/>
      </w:r>
    </w:p>
    <w:p w14:paraId="73291998" w14:textId="77777777" w:rsidR="003B207D"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99"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Thereafter, the open-ended intergovernmental working group (hereinafter – ‘OEIGWG’) has been established under the Resolution 26/9 with the duty to develop international legal instrument to regulate activities of corporations with the respect to international human rights law.</w:t>
      </w:r>
      <w:r>
        <w:rPr>
          <w:rStyle w:val="None"/>
          <w:rFonts w:ascii="Times New Roman" w:eastAsia="Times New Roman" w:hAnsi="Times New Roman" w:cs="Times New Roman"/>
          <w:sz w:val="24"/>
          <w:szCs w:val="24"/>
          <w:shd w:val="clear" w:color="auto" w:fill="FFFFFF"/>
          <w:vertAlign w:val="superscript"/>
        </w:rPr>
        <w:footnoteReference w:id="233"/>
      </w:r>
      <w:r>
        <w:rPr>
          <w:rStyle w:val="None"/>
          <w:rFonts w:ascii="Times New Roman" w:hAnsi="Times New Roman"/>
          <w:sz w:val="24"/>
          <w:szCs w:val="24"/>
          <w:shd w:val="clear" w:color="auto" w:fill="FFFFFF"/>
        </w:rPr>
        <w:t xml:space="preserve">  During another session in October 2018 ‘Zero draft’ of the future treaty has been introduced. Different questions has been raised in relation to</w:t>
      </w:r>
      <w:r>
        <w:rPr>
          <w:rStyle w:val="None"/>
          <w:rFonts w:ascii="Times New Roman" w:hAnsi="Times New Roman"/>
          <w:i/>
          <w:iCs/>
          <w:sz w:val="24"/>
          <w:szCs w:val="24"/>
          <w:shd w:val="clear" w:color="auto" w:fill="FFFFFF"/>
        </w:rPr>
        <w:t xml:space="preserve"> </w:t>
      </w:r>
      <w:r>
        <w:rPr>
          <w:rStyle w:val="None"/>
          <w:rFonts w:ascii="Times New Roman" w:hAnsi="Times New Roman"/>
          <w:sz w:val="24"/>
          <w:szCs w:val="24"/>
          <w:shd w:val="clear" w:color="auto" w:fill="FFFFFF"/>
        </w:rPr>
        <w:t>the scope and content of this document. For example, types of human rights and businesses it will consider, or it will only be limited to those with transnational character.</w:t>
      </w:r>
      <w:r>
        <w:rPr>
          <w:rStyle w:val="None"/>
          <w:rFonts w:ascii="Times New Roman" w:eastAsia="Times New Roman" w:hAnsi="Times New Roman" w:cs="Times New Roman"/>
          <w:sz w:val="24"/>
          <w:szCs w:val="24"/>
          <w:shd w:val="clear" w:color="auto" w:fill="FFFFFF"/>
          <w:vertAlign w:val="superscript"/>
        </w:rPr>
        <w:footnoteReference w:id="234"/>
      </w:r>
      <w:r>
        <w:rPr>
          <w:rStyle w:val="None"/>
          <w:rFonts w:ascii="Times New Roman" w:hAnsi="Times New Roman"/>
          <w:sz w:val="24"/>
          <w:szCs w:val="24"/>
          <w:shd w:val="clear" w:color="auto" w:fill="FFFFFF"/>
        </w:rPr>
        <w:t xml:space="preserve"> </w:t>
      </w:r>
    </w:p>
    <w:p w14:paraId="4B670251" w14:textId="77777777" w:rsidR="00DC4500" w:rsidRDefault="00DC4500"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A2" w14:textId="77777777" w:rsidR="003B207D" w:rsidRPr="006A43BB"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The timeline of the debate on business and human rights treaty can be summarized as follows:</w:t>
      </w:r>
    </w:p>
    <w:p w14:paraId="732919A3" w14:textId="77777777" w:rsidR="003B207D" w:rsidRPr="00DC4500"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tbl>
      <w:tblPr>
        <w:tblW w:w="901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3003"/>
        <w:gridCol w:w="3003"/>
        <w:gridCol w:w="3004"/>
      </w:tblGrid>
      <w:tr w:rsidR="003B207D" w:rsidRPr="00DC4500" w14:paraId="732919A7" w14:textId="77777777">
        <w:trPr>
          <w:trHeight w:val="300"/>
        </w:trPr>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A4"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 xml:space="preserve">Name of the body </w:t>
            </w:r>
          </w:p>
        </w:tc>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A5"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 xml:space="preserve">Topic </w:t>
            </w:r>
          </w:p>
        </w:tc>
        <w:tc>
          <w:tcPr>
            <w:tcW w:w="30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A6"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 xml:space="preserve">Year </w:t>
            </w:r>
          </w:p>
        </w:tc>
      </w:tr>
      <w:tr w:rsidR="003B207D" w:rsidRPr="00DC4500" w14:paraId="732919AB" w14:textId="77777777">
        <w:trPr>
          <w:trHeight w:val="987"/>
        </w:trPr>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A8"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 xml:space="preserve">Business and Human Rights Resource Centre </w:t>
            </w:r>
          </w:p>
        </w:tc>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A9"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Does the World Need a Treaty on Business and Human Rights</w:t>
            </w:r>
          </w:p>
        </w:tc>
        <w:tc>
          <w:tcPr>
            <w:tcW w:w="30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AA"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2014</w:t>
            </w:r>
          </w:p>
        </w:tc>
      </w:tr>
      <w:tr w:rsidR="003B207D" w:rsidRPr="00DC4500" w14:paraId="732919B0" w14:textId="77777777">
        <w:trPr>
          <w:trHeight w:val="1674"/>
        </w:trPr>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AC"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lastRenderedPageBreak/>
              <w:t>International Court of Justice</w:t>
            </w:r>
          </w:p>
        </w:tc>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AD" w14:textId="77777777" w:rsidR="003B207D" w:rsidRPr="00DC4500"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Needs and Options for a New International Instrument </w:t>
            </w:r>
          </w:p>
          <w:p w14:paraId="732919AE"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in the Field of Business and Human Rights</w:t>
            </w:r>
          </w:p>
        </w:tc>
        <w:tc>
          <w:tcPr>
            <w:tcW w:w="30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AF"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2014</w:t>
            </w:r>
          </w:p>
        </w:tc>
      </w:tr>
      <w:tr w:rsidR="003B207D" w:rsidRPr="00DC4500" w14:paraId="732919B4" w14:textId="77777777">
        <w:trPr>
          <w:trHeight w:val="1330"/>
        </w:trPr>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B1"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 xml:space="preserve">International </w:t>
            </w:r>
            <w:proofErr w:type="spellStart"/>
            <w:r w:rsidRPr="006A43BB">
              <w:rPr>
                <w:rStyle w:val="None"/>
                <w:rFonts w:ascii="Times New Roman" w:hAnsi="Times New Roman" w:cs="Times New Roman"/>
                <w:sz w:val="24"/>
                <w:szCs w:val="24"/>
                <w:shd w:val="clear" w:color="auto" w:fill="FFFFFF"/>
              </w:rPr>
              <w:t>Organisation</w:t>
            </w:r>
            <w:proofErr w:type="spellEnd"/>
            <w:r w:rsidRPr="006A43BB">
              <w:rPr>
                <w:rStyle w:val="None"/>
                <w:rFonts w:ascii="Times New Roman" w:hAnsi="Times New Roman" w:cs="Times New Roman"/>
                <w:sz w:val="24"/>
                <w:szCs w:val="24"/>
                <w:shd w:val="clear" w:color="auto" w:fill="FFFFFF"/>
              </w:rPr>
              <w:t xml:space="preserve"> of </w:t>
            </w:r>
            <w:proofErr w:type="spellStart"/>
            <w:r w:rsidRPr="006A43BB">
              <w:rPr>
                <w:rStyle w:val="None"/>
                <w:rFonts w:ascii="Times New Roman" w:hAnsi="Times New Roman" w:cs="Times New Roman"/>
                <w:sz w:val="24"/>
                <w:szCs w:val="24"/>
                <w:shd w:val="clear" w:color="auto" w:fill="FFFFFF"/>
              </w:rPr>
              <w:t>Emloyers</w:t>
            </w:r>
            <w:proofErr w:type="spellEnd"/>
          </w:p>
        </w:tc>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B2"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 xml:space="preserve">Federation Of Western Switzerland (FER) High Level Conference On Business And Human Rights'  </w:t>
            </w:r>
          </w:p>
        </w:tc>
        <w:tc>
          <w:tcPr>
            <w:tcW w:w="30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B3"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2014</w:t>
            </w:r>
          </w:p>
        </w:tc>
      </w:tr>
      <w:tr w:rsidR="003B207D" w:rsidRPr="00DC4500" w14:paraId="732919B8" w14:textId="77777777">
        <w:trPr>
          <w:trHeight w:val="987"/>
        </w:trPr>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B5"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Office of the United Nations High Commissioner for Human Rights</w:t>
            </w:r>
          </w:p>
        </w:tc>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B6"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3rd UN Annual Forum on Business and Human Rights</w:t>
            </w:r>
          </w:p>
        </w:tc>
        <w:tc>
          <w:tcPr>
            <w:tcW w:w="30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B7"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2014</w:t>
            </w:r>
          </w:p>
        </w:tc>
      </w:tr>
      <w:tr w:rsidR="003B207D" w:rsidRPr="00DC4500" w14:paraId="732919BC" w14:textId="77777777">
        <w:trPr>
          <w:trHeight w:val="3391"/>
        </w:trPr>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B9"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 xml:space="preserve">United Nations General Assembly </w:t>
            </w:r>
          </w:p>
        </w:tc>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BA" w14:textId="77777777" w:rsidR="003B207D" w:rsidRPr="006A43BB" w:rsidRDefault="00C96635" w:rsidP="006A43BB">
            <w:pPr>
              <w:pStyle w:val="BodyA"/>
              <w:spacing w:line="360" w:lineRule="auto"/>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Resolution on Elaboration of an international legally binding instrument on transnational corporations and other business enterprises with respect to human rights. Establishment of open-ended intergovernmental working group (OEIGWG).</w:t>
            </w:r>
          </w:p>
        </w:tc>
        <w:tc>
          <w:tcPr>
            <w:tcW w:w="30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BB"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2014</w:t>
            </w:r>
          </w:p>
        </w:tc>
      </w:tr>
      <w:tr w:rsidR="003B207D" w:rsidRPr="00DC4500" w14:paraId="732919C1" w14:textId="77777777">
        <w:trPr>
          <w:trHeight w:val="2017"/>
        </w:trPr>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BD"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 xml:space="preserve">Human Rights Council Chairmanship of the OEIGWG </w:t>
            </w:r>
          </w:p>
        </w:tc>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BE" w14:textId="77777777" w:rsidR="003B207D" w:rsidRPr="00DC4500"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Elaboration of an international legally binding instrument on transnational</w:t>
            </w:r>
          </w:p>
          <w:p w14:paraId="732919BF"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corporations and other business enterprises with respect to human rights.</w:t>
            </w:r>
          </w:p>
        </w:tc>
        <w:tc>
          <w:tcPr>
            <w:tcW w:w="30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C0"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2017</w:t>
            </w:r>
          </w:p>
        </w:tc>
      </w:tr>
      <w:tr w:rsidR="003B207D" w:rsidRPr="00DC4500" w14:paraId="732919C5" w14:textId="77777777">
        <w:trPr>
          <w:trHeight w:val="300"/>
        </w:trPr>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C2"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 xml:space="preserve">OEIGWG </w:t>
            </w:r>
          </w:p>
        </w:tc>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C3"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 xml:space="preserve">Publication of Zero Draft </w:t>
            </w:r>
          </w:p>
        </w:tc>
        <w:tc>
          <w:tcPr>
            <w:tcW w:w="30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C4"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2018</w:t>
            </w:r>
          </w:p>
        </w:tc>
      </w:tr>
      <w:tr w:rsidR="003B207D" w:rsidRPr="00DC4500" w14:paraId="732919C9" w14:textId="77777777">
        <w:trPr>
          <w:trHeight w:val="300"/>
        </w:trPr>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C6"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OEIGWG</w:t>
            </w:r>
          </w:p>
        </w:tc>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C7"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Publication of revised draft</w:t>
            </w:r>
          </w:p>
        </w:tc>
        <w:tc>
          <w:tcPr>
            <w:tcW w:w="30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C8"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2019</w:t>
            </w:r>
          </w:p>
        </w:tc>
      </w:tr>
      <w:tr w:rsidR="003B207D" w:rsidRPr="00DC4500" w14:paraId="732919CD" w14:textId="77777777">
        <w:trPr>
          <w:trHeight w:val="643"/>
        </w:trPr>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CA"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lastRenderedPageBreak/>
              <w:t>OEIGWG</w:t>
            </w:r>
          </w:p>
        </w:tc>
        <w:tc>
          <w:tcPr>
            <w:tcW w:w="300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CB" w14:textId="77777777" w:rsidR="003B207D" w:rsidRPr="006A43BB" w:rsidRDefault="00C96635" w:rsidP="006A43BB">
            <w:pPr>
              <w:pStyle w:val="BodyA"/>
              <w:spacing w:line="360" w:lineRule="auto"/>
              <w:jc w:val="both"/>
              <w:rPr>
                <w:rFonts w:ascii="Times New Roman" w:hAnsi="Times New Roman" w:cs="Times New Roman"/>
                <w:sz w:val="24"/>
                <w:szCs w:val="24"/>
              </w:rPr>
            </w:pPr>
            <w:r w:rsidRPr="006A43BB">
              <w:rPr>
                <w:rStyle w:val="None"/>
                <w:rFonts w:ascii="Times New Roman" w:hAnsi="Times New Roman" w:cs="Times New Roman"/>
                <w:sz w:val="24"/>
                <w:szCs w:val="24"/>
                <w:shd w:val="clear" w:color="auto" w:fill="FFFFFF"/>
              </w:rPr>
              <w:t>Publication of second revised draft</w:t>
            </w:r>
          </w:p>
        </w:tc>
        <w:tc>
          <w:tcPr>
            <w:tcW w:w="30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32919CC" w14:textId="77777777" w:rsidR="003B207D" w:rsidRPr="00DC4500" w:rsidRDefault="003B207D" w:rsidP="006A43BB">
            <w:pPr>
              <w:spacing w:line="360" w:lineRule="auto"/>
            </w:pPr>
          </w:p>
        </w:tc>
      </w:tr>
    </w:tbl>
    <w:p w14:paraId="732919CE" w14:textId="77777777" w:rsidR="003B207D" w:rsidRPr="006A43BB" w:rsidRDefault="003B207D" w:rsidP="006A43BB">
      <w:pPr>
        <w:pStyle w:val="BodyA"/>
        <w:widowControl w:val="0"/>
        <w:spacing w:line="360" w:lineRule="auto"/>
        <w:jc w:val="both"/>
        <w:rPr>
          <w:rStyle w:val="None"/>
          <w:rFonts w:ascii="Times New Roman" w:eastAsia="Times New Roman" w:hAnsi="Times New Roman" w:cs="Times New Roman"/>
          <w:sz w:val="24"/>
          <w:szCs w:val="24"/>
          <w:shd w:val="clear" w:color="auto" w:fill="FFFFFF"/>
        </w:rPr>
      </w:pPr>
    </w:p>
    <w:p w14:paraId="732919CF" w14:textId="77777777" w:rsidR="003B207D" w:rsidRDefault="003B207D">
      <w:pPr>
        <w:pStyle w:val="BodyA"/>
        <w:jc w:val="both"/>
        <w:rPr>
          <w:rStyle w:val="None"/>
          <w:rFonts w:ascii="Times New Roman" w:eastAsia="Times New Roman" w:hAnsi="Times New Roman" w:cs="Times New Roman"/>
          <w:sz w:val="24"/>
          <w:szCs w:val="24"/>
          <w:shd w:val="clear" w:color="auto" w:fill="FFFFFF"/>
        </w:rPr>
      </w:pPr>
    </w:p>
    <w:p w14:paraId="732919D0" w14:textId="77777777" w:rsidR="003B207D" w:rsidRPr="00B3520E"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B3520E">
        <w:rPr>
          <w:rStyle w:val="None"/>
          <w:rFonts w:ascii="Times New Roman" w:hAnsi="Times New Roman"/>
          <w:sz w:val="24"/>
          <w:szCs w:val="24"/>
          <w:shd w:val="clear" w:color="auto" w:fill="FFFFFF"/>
        </w:rPr>
        <w:t xml:space="preserve">Based on the analyses developed by John </w:t>
      </w:r>
      <w:proofErr w:type="spellStart"/>
      <w:r w:rsidRPr="00B3520E">
        <w:rPr>
          <w:rStyle w:val="None"/>
          <w:rFonts w:ascii="Times New Roman" w:hAnsi="Times New Roman"/>
          <w:sz w:val="24"/>
          <w:szCs w:val="24"/>
          <w:shd w:val="clear" w:color="auto" w:fill="FFFFFF"/>
        </w:rPr>
        <w:t>Ruggie</w:t>
      </w:r>
      <w:proofErr w:type="spellEnd"/>
      <w:r w:rsidRPr="00B3520E">
        <w:rPr>
          <w:rStyle w:val="None"/>
          <w:rFonts w:ascii="Times New Roman" w:hAnsi="Times New Roman"/>
          <w:sz w:val="24"/>
          <w:szCs w:val="24"/>
          <w:shd w:val="clear" w:color="auto" w:fill="FFFFFF"/>
        </w:rPr>
        <w:t>, former Special Representative of the Secretary General and Business and Human Rights Resource Centre</w:t>
      </w:r>
      <w:r w:rsidRPr="00B3520E">
        <w:rPr>
          <w:rStyle w:val="None"/>
          <w:rFonts w:ascii="Times New Roman" w:eastAsia="Times New Roman" w:hAnsi="Times New Roman" w:cs="Times New Roman"/>
          <w:sz w:val="24"/>
          <w:szCs w:val="24"/>
          <w:shd w:val="clear" w:color="auto" w:fill="FFFFFF"/>
          <w:vertAlign w:val="superscript"/>
        </w:rPr>
        <w:footnoteReference w:id="235"/>
      </w:r>
      <w:r w:rsidRPr="00B3520E">
        <w:rPr>
          <w:rStyle w:val="None"/>
          <w:rFonts w:ascii="Times New Roman" w:hAnsi="Times New Roman"/>
          <w:sz w:val="24"/>
          <w:szCs w:val="24"/>
          <w:shd w:val="clear" w:color="auto" w:fill="FFFFFF"/>
        </w:rPr>
        <w:t xml:space="preserve"> and other researchers in this area, the following elements of the treaty have been suggested: </w:t>
      </w:r>
    </w:p>
    <w:p w14:paraId="732919D1" w14:textId="77777777" w:rsidR="003B207D" w:rsidRPr="00B3520E"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9D2" w14:textId="77777777" w:rsidR="003B207D" w:rsidRPr="00B3520E" w:rsidRDefault="00C96635" w:rsidP="006A43BB">
      <w:pPr>
        <w:pStyle w:val="BodyA"/>
        <w:numPr>
          <w:ilvl w:val="0"/>
          <w:numId w:val="14"/>
        </w:numPr>
        <w:spacing w:line="360" w:lineRule="auto"/>
        <w:jc w:val="both"/>
        <w:rPr>
          <w:rFonts w:ascii="Times New Roman" w:hAnsi="Times New Roman"/>
          <w:sz w:val="24"/>
          <w:szCs w:val="24"/>
        </w:rPr>
      </w:pPr>
      <w:r w:rsidRPr="00B3520E">
        <w:rPr>
          <w:rStyle w:val="None"/>
          <w:rFonts w:ascii="Times New Roman" w:hAnsi="Times New Roman"/>
          <w:sz w:val="24"/>
          <w:szCs w:val="24"/>
          <w:shd w:val="clear" w:color="auto" w:fill="FFFFFF"/>
        </w:rPr>
        <w:t xml:space="preserve">The instrument has to address specific governance gaps that impossible to address through other human rights mechanisms. Thus, the scope of the treaty should be limited to severe violations such as genocide, slavery and etc. </w:t>
      </w:r>
    </w:p>
    <w:p w14:paraId="732919D3" w14:textId="25B53E61" w:rsidR="003B207D" w:rsidRPr="00B3520E" w:rsidRDefault="00C96635" w:rsidP="006A43BB">
      <w:pPr>
        <w:pStyle w:val="BodyA"/>
        <w:numPr>
          <w:ilvl w:val="0"/>
          <w:numId w:val="14"/>
        </w:numPr>
        <w:spacing w:line="360" w:lineRule="auto"/>
        <w:jc w:val="both"/>
        <w:rPr>
          <w:rFonts w:ascii="Times New Roman" w:hAnsi="Times New Roman"/>
          <w:sz w:val="24"/>
          <w:szCs w:val="24"/>
        </w:rPr>
      </w:pPr>
      <w:r w:rsidRPr="00B3520E">
        <w:rPr>
          <w:rStyle w:val="None"/>
          <w:rFonts w:ascii="Times New Roman" w:hAnsi="Times New Roman"/>
          <w:sz w:val="24"/>
          <w:szCs w:val="24"/>
          <w:shd w:val="clear" w:color="auto" w:fill="FFFFFF"/>
        </w:rPr>
        <w:t xml:space="preserve">The </w:t>
      </w:r>
      <w:r w:rsidR="002816B8" w:rsidRPr="00B3520E">
        <w:rPr>
          <w:rStyle w:val="None"/>
          <w:rFonts w:ascii="Times New Roman" w:hAnsi="Times New Roman"/>
          <w:sz w:val="24"/>
          <w:szCs w:val="24"/>
          <w:shd w:val="clear" w:color="auto" w:fill="FFFFFF"/>
        </w:rPr>
        <w:t>ins</w:t>
      </w:r>
      <w:r w:rsidR="002816B8">
        <w:rPr>
          <w:rStyle w:val="None"/>
          <w:rFonts w:ascii="Times New Roman" w:hAnsi="Times New Roman"/>
          <w:sz w:val="24"/>
          <w:szCs w:val="24"/>
          <w:shd w:val="clear" w:color="auto" w:fill="FFFFFF"/>
        </w:rPr>
        <w:t>trument</w:t>
      </w:r>
      <w:r w:rsidRPr="00B3520E">
        <w:rPr>
          <w:rStyle w:val="None"/>
          <w:rFonts w:ascii="Times New Roman" w:hAnsi="Times New Roman"/>
          <w:sz w:val="24"/>
          <w:szCs w:val="24"/>
          <w:shd w:val="clear" w:color="auto" w:fill="FFFFFF"/>
        </w:rPr>
        <w:t xml:space="preserve"> needs to </w:t>
      </w:r>
      <w:r w:rsidR="002816B8">
        <w:rPr>
          <w:rStyle w:val="None"/>
          <w:rFonts w:ascii="Times New Roman" w:hAnsi="Times New Roman"/>
          <w:sz w:val="24"/>
          <w:szCs w:val="24"/>
          <w:shd w:val="clear" w:color="auto" w:fill="FFFFFF"/>
        </w:rPr>
        <w:t>reference and resemble main</w:t>
      </w:r>
      <w:r w:rsidRPr="00B3520E">
        <w:rPr>
          <w:rStyle w:val="None"/>
          <w:rFonts w:ascii="Times New Roman" w:hAnsi="Times New Roman"/>
          <w:sz w:val="24"/>
          <w:szCs w:val="24"/>
          <w:shd w:val="clear" w:color="auto" w:fill="FFFFFF"/>
        </w:rPr>
        <w:t xml:space="preserve"> human rights </w:t>
      </w:r>
      <w:r w:rsidR="002816B8">
        <w:rPr>
          <w:rStyle w:val="None"/>
          <w:rFonts w:ascii="Times New Roman" w:hAnsi="Times New Roman"/>
          <w:sz w:val="24"/>
          <w:szCs w:val="24"/>
          <w:shd w:val="clear" w:color="auto" w:fill="FFFFFF"/>
        </w:rPr>
        <w:t xml:space="preserve">documents </w:t>
      </w:r>
      <w:r w:rsidRPr="00B3520E">
        <w:rPr>
          <w:rStyle w:val="None"/>
          <w:rFonts w:ascii="Times New Roman" w:hAnsi="Times New Roman"/>
          <w:sz w:val="24"/>
          <w:szCs w:val="24"/>
          <w:shd w:val="clear" w:color="auto" w:fill="FFFFFF"/>
        </w:rPr>
        <w:t xml:space="preserve">such as </w:t>
      </w:r>
      <w:r w:rsidR="002816B8">
        <w:rPr>
          <w:rStyle w:val="None"/>
          <w:rFonts w:ascii="Times New Roman" w:hAnsi="Times New Roman"/>
          <w:sz w:val="24"/>
          <w:szCs w:val="24"/>
          <w:shd w:val="clear" w:color="auto" w:fill="FFFFFF"/>
        </w:rPr>
        <w:t xml:space="preserve">the </w:t>
      </w:r>
      <w:r w:rsidRPr="00B3520E">
        <w:rPr>
          <w:rStyle w:val="None"/>
          <w:rFonts w:ascii="Times New Roman" w:hAnsi="Times New Roman"/>
          <w:sz w:val="24"/>
          <w:szCs w:val="24"/>
          <w:shd w:val="clear" w:color="auto" w:fill="FFFFFF"/>
        </w:rPr>
        <w:t xml:space="preserve">Universal Declaration and </w:t>
      </w:r>
      <w:r w:rsidR="002816B8">
        <w:rPr>
          <w:rStyle w:val="None"/>
          <w:rFonts w:ascii="Times New Roman" w:hAnsi="Times New Roman"/>
          <w:sz w:val="24"/>
          <w:szCs w:val="24"/>
          <w:shd w:val="clear" w:color="auto" w:fill="FFFFFF"/>
        </w:rPr>
        <w:t>etc</w:t>
      </w:r>
      <w:r w:rsidRPr="00B3520E">
        <w:rPr>
          <w:rStyle w:val="None"/>
          <w:rFonts w:ascii="Times New Roman" w:hAnsi="Times New Roman"/>
          <w:sz w:val="24"/>
          <w:szCs w:val="24"/>
          <w:shd w:val="clear" w:color="auto" w:fill="FFFFFF"/>
        </w:rPr>
        <w:t>. This will allow to provide specific information regarding particular set of rights. For instance, if it will include the United Nations Declaration on the Rights of Indigenous Peoples ( hereinafter – ‘UNDRIP’) it will allow the instrument to focus on specific rights of indigenous people.</w:t>
      </w:r>
      <w:r w:rsidRPr="00B3520E">
        <w:rPr>
          <w:rStyle w:val="None"/>
          <w:rFonts w:ascii="Times New Roman" w:eastAsia="Times New Roman" w:hAnsi="Times New Roman" w:cs="Times New Roman"/>
          <w:sz w:val="24"/>
          <w:szCs w:val="24"/>
          <w:shd w:val="clear" w:color="auto" w:fill="FFFFFF"/>
          <w:vertAlign w:val="superscript"/>
        </w:rPr>
        <w:footnoteReference w:id="236"/>
      </w:r>
    </w:p>
    <w:p w14:paraId="732919D4" w14:textId="77777777" w:rsidR="003B207D" w:rsidRPr="00B3520E" w:rsidRDefault="00C96635" w:rsidP="006A43BB">
      <w:pPr>
        <w:pStyle w:val="BodyA"/>
        <w:numPr>
          <w:ilvl w:val="0"/>
          <w:numId w:val="14"/>
        </w:numPr>
        <w:spacing w:line="360" w:lineRule="auto"/>
        <w:jc w:val="both"/>
        <w:rPr>
          <w:rFonts w:ascii="Times New Roman" w:hAnsi="Times New Roman"/>
          <w:sz w:val="24"/>
          <w:szCs w:val="24"/>
        </w:rPr>
      </w:pPr>
      <w:r w:rsidRPr="00B3520E">
        <w:rPr>
          <w:rStyle w:val="None"/>
          <w:rFonts w:ascii="Times New Roman" w:hAnsi="Times New Roman"/>
          <w:sz w:val="24"/>
          <w:szCs w:val="24"/>
          <w:shd w:val="clear" w:color="auto" w:fill="FFFFFF"/>
        </w:rPr>
        <w:t>The treaty needs to contain environmental regulations. However, it has been widely questioned and suggested that environmental matters are better regulated under the UN regulatory mechanisms.</w:t>
      </w:r>
      <w:r w:rsidRPr="00B3520E">
        <w:rPr>
          <w:rStyle w:val="None"/>
          <w:rFonts w:ascii="Times New Roman" w:eastAsia="Times New Roman" w:hAnsi="Times New Roman" w:cs="Times New Roman"/>
          <w:sz w:val="24"/>
          <w:szCs w:val="24"/>
          <w:shd w:val="clear" w:color="auto" w:fill="FFFFFF"/>
          <w:vertAlign w:val="superscript"/>
        </w:rPr>
        <w:footnoteReference w:id="237"/>
      </w:r>
    </w:p>
    <w:p w14:paraId="732919D6" w14:textId="77777777" w:rsidR="003B207D" w:rsidRPr="00B3520E" w:rsidRDefault="00C96635" w:rsidP="006A43BB">
      <w:pPr>
        <w:pStyle w:val="ListParagraph"/>
        <w:numPr>
          <w:ilvl w:val="0"/>
          <w:numId w:val="14"/>
        </w:numPr>
        <w:spacing w:line="360" w:lineRule="auto"/>
      </w:pPr>
      <w:r w:rsidRPr="00B3520E">
        <w:rPr>
          <w:rStyle w:val="NoneA"/>
        </w:rPr>
        <w:t xml:space="preserve">The </w:t>
      </w:r>
      <w:proofErr w:type="spellStart"/>
      <w:r w:rsidRPr="00B3520E">
        <w:rPr>
          <w:rStyle w:val="None"/>
          <w:i/>
          <w:iCs/>
        </w:rPr>
        <w:t>ratione</w:t>
      </w:r>
      <w:proofErr w:type="spellEnd"/>
      <w:r w:rsidRPr="00B3520E">
        <w:rPr>
          <w:rStyle w:val="None"/>
          <w:i/>
          <w:iCs/>
        </w:rPr>
        <w:t xml:space="preserve"> personae</w:t>
      </w:r>
      <w:r w:rsidRPr="00B3520E">
        <w:rPr>
          <w:rStyle w:val="NoneA"/>
        </w:rPr>
        <w:t xml:space="preserve"> scope of the treaty should focus on all types of entities that have international links, such as transnational corporations and locally based companies.</w:t>
      </w:r>
    </w:p>
    <w:p w14:paraId="732919D7" w14:textId="77777777" w:rsidR="003B207D" w:rsidRPr="00B3520E" w:rsidRDefault="00C96635" w:rsidP="006A43BB">
      <w:pPr>
        <w:pStyle w:val="ListParagraph"/>
        <w:numPr>
          <w:ilvl w:val="0"/>
          <w:numId w:val="14"/>
        </w:numPr>
        <w:spacing w:line="360" w:lineRule="auto"/>
        <w:jc w:val="both"/>
      </w:pPr>
      <w:r w:rsidRPr="00B3520E">
        <w:rPr>
          <w:rStyle w:val="NoneA"/>
        </w:rPr>
        <w:t xml:space="preserve">Establishment of compliance mechanism in order to ensure that provisions of the treaty are effective and human rights abuses are remedied and prevented.  </w:t>
      </w:r>
    </w:p>
    <w:p w14:paraId="732919D8" w14:textId="77777777" w:rsidR="003B207D" w:rsidRDefault="003B207D" w:rsidP="006A43BB">
      <w:pPr>
        <w:pStyle w:val="Body"/>
        <w:spacing w:line="360" w:lineRule="auto"/>
        <w:rPr>
          <w:rStyle w:val="None"/>
          <w:shd w:val="clear" w:color="auto" w:fill="FFFFFF"/>
          <w:lang w:val="en-US"/>
          <w14:textOutline w14:w="12700" w14:cap="flat" w14:cmpd="sng" w14:algn="ctr">
            <w14:noFill/>
            <w14:prstDash w14:val="solid"/>
            <w14:miter w14:lim="400000"/>
          </w14:textOutline>
        </w:rPr>
      </w:pPr>
    </w:p>
    <w:p w14:paraId="732919D9" w14:textId="1F70CDDB" w:rsidR="003B207D" w:rsidRDefault="00C96635" w:rsidP="006A43BB">
      <w:pPr>
        <w:pStyle w:val="Body"/>
        <w:spacing w:line="360" w:lineRule="auto"/>
        <w:jc w:val="both"/>
        <w:rPr>
          <w:rStyle w:val="None"/>
          <w:shd w:val="clear" w:color="auto" w:fill="FFFFFF"/>
          <w14:textOutline w14:w="12700" w14:cap="flat" w14:cmpd="sng" w14:algn="ctr">
            <w14:noFill/>
            <w14:prstDash w14:val="solid"/>
            <w14:miter w14:lim="400000"/>
          </w14:textOutline>
        </w:rPr>
      </w:pPr>
      <w:r>
        <w:rPr>
          <w:rStyle w:val="None"/>
          <w:shd w:val="clear" w:color="auto" w:fill="FFFFFF"/>
          <w:lang w:val="en-US"/>
          <w14:textOutline w14:w="12700" w14:cap="flat" w14:cmpd="sng" w14:algn="ctr">
            <w14:noFill/>
            <w14:prstDash w14:val="solid"/>
            <w14:miter w14:lim="400000"/>
          </w14:textOutline>
        </w:rPr>
        <w:t>Extraterritorial application of the BHRT is one of the most controversial aspects of the debate. International law puts limitations on the extraterritorial activities of states including interference with sovereignty.</w:t>
      </w:r>
      <w:r>
        <w:rPr>
          <w:rStyle w:val="None"/>
          <w:shd w:val="clear" w:color="auto" w:fill="FFFFFF"/>
          <w:vertAlign w:val="superscript"/>
          <w:lang w:val="en-US"/>
          <w14:textOutline w14:w="12700" w14:cap="flat" w14:cmpd="sng" w14:algn="ctr">
            <w14:noFill/>
            <w14:prstDash w14:val="solid"/>
            <w14:miter w14:lim="400000"/>
          </w14:textOutline>
        </w:rPr>
        <w:footnoteReference w:id="238"/>
      </w:r>
      <w:r>
        <w:rPr>
          <w:rStyle w:val="None"/>
          <w:shd w:val="clear" w:color="auto" w:fill="FFFFFF"/>
          <w:lang w:val="en-US"/>
          <w14:textOutline w14:w="12700" w14:cap="flat" w14:cmpd="sng" w14:algn="ctr">
            <w14:noFill/>
            <w14:prstDash w14:val="solid"/>
            <w14:miter w14:lim="400000"/>
          </w14:textOutline>
        </w:rPr>
        <w:t xml:space="preserve"> This matter still require research and clarification, in particular in relation to the extraterritorial due diligence obligation of states to protect human rights. </w:t>
      </w:r>
    </w:p>
    <w:p w14:paraId="15C338E6" w14:textId="77777777" w:rsidR="00F0538C" w:rsidRDefault="00F0538C" w:rsidP="006A43BB">
      <w:pPr>
        <w:pStyle w:val="Body"/>
        <w:spacing w:line="360" w:lineRule="auto"/>
        <w:jc w:val="both"/>
        <w:rPr>
          <w:rStyle w:val="None"/>
          <w:rFonts w:cs="Times New Roman"/>
          <w:color w:val="auto"/>
          <w:shd w:val="clear" w:color="auto" w:fill="FFFFFF"/>
          <w:lang w:val="en-US" w:eastAsia="en-US"/>
          <w14:textOutline w14:w="12700" w14:cap="flat" w14:cmpd="sng" w14:algn="ctr">
            <w14:noFill/>
            <w14:prstDash w14:val="solid"/>
            <w14:miter w14:lim="400000"/>
          </w14:textOutline>
        </w:rPr>
      </w:pPr>
    </w:p>
    <w:p w14:paraId="732919DB" w14:textId="0E13E749" w:rsidR="003B207D" w:rsidRDefault="00C96635" w:rsidP="006A43BB">
      <w:pPr>
        <w:pStyle w:val="Body"/>
        <w:spacing w:line="360" w:lineRule="auto"/>
        <w:jc w:val="both"/>
        <w:rPr>
          <w:rStyle w:val="None"/>
          <w:shd w:val="clear" w:color="auto" w:fill="FFFFFF"/>
          <w14:textOutline w14:w="12700" w14:cap="flat" w14:cmpd="sng" w14:algn="ctr">
            <w14:noFill/>
            <w14:prstDash w14:val="solid"/>
            <w14:miter w14:lim="400000"/>
          </w14:textOutline>
        </w:rPr>
      </w:pPr>
      <w:r>
        <w:rPr>
          <w:rStyle w:val="None"/>
          <w:shd w:val="clear" w:color="auto" w:fill="FFFFFF"/>
          <w:lang w:val="en-US"/>
          <w14:textOutline w14:w="12700" w14:cap="flat" w14:cmpd="sng" w14:algn="ctr">
            <w14:noFill/>
            <w14:prstDash w14:val="solid"/>
            <w14:miter w14:lim="400000"/>
          </w14:textOutline>
        </w:rPr>
        <w:lastRenderedPageBreak/>
        <w:t xml:space="preserve">The Business and Human Rights Treaty and its operational provisions will help to address the various issues that arise when dealing with victims of business-related </w:t>
      </w:r>
      <w:r w:rsidR="005F3F7A">
        <w:rPr>
          <w:rStyle w:val="None"/>
          <w:shd w:val="clear" w:color="auto" w:fill="FFFFFF"/>
          <w:lang w:val="en-US"/>
          <w14:textOutline w14:w="12700" w14:cap="flat" w14:cmpd="sng" w14:algn="ctr">
            <w14:noFill/>
            <w14:prstDash w14:val="solid"/>
            <w14:miter w14:lim="400000"/>
          </w14:textOutline>
        </w:rPr>
        <w:t>h</w:t>
      </w:r>
      <w:r>
        <w:rPr>
          <w:rStyle w:val="None"/>
          <w:shd w:val="clear" w:color="auto" w:fill="FFFFFF"/>
          <w:lang w:val="en-US"/>
          <w14:textOutline w14:w="12700" w14:cap="flat" w14:cmpd="sng" w14:algn="ctr">
            <w14:noFill/>
            <w14:prstDash w14:val="solid"/>
            <w14:miter w14:lim="400000"/>
          </w14:textOutline>
        </w:rPr>
        <w:t xml:space="preserve">uman </w:t>
      </w:r>
      <w:r w:rsidR="005F3F7A">
        <w:rPr>
          <w:rStyle w:val="None"/>
          <w:shd w:val="clear" w:color="auto" w:fill="FFFFFF"/>
          <w:lang w:val="en-US"/>
          <w14:textOutline w14:w="12700" w14:cap="flat" w14:cmpd="sng" w14:algn="ctr">
            <w14:noFill/>
            <w14:prstDash w14:val="solid"/>
            <w14:miter w14:lim="400000"/>
          </w14:textOutline>
        </w:rPr>
        <w:t>r</w:t>
      </w:r>
      <w:r>
        <w:rPr>
          <w:rStyle w:val="None"/>
          <w:shd w:val="clear" w:color="auto" w:fill="FFFFFF"/>
          <w:lang w:val="en-US"/>
          <w14:textOutline w14:w="12700" w14:cap="flat" w14:cmpd="sng" w14:algn="ctr">
            <w14:noFill/>
            <w14:prstDash w14:val="solid"/>
            <w14:miter w14:lim="400000"/>
          </w14:textOutline>
        </w:rPr>
        <w:t xml:space="preserve">ights abuses. These issues require urgent action to fill the protection gaps left by the existing regulations. </w:t>
      </w:r>
    </w:p>
    <w:p w14:paraId="732919DD" w14:textId="77777777" w:rsidR="003B207D" w:rsidRDefault="003B207D" w:rsidP="006A43BB">
      <w:pPr>
        <w:pStyle w:val="Body"/>
        <w:spacing w:line="360" w:lineRule="auto"/>
        <w:rPr>
          <w:rStyle w:val="None"/>
          <w:rFonts w:cs="Times New Roman"/>
          <w:b/>
          <w:bCs/>
          <w:color w:val="auto"/>
          <w:shd w:val="clear" w:color="auto" w:fill="FFFFFF"/>
          <w:lang w:val="en-US" w:eastAsia="en-US"/>
          <w14:textOutline w14:w="12700" w14:cap="flat" w14:cmpd="sng" w14:algn="ctr">
            <w14:noFill/>
            <w14:prstDash w14:val="solid"/>
            <w14:miter w14:lim="400000"/>
          </w14:textOutline>
        </w:rPr>
      </w:pPr>
    </w:p>
    <w:p w14:paraId="732919DE" w14:textId="2792FED6" w:rsidR="003B207D" w:rsidRDefault="00C96635" w:rsidP="006A43BB">
      <w:pPr>
        <w:pStyle w:val="Body"/>
        <w:spacing w:line="360" w:lineRule="auto"/>
        <w:rPr>
          <w:rStyle w:val="None"/>
          <w:b/>
          <w:bCs/>
          <w:shd w:val="clear" w:color="auto" w:fill="FFFFFF"/>
          <w14:textOutline w14:w="12700" w14:cap="flat" w14:cmpd="sng" w14:algn="ctr">
            <w14:noFill/>
            <w14:prstDash w14:val="solid"/>
            <w14:miter w14:lim="400000"/>
          </w14:textOutline>
        </w:rPr>
      </w:pPr>
      <w:r>
        <w:rPr>
          <w:rStyle w:val="None"/>
          <w:b/>
          <w:bCs/>
          <w:shd w:val="clear" w:color="auto" w:fill="FFFFFF"/>
          <w:lang w:val="en-US"/>
          <w14:textOutline w14:w="12700" w14:cap="flat" w14:cmpd="sng" w14:algn="ctr">
            <w14:noFill/>
            <w14:prstDash w14:val="solid"/>
            <w14:miter w14:lim="400000"/>
          </w14:textOutline>
        </w:rPr>
        <w:t>6.</w:t>
      </w:r>
      <w:r w:rsidR="00731C13">
        <w:rPr>
          <w:rStyle w:val="None"/>
          <w:b/>
          <w:bCs/>
          <w:shd w:val="clear" w:color="auto" w:fill="FFFFFF"/>
          <w:lang w:val="en-US"/>
          <w14:textOutline w14:w="12700" w14:cap="flat" w14:cmpd="sng" w14:algn="ctr">
            <w14:noFill/>
            <w14:prstDash w14:val="solid"/>
            <w14:miter w14:lim="400000"/>
          </w14:textOutline>
        </w:rPr>
        <w:t>2</w:t>
      </w:r>
      <w:r>
        <w:rPr>
          <w:rStyle w:val="None"/>
          <w:b/>
          <w:bCs/>
          <w:shd w:val="clear" w:color="auto" w:fill="FFFFFF"/>
          <w:lang w:val="en-US"/>
          <w14:textOutline w14:w="12700" w14:cap="flat" w14:cmpd="sng" w14:algn="ctr">
            <w14:noFill/>
            <w14:prstDash w14:val="solid"/>
            <w14:miter w14:lim="400000"/>
          </w14:textOutline>
        </w:rPr>
        <w:t xml:space="preserve"> </w:t>
      </w:r>
      <w:bookmarkStart w:id="20" w:name="_Hlk73267433"/>
      <w:r>
        <w:rPr>
          <w:rStyle w:val="None"/>
          <w:b/>
          <w:bCs/>
          <w:shd w:val="clear" w:color="auto" w:fill="FFFFFF"/>
          <w:lang w:val="en-US"/>
          <w14:textOutline w14:w="12700" w14:cap="flat" w14:cmpd="sng" w14:algn="ctr">
            <w14:noFill/>
            <w14:prstDash w14:val="solid"/>
            <w14:miter w14:lim="400000"/>
          </w14:textOutline>
        </w:rPr>
        <w:t xml:space="preserve">Structure of the proposed treaty </w:t>
      </w:r>
    </w:p>
    <w:p w14:paraId="732919DF" w14:textId="77777777" w:rsidR="003B207D" w:rsidRDefault="003B207D" w:rsidP="006A43BB">
      <w:pPr>
        <w:pStyle w:val="BodyA"/>
        <w:spacing w:line="360" w:lineRule="auto"/>
        <w:ind w:left="720"/>
        <w:jc w:val="both"/>
        <w:rPr>
          <w:rStyle w:val="None"/>
          <w:rFonts w:ascii="Times New Roman" w:eastAsia="Times New Roman" w:hAnsi="Times New Roman" w:cs="Times New Roman"/>
          <w:sz w:val="24"/>
          <w:szCs w:val="24"/>
          <w:shd w:val="clear" w:color="auto" w:fill="FFFFFF"/>
          <w:lang w:val="en-IE"/>
          <w14:textOutline w14:w="0" w14:cap="flat" w14:cmpd="sng" w14:algn="ctr">
            <w14:noFill/>
            <w14:prstDash w14:val="solid"/>
            <w14:bevel/>
          </w14:textOutline>
        </w:rPr>
      </w:pPr>
    </w:p>
    <w:p w14:paraId="732919E0" w14:textId="716F28FF" w:rsidR="003B207D" w:rsidRDefault="00C96635" w:rsidP="00B3520E">
      <w:pPr>
        <w:pStyle w:val="BodyA"/>
        <w:spacing w:line="360" w:lineRule="auto"/>
        <w:jc w:val="both"/>
        <w:rPr>
          <w:rStyle w:val="None"/>
          <w:rFonts w:ascii="Times New Roman" w:hAnsi="Times New Roman"/>
          <w:sz w:val="24"/>
          <w:szCs w:val="24"/>
          <w:shd w:val="clear" w:color="auto" w:fill="FFFFFF"/>
        </w:rPr>
      </w:pPr>
      <w:r>
        <w:rPr>
          <w:rStyle w:val="None"/>
          <w:rFonts w:ascii="Times New Roman" w:hAnsi="Times New Roman"/>
          <w:sz w:val="24"/>
          <w:szCs w:val="24"/>
          <w:shd w:val="clear" w:color="auto" w:fill="FFFFFF"/>
        </w:rPr>
        <w:t>This section is designed to demonstrate possible structure of future BHRT considering previous analyses and evaluations. This thesis proposes the following design of the treaty:</w:t>
      </w:r>
    </w:p>
    <w:p w14:paraId="732919E1"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E2" w14:textId="77777777" w:rsidR="003B207D" w:rsidRDefault="00C96635" w:rsidP="006A43BB">
      <w:pPr>
        <w:pStyle w:val="BodyA"/>
        <w:spacing w:line="360" w:lineRule="auto"/>
        <w:jc w:val="both"/>
        <w:rPr>
          <w:rStyle w:val="None"/>
          <w:rFonts w:ascii="Times New Roman" w:eastAsia="Times New Roman" w:hAnsi="Times New Roman" w:cs="Times New Roman"/>
          <w:b/>
          <w:bCs/>
          <w:i/>
          <w:iCs/>
          <w:sz w:val="24"/>
          <w:szCs w:val="24"/>
          <w:shd w:val="clear" w:color="auto" w:fill="FFFFFF"/>
        </w:rPr>
      </w:pPr>
      <w:r>
        <w:rPr>
          <w:rStyle w:val="None"/>
          <w:rFonts w:ascii="Times New Roman" w:hAnsi="Times New Roman"/>
          <w:b/>
          <w:bCs/>
          <w:i/>
          <w:iCs/>
          <w:sz w:val="24"/>
          <w:szCs w:val="24"/>
          <w:shd w:val="clear" w:color="auto" w:fill="FFFFFF"/>
        </w:rPr>
        <w:t xml:space="preserve">Preamble </w:t>
      </w:r>
    </w:p>
    <w:p w14:paraId="732919E3"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E4"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Enumeration of the responsibilities of the state parties to the convention. For example, to respect, protect and fulfill human rights.</w:t>
      </w:r>
    </w:p>
    <w:p w14:paraId="732919E5"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E6" w14:textId="77777777" w:rsidR="003B207D" w:rsidRDefault="00C96635" w:rsidP="006A43BB">
      <w:pPr>
        <w:pStyle w:val="BodyA"/>
        <w:spacing w:line="360" w:lineRule="auto"/>
        <w:jc w:val="both"/>
        <w:rPr>
          <w:rStyle w:val="None"/>
          <w:rFonts w:ascii="Times New Roman" w:eastAsia="Times New Roman" w:hAnsi="Times New Roman" w:cs="Times New Roman"/>
          <w:b/>
          <w:bCs/>
          <w:i/>
          <w:iCs/>
          <w:sz w:val="24"/>
          <w:szCs w:val="24"/>
          <w:shd w:val="clear" w:color="auto" w:fill="FFFFFF"/>
        </w:rPr>
      </w:pPr>
      <w:r>
        <w:rPr>
          <w:rStyle w:val="None"/>
          <w:rFonts w:ascii="Times New Roman" w:hAnsi="Times New Roman"/>
          <w:b/>
          <w:bCs/>
          <w:i/>
          <w:iCs/>
          <w:sz w:val="24"/>
          <w:szCs w:val="24"/>
          <w:shd w:val="clear" w:color="auto" w:fill="FFFFFF"/>
        </w:rPr>
        <w:t xml:space="preserve">Article 1 Use of Terms </w:t>
      </w:r>
    </w:p>
    <w:p w14:paraId="732919E7"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E8"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Effective interpretation of the terms used in the document. </w:t>
      </w:r>
    </w:p>
    <w:p w14:paraId="732919E9"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EA" w14:textId="77777777" w:rsidR="003B207D" w:rsidRDefault="00C96635" w:rsidP="006A43BB">
      <w:pPr>
        <w:pStyle w:val="BodyA"/>
        <w:spacing w:line="360" w:lineRule="auto"/>
        <w:jc w:val="both"/>
        <w:rPr>
          <w:rStyle w:val="None"/>
          <w:rFonts w:ascii="Times New Roman" w:eastAsia="Times New Roman" w:hAnsi="Times New Roman" w:cs="Times New Roman"/>
          <w:b/>
          <w:bCs/>
          <w:i/>
          <w:iCs/>
          <w:sz w:val="24"/>
          <w:szCs w:val="24"/>
          <w:shd w:val="clear" w:color="auto" w:fill="FFFFFF"/>
        </w:rPr>
      </w:pPr>
      <w:r>
        <w:rPr>
          <w:rStyle w:val="None"/>
          <w:rFonts w:ascii="Times New Roman" w:hAnsi="Times New Roman"/>
          <w:b/>
          <w:bCs/>
          <w:i/>
          <w:iCs/>
          <w:sz w:val="24"/>
          <w:szCs w:val="24"/>
          <w:shd w:val="clear" w:color="auto" w:fill="FFFFFF"/>
        </w:rPr>
        <w:t xml:space="preserve">Article 2 Obligations </w:t>
      </w:r>
    </w:p>
    <w:p w14:paraId="732919EB"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EC"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Clarification of human rights obligations of states parties to the treaty to respect, protect and fulfill human rights. </w:t>
      </w:r>
    </w:p>
    <w:p w14:paraId="732919ED"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EE" w14:textId="77777777" w:rsidR="003B207D" w:rsidRDefault="00C96635" w:rsidP="006A43BB">
      <w:pPr>
        <w:pStyle w:val="BodyA"/>
        <w:spacing w:line="360" w:lineRule="auto"/>
        <w:jc w:val="both"/>
        <w:rPr>
          <w:rStyle w:val="None"/>
          <w:rFonts w:ascii="Times New Roman" w:eastAsia="Times New Roman" w:hAnsi="Times New Roman" w:cs="Times New Roman"/>
          <w:b/>
          <w:bCs/>
          <w:i/>
          <w:iCs/>
          <w:sz w:val="24"/>
          <w:szCs w:val="24"/>
          <w:shd w:val="clear" w:color="auto" w:fill="FFFFFF"/>
        </w:rPr>
      </w:pPr>
      <w:r>
        <w:rPr>
          <w:rStyle w:val="None"/>
          <w:rFonts w:ascii="Times New Roman" w:hAnsi="Times New Roman"/>
          <w:b/>
          <w:bCs/>
          <w:i/>
          <w:iCs/>
          <w:sz w:val="24"/>
          <w:szCs w:val="24"/>
          <w:shd w:val="clear" w:color="auto" w:fill="FFFFFF"/>
        </w:rPr>
        <w:t xml:space="preserve">Article 3 Obligation to Accountability </w:t>
      </w:r>
    </w:p>
    <w:p w14:paraId="732919EF" w14:textId="77777777" w:rsidR="003B207D" w:rsidRDefault="003B207D" w:rsidP="006A43BB">
      <w:pPr>
        <w:pStyle w:val="BodyA"/>
        <w:spacing w:line="360" w:lineRule="auto"/>
        <w:jc w:val="both"/>
        <w:rPr>
          <w:rStyle w:val="None"/>
          <w:rFonts w:ascii="Times New Roman" w:eastAsia="Times New Roman" w:hAnsi="Times New Roman" w:cs="Times New Roman"/>
          <w:b/>
          <w:bCs/>
          <w:i/>
          <w:iCs/>
          <w:sz w:val="24"/>
          <w:szCs w:val="24"/>
          <w:shd w:val="clear" w:color="auto" w:fill="FFFFFF"/>
        </w:rPr>
      </w:pPr>
    </w:p>
    <w:p w14:paraId="732919F0"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In the context of states obligation to protect human rights, the accountability of corporations must be further clarified.</w:t>
      </w:r>
    </w:p>
    <w:p w14:paraId="732919F1"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F2" w14:textId="77777777" w:rsidR="003B207D" w:rsidRDefault="00C96635" w:rsidP="006A43BB">
      <w:pPr>
        <w:pStyle w:val="BodyA"/>
        <w:spacing w:line="360" w:lineRule="auto"/>
        <w:jc w:val="both"/>
        <w:rPr>
          <w:rStyle w:val="None"/>
          <w:rFonts w:ascii="Times New Roman" w:eastAsia="Times New Roman" w:hAnsi="Times New Roman" w:cs="Times New Roman"/>
          <w:b/>
          <w:bCs/>
          <w:i/>
          <w:iCs/>
          <w:sz w:val="24"/>
          <w:szCs w:val="24"/>
          <w:shd w:val="clear" w:color="auto" w:fill="FFFFFF"/>
        </w:rPr>
      </w:pPr>
      <w:r>
        <w:rPr>
          <w:rStyle w:val="None"/>
          <w:rFonts w:ascii="Times New Roman" w:hAnsi="Times New Roman"/>
          <w:b/>
          <w:bCs/>
          <w:i/>
          <w:iCs/>
          <w:sz w:val="24"/>
          <w:szCs w:val="24"/>
          <w:shd w:val="clear" w:color="auto" w:fill="FFFFFF"/>
        </w:rPr>
        <w:t xml:space="preserve">Article 4 Obligation to Protect </w:t>
      </w:r>
    </w:p>
    <w:p w14:paraId="732919F3"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F4" w14:textId="1F7FE193" w:rsidR="003B207D" w:rsidRDefault="00C96635" w:rsidP="006A43BB">
      <w:pPr>
        <w:pStyle w:val="BodyA"/>
        <w:spacing w:line="360" w:lineRule="auto"/>
        <w:jc w:val="both"/>
        <w:rPr>
          <w:rStyle w:val="None"/>
          <w:rFonts w:ascii="Times New Roman" w:hAnsi="Times New Roman"/>
          <w:sz w:val="24"/>
          <w:szCs w:val="24"/>
          <w:shd w:val="clear" w:color="auto" w:fill="FFFFFF"/>
        </w:rPr>
      </w:pPr>
      <w:r>
        <w:rPr>
          <w:rStyle w:val="None"/>
          <w:rFonts w:ascii="Times New Roman" w:hAnsi="Times New Roman"/>
          <w:sz w:val="24"/>
          <w:szCs w:val="24"/>
          <w:shd w:val="clear" w:color="auto" w:fill="FFFFFF"/>
        </w:rPr>
        <w:t xml:space="preserve">The purpose of this document is to ensure that states have responsibility to protect human rights. Thus, this needs to be further clarified. </w:t>
      </w:r>
    </w:p>
    <w:p w14:paraId="07FD8E49" w14:textId="77777777" w:rsidR="00AF06F5" w:rsidRDefault="00AF06F5"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F5"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F6" w14:textId="77777777" w:rsidR="003B207D" w:rsidRDefault="00C96635" w:rsidP="006A43BB">
      <w:pPr>
        <w:pStyle w:val="BodyA"/>
        <w:spacing w:line="360" w:lineRule="auto"/>
        <w:jc w:val="both"/>
        <w:rPr>
          <w:rStyle w:val="None"/>
          <w:rFonts w:ascii="Times New Roman" w:eastAsia="Times New Roman" w:hAnsi="Times New Roman" w:cs="Times New Roman"/>
          <w:b/>
          <w:bCs/>
          <w:i/>
          <w:iCs/>
          <w:sz w:val="24"/>
          <w:szCs w:val="24"/>
          <w:shd w:val="clear" w:color="auto" w:fill="FFFFFF"/>
        </w:rPr>
      </w:pPr>
      <w:r>
        <w:rPr>
          <w:rStyle w:val="None"/>
          <w:rFonts w:ascii="Times New Roman" w:hAnsi="Times New Roman"/>
          <w:b/>
          <w:bCs/>
          <w:i/>
          <w:iCs/>
          <w:sz w:val="24"/>
          <w:szCs w:val="24"/>
          <w:shd w:val="clear" w:color="auto" w:fill="FFFFFF"/>
        </w:rPr>
        <w:lastRenderedPageBreak/>
        <w:t xml:space="preserve">Article 5 Monitoring </w:t>
      </w:r>
    </w:p>
    <w:p w14:paraId="732919F7"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F8"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The treaty must include mechanism to ensure state compliance with provisions of the treaty. The mechanism will also monitor quarterly reports submitted by states. </w:t>
      </w:r>
    </w:p>
    <w:p w14:paraId="732919F9"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FA" w14:textId="4D472E5C" w:rsidR="003B207D" w:rsidRDefault="00C96635" w:rsidP="006A43BB">
      <w:pPr>
        <w:pStyle w:val="BodyA"/>
        <w:spacing w:line="360" w:lineRule="auto"/>
        <w:jc w:val="both"/>
        <w:rPr>
          <w:rStyle w:val="None"/>
          <w:rFonts w:ascii="Times New Roman" w:eastAsia="Times New Roman" w:hAnsi="Times New Roman" w:cs="Times New Roman"/>
          <w:b/>
          <w:bCs/>
          <w:sz w:val="24"/>
          <w:szCs w:val="24"/>
          <w:shd w:val="clear" w:color="auto" w:fill="FFFFFF"/>
        </w:rPr>
      </w:pPr>
      <w:r>
        <w:rPr>
          <w:rStyle w:val="None"/>
          <w:rFonts w:ascii="Times New Roman" w:hAnsi="Times New Roman"/>
          <w:b/>
          <w:bCs/>
          <w:sz w:val="24"/>
          <w:szCs w:val="24"/>
          <w:shd w:val="clear" w:color="auto" w:fill="FFFFFF"/>
        </w:rPr>
        <w:t>6.</w:t>
      </w:r>
      <w:r w:rsidR="001F16A8">
        <w:rPr>
          <w:rStyle w:val="None"/>
          <w:rFonts w:ascii="Times New Roman" w:hAnsi="Times New Roman"/>
          <w:b/>
          <w:bCs/>
          <w:sz w:val="24"/>
          <w:szCs w:val="24"/>
          <w:shd w:val="clear" w:color="auto" w:fill="FFFFFF"/>
        </w:rPr>
        <w:t>3</w:t>
      </w:r>
      <w:r>
        <w:rPr>
          <w:rStyle w:val="None"/>
          <w:rFonts w:ascii="Times New Roman" w:hAnsi="Times New Roman"/>
          <w:b/>
          <w:bCs/>
          <w:sz w:val="24"/>
          <w:szCs w:val="24"/>
          <w:shd w:val="clear" w:color="auto" w:fill="FFFFFF"/>
        </w:rPr>
        <w:t xml:space="preserve"> Recommendations for further research </w:t>
      </w:r>
    </w:p>
    <w:p w14:paraId="732919FB"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FC"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The human rights and business debate can be considered as a spider net with various counter arguments and legal limitations. </w:t>
      </w:r>
    </w:p>
    <w:bookmarkEnd w:id="20"/>
    <w:p w14:paraId="732919FD"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9FE"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This thesis makes the following recommendations for a future research: </w:t>
      </w:r>
    </w:p>
    <w:p w14:paraId="732919FF"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00" w14:textId="373BA236" w:rsidR="003B207D" w:rsidRDefault="00C96635" w:rsidP="006A43BB">
      <w:pPr>
        <w:pStyle w:val="BodyA"/>
        <w:numPr>
          <w:ilvl w:val="0"/>
          <w:numId w:val="16"/>
        </w:numPr>
        <w:spacing w:line="360" w:lineRule="auto"/>
        <w:jc w:val="both"/>
        <w:rPr>
          <w:rFonts w:ascii="Times New Roman" w:hAnsi="Times New Roman"/>
          <w:sz w:val="24"/>
          <w:szCs w:val="24"/>
        </w:rPr>
      </w:pPr>
      <w:r>
        <w:rPr>
          <w:rStyle w:val="None"/>
          <w:rFonts w:ascii="Times New Roman" w:hAnsi="Times New Roman"/>
          <w:sz w:val="24"/>
          <w:szCs w:val="24"/>
          <w:shd w:val="clear" w:color="auto" w:fill="FFFFFF"/>
        </w:rPr>
        <w:t>There is a lack of data from stakeholders who have been involved in corporate human rights violations. The collection of such data would allow to consider what rules can be applied in order to strengthen accountability and establish an effective human rights protection. This information can be also used by international and domestic human rights bodies.</w:t>
      </w:r>
    </w:p>
    <w:p w14:paraId="73291A01" w14:textId="77777777" w:rsidR="003B207D" w:rsidRDefault="00C96635" w:rsidP="006A43BB">
      <w:pPr>
        <w:pStyle w:val="BodyA"/>
        <w:numPr>
          <w:ilvl w:val="0"/>
          <w:numId w:val="16"/>
        </w:numPr>
        <w:spacing w:line="360" w:lineRule="auto"/>
        <w:jc w:val="both"/>
        <w:rPr>
          <w:rFonts w:ascii="Times New Roman" w:hAnsi="Times New Roman"/>
          <w:sz w:val="24"/>
          <w:szCs w:val="24"/>
        </w:rPr>
      </w:pPr>
      <w:r>
        <w:rPr>
          <w:rStyle w:val="None"/>
          <w:rFonts w:ascii="Times New Roman" w:hAnsi="Times New Roman"/>
          <w:sz w:val="24"/>
          <w:szCs w:val="24"/>
          <w:shd w:val="clear" w:color="auto" w:fill="FFFFFF"/>
        </w:rPr>
        <w:t xml:space="preserve">There is a number of issues which are not fully addressed by researchers and regulators. In particular, which activity of corporations can be considered as a human rights violation and what kind of obligations the company would have in this case. </w:t>
      </w:r>
    </w:p>
    <w:p w14:paraId="73291A02" w14:textId="77777777" w:rsidR="003B207D" w:rsidRDefault="00C96635" w:rsidP="006A43BB">
      <w:pPr>
        <w:pStyle w:val="BodyA"/>
        <w:numPr>
          <w:ilvl w:val="0"/>
          <w:numId w:val="16"/>
        </w:numPr>
        <w:spacing w:line="360" w:lineRule="auto"/>
        <w:jc w:val="both"/>
        <w:rPr>
          <w:rFonts w:ascii="Times New Roman" w:hAnsi="Times New Roman"/>
          <w:sz w:val="24"/>
          <w:szCs w:val="24"/>
        </w:rPr>
      </w:pPr>
      <w:r>
        <w:rPr>
          <w:rStyle w:val="None"/>
          <w:rFonts w:ascii="Times New Roman" w:hAnsi="Times New Roman"/>
          <w:sz w:val="24"/>
          <w:szCs w:val="24"/>
          <w:shd w:val="clear" w:color="auto" w:fill="FFFFFF"/>
        </w:rPr>
        <w:t xml:space="preserve">Due to the issues of sovereignty and non-intervention it is hard to impose extraterritorial duties on states to hold corporations accountable indirectly. However, the possibility of strengthening states influence on corporations can be explored further. For example, states can better regulate corporate activity by obliging corporations to follow further steps in order to better manage their activities. This can be done is various areas including anti-corruption and environment. </w:t>
      </w:r>
    </w:p>
    <w:p w14:paraId="73291A03" w14:textId="77777777" w:rsidR="003B207D" w:rsidRDefault="00C96635" w:rsidP="006A43BB">
      <w:pPr>
        <w:pStyle w:val="BodyA"/>
        <w:numPr>
          <w:ilvl w:val="0"/>
          <w:numId w:val="16"/>
        </w:numPr>
        <w:spacing w:line="360" w:lineRule="auto"/>
        <w:jc w:val="both"/>
        <w:rPr>
          <w:rFonts w:ascii="Times New Roman" w:hAnsi="Times New Roman"/>
          <w:sz w:val="24"/>
          <w:szCs w:val="24"/>
        </w:rPr>
      </w:pPr>
      <w:r>
        <w:rPr>
          <w:rStyle w:val="None"/>
          <w:rFonts w:ascii="Times New Roman" w:hAnsi="Times New Roman"/>
          <w:sz w:val="24"/>
          <w:szCs w:val="24"/>
          <w:shd w:val="clear" w:color="auto" w:fill="FFFFFF"/>
        </w:rPr>
        <w:t xml:space="preserve">Another area of this research that can be further investigated is extraterritorial tort law that would allow claims against the company to be brought in its home state and provide victims with significant compensation. </w:t>
      </w:r>
    </w:p>
    <w:p w14:paraId="73291A04" w14:textId="77777777" w:rsidR="003B207D" w:rsidRDefault="00C96635" w:rsidP="006A43BB">
      <w:pPr>
        <w:pStyle w:val="BodyA"/>
        <w:numPr>
          <w:ilvl w:val="0"/>
          <w:numId w:val="16"/>
        </w:numPr>
        <w:spacing w:line="360" w:lineRule="auto"/>
        <w:jc w:val="both"/>
        <w:rPr>
          <w:rFonts w:ascii="Times New Roman" w:hAnsi="Times New Roman"/>
          <w:sz w:val="24"/>
          <w:szCs w:val="24"/>
        </w:rPr>
      </w:pPr>
      <w:r>
        <w:rPr>
          <w:rStyle w:val="None"/>
          <w:rFonts w:ascii="Times New Roman" w:hAnsi="Times New Roman"/>
          <w:sz w:val="24"/>
          <w:szCs w:val="24"/>
          <w:shd w:val="clear" w:color="auto" w:fill="FFFFFF"/>
        </w:rPr>
        <w:t xml:space="preserve">Potential risks of treaty negotiation must be evaluated and further researched. </w:t>
      </w:r>
    </w:p>
    <w:p w14:paraId="73291A05"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06" w14:textId="77777777" w:rsidR="003B207D" w:rsidRDefault="003B207D" w:rsidP="006A43BB">
      <w:pPr>
        <w:pStyle w:val="BodyA"/>
        <w:spacing w:line="360" w:lineRule="auto"/>
        <w:jc w:val="both"/>
        <w:rPr>
          <w:rStyle w:val="None"/>
          <w:rFonts w:ascii="Times New Roman" w:eastAsia="Times New Roman" w:hAnsi="Times New Roman" w:cs="Times New Roman"/>
          <w:b/>
          <w:bCs/>
          <w:sz w:val="24"/>
          <w:szCs w:val="24"/>
          <w:shd w:val="clear" w:color="auto" w:fill="FFFFFF"/>
        </w:rPr>
      </w:pPr>
    </w:p>
    <w:p w14:paraId="73291A07" w14:textId="77777777" w:rsidR="003B207D" w:rsidRDefault="003B207D" w:rsidP="006A43BB">
      <w:pPr>
        <w:pStyle w:val="BodyA"/>
        <w:spacing w:line="360" w:lineRule="auto"/>
        <w:jc w:val="both"/>
        <w:rPr>
          <w:rStyle w:val="None"/>
          <w:rFonts w:ascii="Times New Roman" w:eastAsia="Times New Roman" w:hAnsi="Times New Roman" w:cs="Times New Roman"/>
          <w:b/>
          <w:bCs/>
          <w:sz w:val="24"/>
          <w:szCs w:val="24"/>
          <w:shd w:val="clear" w:color="auto" w:fill="FFFFFF"/>
        </w:rPr>
      </w:pPr>
    </w:p>
    <w:p w14:paraId="06073A17" w14:textId="77777777" w:rsidR="005F06BD" w:rsidRDefault="005F06BD" w:rsidP="006A43BB">
      <w:pPr>
        <w:pStyle w:val="BodyA"/>
        <w:spacing w:line="360" w:lineRule="auto"/>
        <w:jc w:val="both"/>
        <w:rPr>
          <w:rStyle w:val="None"/>
          <w:rFonts w:ascii="Times New Roman" w:eastAsia="Times New Roman" w:hAnsi="Times New Roman" w:cs="Times New Roman"/>
          <w:b/>
          <w:bCs/>
          <w:sz w:val="24"/>
          <w:szCs w:val="24"/>
          <w:shd w:val="clear" w:color="auto" w:fill="FFFFFF"/>
        </w:rPr>
      </w:pPr>
    </w:p>
    <w:p w14:paraId="73291A12" w14:textId="2B916B3A" w:rsidR="003B207D" w:rsidRDefault="00C96635" w:rsidP="006A43BB">
      <w:pPr>
        <w:pStyle w:val="BodyA"/>
        <w:spacing w:line="360" w:lineRule="auto"/>
        <w:jc w:val="both"/>
        <w:rPr>
          <w:rStyle w:val="None"/>
          <w:rFonts w:ascii="Times New Roman" w:eastAsia="Times New Roman" w:hAnsi="Times New Roman" w:cs="Times New Roman"/>
          <w:b/>
          <w:bCs/>
          <w:color w:val="auto"/>
          <w:sz w:val="24"/>
          <w:szCs w:val="24"/>
          <w:shd w:val="clear" w:color="auto" w:fill="FFFFFF"/>
          <w:lang w:eastAsia="en-US"/>
          <w14:textOutline w14:w="0" w14:cap="rnd" w14:cmpd="sng" w14:algn="ctr">
            <w14:noFill/>
            <w14:prstDash w14:val="solid"/>
            <w14:bevel/>
          </w14:textOutline>
        </w:rPr>
      </w:pPr>
      <w:r>
        <w:rPr>
          <w:rStyle w:val="None"/>
          <w:rFonts w:ascii="Times New Roman" w:hAnsi="Times New Roman"/>
          <w:b/>
          <w:bCs/>
          <w:sz w:val="24"/>
          <w:szCs w:val="24"/>
          <w:shd w:val="clear" w:color="auto" w:fill="FFFFFF"/>
        </w:rPr>
        <w:lastRenderedPageBreak/>
        <w:t>Chapter VI</w:t>
      </w:r>
      <w:r w:rsidR="00075787">
        <w:rPr>
          <w:rStyle w:val="None"/>
          <w:rFonts w:ascii="Times New Roman" w:hAnsi="Times New Roman"/>
          <w:b/>
          <w:bCs/>
          <w:sz w:val="24"/>
          <w:szCs w:val="24"/>
          <w:shd w:val="clear" w:color="auto" w:fill="FFFFFF"/>
        </w:rPr>
        <w:t>I</w:t>
      </w:r>
      <w:r>
        <w:rPr>
          <w:rStyle w:val="None"/>
          <w:rFonts w:ascii="Times New Roman" w:hAnsi="Times New Roman"/>
          <w:b/>
          <w:bCs/>
          <w:sz w:val="24"/>
          <w:szCs w:val="24"/>
          <w:shd w:val="clear" w:color="auto" w:fill="FFFFFF"/>
        </w:rPr>
        <w:t xml:space="preserve"> Conclusion </w:t>
      </w:r>
    </w:p>
    <w:p w14:paraId="73291A13" w14:textId="77777777" w:rsidR="003B207D" w:rsidRDefault="003B207D" w:rsidP="006A43BB">
      <w:pPr>
        <w:pStyle w:val="BodyA"/>
        <w:spacing w:line="360" w:lineRule="auto"/>
        <w:jc w:val="both"/>
        <w:rPr>
          <w:rStyle w:val="None"/>
          <w:rFonts w:ascii="Times New Roman" w:eastAsia="Times New Roman" w:hAnsi="Times New Roman" w:cs="Times New Roman"/>
          <w:b/>
          <w:bCs/>
          <w:sz w:val="24"/>
          <w:szCs w:val="24"/>
          <w:shd w:val="clear" w:color="auto" w:fill="FFFFFF"/>
        </w:rPr>
      </w:pPr>
    </w:p>
    <w:p w14:paraId="73291A14" w14:textId="776C144A" w:rsidR="003B207D" w:rsidRPr="00C07220" w:rsidRDefault="00B61239" w:rsidP="006A43BB">
      <w:pPr>
        <w:pStyle w:val="BodyA"/>
        <w:spacing w:line="360" w:lineRule="auto"/>
        <w:jc w:val="both"/>
        <w:rPr>
          <w:rStyle w:val="None"/>
          <w:rFonts w:ascii="Times New Roman" w:hAnsi="Times New Roman"/>
          <w:sz w:val="24"/>
          <w:szCs w:val="24"/>
          <w:shd w:val="clear" w:color="auto" w:fill="FFFFFF"/>
        </w:rPr>
      </w:pPr>
      <w:r>
        <w:rPr>
          <w:rStyle w:val="None"/>
          <w:rFonts w:ascii="Times New Roman" w:hAnsi="Times New Roman"/>
          <w:sz w:val="24"/>
          <w:szCs w:val="24"/>
          <w:shd w:val="clear" w:color="auto" w:fill="FFFFFF"/>
        </w:rPr>
        <w:t xml:space="preserve">This research examined the </w:t>
      </w:r>
      <w:r w:rsidR="00C07220">
        <w:rPr>
          <w:rStyle w:val="None"/>
          <w:rFonts w:ascii="Times New Roman" w:hAnsi="Times New Roman"/>
          <w:sz w:val="24"/>
          <w:szCs w:val="24"/>
          <w:shd w:val="clear" w:color="auto" w:fill="FFFFFF"/>
        </w:rPr>
        <w:t xml:space="preserve">possibility and </w:t>
      </w:r>
      <w:r w:rsidR="00C96635">
        <w:rPr>
          <w:rStyle w:val="None"/>
          <w:rFonts w:ascii="Times New Roman" w:hAnsi="Times New Roman"/>
          <w:sz w:val="24"/>
          <w:szCs w:val="24"/>
          <w:shd w:val="clear" w:color="auto" w:fill="FFFFFF"/>
        </w:rPr>
        <w:t xml:space="preserve">effectiveness of the adoption of Business and Human Rights Treaty and its ability to hold corporations accountable for human rights violations. </w:t>
      </w:r>
    </w:p>
    <w:p w14:paraId="73291A15"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16" w14:textId="73D156C6"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This research </w:t>
      </w:r>
      <w:r w:rsidR="00C07220">
        <w:rPr>
          <w:rStyle w:val="None"/>
          <w:rFonts w:ascii="Times New Roman" w:hAnsi="Times New Roman"/>
          <w:sz w:val="24"/>
          <w:szCs w:val="24"/>
          <w:shd w:val="clear" w:color="auto" w:fill="FFFFFF"/>
        </w:rPr>
        <w:t>discussed</w:t>
      </w:r>
      <w:r>
        <w:rPr>
          <w:rStyle w:val="None"/>
          <w:rFonts w:ascii="Times New Roman" w:hAnsi="Times New Roman"/>
          <w:sz w:val="24"/>
          <w:szCs w:val="24"/>
          <w:shd w:val="clear" w:color="auto" w:fill="FFFFFF"/>
        </w:rPr>
        <w:t xml:space="preserve"> various debates including accountability of corporations, due diligence obligation of states to protect human rights, existing regulatory initiatives, case law including domestic and international criminal law. </w:t>
      </w:r>
    </w:p>
    <w:p w14:paraId="73291A17"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18" w14:textId="3EE97DD7" w:rsidR="003B207D" w:rsidRPr="000543E8" w:rsidRDefault="00C96635" w:rsidP="006A43BB">
      <w:pPr>
        <w:pStyle w:val="BodyA"/>
        <w:spacing w:line="360" w:lineRule="auto"/>
        <w:jc w:val="both"/>
        <w:rPr>
          <w:rStyle w:val="None"/>
          <w:rFonts w:ascii="Times New Roman" w:hAnsi="Times New Roman"/>
          <w:sz w:val="24"/>
          <w:szCs w:val="24"/>
          <w:shd w:val="clear" w:color="auto" w:fill="FFFFFF"/>
        </w:rPr>
      </w:pPr>
      <w:r>
        <w:rPr>
          <w:rStyle w:val="None"/>
          <w:rFonts w:ascii="Times New Roman" w:hAnsi="Times New Roman"/>
          <w:sz w:val="24"/>
          <w:szCs w:val="24"/>
          <w:shd w:val="clear" w:color="auto" w:fill="FFFFFF"/>
        </w:rPr>
        <w:t xml:space="preserve">The analyses of this research were targeted to answer particular research questions with the purpose to fully examine the main purpose of this thesis. </w:t>
      </w:r>
      <w:r w:rsidR="00FA44A8">
        <w:rPr>
          <w:rStyle w:val="None"/>
          <w:rFonts w:ascii="Times New Roman" w:hAnsi="Times New Roman"/>
          <w:sz w:val="24"/>
          <w:szCs w:val="24"/>
          <w:shd w:val="clear" w:color="auto" w:fill="FFFFFF"/>
        </w:rPr>
        <w:t xml:space="preserve">This chapter aims to address these research questions </w:t>
      </w:r>
      <w:r w:rsidR="000543E8">
        <w:rPr>
          <w:rStyle w:val="None"/>
          <w:rFonts w:ascii="Times New Roman" w:hAnsi="Times New Roman"/>
          <w:sz w:val="24"/>
          <w:szCs w:val="24"/>
          <w:shd w:val="clear" w:color="auto" w:fill="FFFFFF"/>
        </w:rPr>
        <w:t xml:space="preserve">with the purpose </w:t>
      </w:r>
      <w:r>
        <w:rPr>
          <w:rStyle w:val="None"/>
          <w:rFonts w:ascii="Times New Roman" w:hAnsi="Times New Roman"/>
          <w:sz w:val="24"/>
          <w:szCs w:val="24"/>
          <w:shd w:val="clear" w:color="auto" w:fill="FFFFFF"/>
        </w:rPr>
        <w:t xml:space="preserve">to establish whether and how corporations can be made accountable for human rights violations under international law. </w:t>
      </w:r>
    </w:p>
    <w:p w14:paraId="73291A19"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1A" w14:textId="77777777" w:rsidR="003B207D" w:rsidRDefault="00C96635" w:rsidP="006A43BB">
      <w:pPr>
        <w:pStyle w:val="BodyA"/>
        <w:spacing w:line="360" w:lineRule="auto"/>
        <w:jc w:val="both"/>
        <w:rPr>
          <w:rStyle w:val="None"/>
          <w:rFonts w:ascii="Times New Roman" w:eastAsia="Times New Roman" w:hAnsi="Times New Roman" w:cs="Times New Roman"/>
          <w:b/>
          <w:bCs/>
          <w:i/>
          <w:iCs/>
          <w:sz w:val="24"/>
          <w:szCs w:val="24"/>
          <w:shd w:val="clear" w:color="auto" w:fill="FFFFFF"/>
        </w:rPr>
      </w:pPr>
      <w:r>
        <w:rPr>
          <w:rStyle w:val="None"/>
          <w:rFonts w:ascii="Times New Roman" w:hAnsi="Times New Roman"/>
          <w:b/>
          <w:bCs/>
          <w:i/>
          <w:iCs/>
          <w:sz w:val="24"/>
          <w:szCs w:val="24"/>
          <w:shd w:val="clear" w:color="auto" w:fill="FFFFFF"/>
        </w:rPr>
        <w:t>In the dilemma between direct and indirect accountability for corporations, which option is more preferable under modern international law?</w:t>
      </w:r>
    </w:p>
    <w:p w14:paraId="73291A1B" w14:textId="77777777" w:rsidR="003B207D" w:rsidRDefault="003B207D" w:rsidP="006A43BB">
      <w:pPr>
        <w:pStyle w:val="BodyA"/>
        <w:spacing w:line="360" w:lineRule="auto"/>
        <w:jc w:val="both"/>
        <w:rPr>
          <w:rStyle w:val="None"/>
          <w:rFonts w:ascii="Times New Roman" w:eastAsia="Times New Roman" w:hAnsi="Times New Roman" w:cs="Times New Roman"/>
          <w:b/>
          <w:bCs/>
          <w:i/>
          <w:iCs/>
          <w:sz w:val="24"/>
          <w:szCs w:val="24"/>
          <w:shd w:val="clear" w:color="auto" w:fill="FFFFFF"/>
        </w:rPr>
      </w:pPr>
    </w:p>
    <w:p w14:paraId="73291A1C"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This research examined the debate between direct and indirect responsibility under international law. It has been established that current regulatory initiatives that falls under indirect regulation are not strong enough to prove its effectiveness in the fight against corporations. Considering inability of regulatory initiatives to establish binding obligations for corporations it has been argued that another possible option would be to refer to the states due diligence obligation to protect human rights. </w:t>
      </w:r>
    </w:p>
    <w:p w14:paraId="73291A1D"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1E" w14:textId="4FA42A54" w:rsidR="003B207D" w:rsidRPr="00E73C1B" w:rsidRDefault="00686FF7" w:rsidP="006A43BB">
      <w:pPr>
        <w:pStyle w:val="BodyA"/>
        <w:spacing w:line="360" w:lineRule="auto"/>
        <w:jc w:val="both"/>
        <w:rPr>
          <w:rStyle w:val="None"/>
          <w:rFonts w:ascii="Times New Roman" w:hAnsi="Times New Roman"/>
          <w:sz w:val="24"/>
          <w:szCs w:val="24"/>
          <w:shd w:val="clear" w:color="auto" w:fill="FFFFFF"/>
          <w:lang w:val="en-IE"/>
        </w:rPr>
      </w:pPr>
      <w:r w:rsidRPr="00E73C1B">
        <w:rPr>
          <w:rStyle w:val="None"/>
          <w:rFonts w:ascii="Times New Roman" w:hAnsi="Times New Roman"/>
          <w:sz w:val="24"/>
          <w:szCs w:val="24"/>
          <w:shd w:val="clear" w:color="auto" w:fill="FFFFFF"/>
          <w:lang w:val="en-IE"/>
        </w:rPr>
        <w:t xml:space="preserve">The due diligence obligation </w:t>
      </w:r>
      <w:r w:rsidR="00E73C1B" w:rsidRPr="00E73C1B">
        <w:rPr>
          <w:rStyle w:val="None"/>
          <w:rFonts w:ascii="Times New Roman" w:hAnsi="Times New Roman"/>
          <w:sz w:val="24"/>
          <w:szCs w:val="24"/>
          <w:shd w:val="clear" w:color="auto" w:fill="FFFFFF"/>
          <w:lang w:val="en-IE"/>
        </w:rPr>
        <w:t>in</w:t>
      </w:r>
      <w:r w:rsidR="00E73C1B">
        <w:rPr>
          <w:rStyle w:val="None"/>
          <w:rFonts w:ascii="Times New Roman" w:hAnsi="Times New Roman"/>
          <w:sz w:val="24"/>
          <w:szCs w:val="24"/>
          <w:shd w:val="clear" w:color="auto" w:fill="FFFFFF"/>
          <w:lang w:val="en-IE"/>
        </w:rPr>
        <w:t xml:space="preserve">cludes responsibility for all parties including third actors. </w:t>
      </w:r>
      <w:r w:rsidR="00C96635">
        <w:rPr>
          <w:rStyle w:val="None"/>
          <w:rFonts w:ascii="Times New Roman" w:hAnsi="Times New Roman"/>
          <w:sz w:val="24"/>
          <w:szCs w:val="24"/>
          <w:shd w:val="clear" w:color="auto" w:fill="FFFFFF"/>
        </w:rPr>
        <w:t xml:space="preserve">In this respect, this research proposes the adoption of the nationality principle under international law. </w:t>
      </w:r>
    </w:p>
    <w:p w14:paraId="73291A1F"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20" w14:textId="6CCB7901" w:rsidR="003B207D" w:rsidRPr="001575BE" w:rsidRDefault="00C96635" w:rsidP="006A43BB">
      <w:pPr>
        <w:pStyle w:val="BodyA"/>
        <w:spacing w:line="360" w:lineRule="auto"/>
        <w:jc w:val="both"/>
        <w:rPr>
          <w:rStyle w:val="None"/>
          <w:rFonts w:ascii="Times New Roman" w:hAnsi="Times New Roman"/>
          <w:sz w:val="24"/>
          <w:szCs w:val="24"/>
          <w:shd w:val="clear" w:color="auto" w:fill="FFFFFF"/>
        </w:rPr>
      </w:pPr>
      <w:r>
        <w:rPr>
          <w:rStyle w:val="None"/>
          <w:rFonts w:ascii="Times New Roman" w:hAnsi="Times New Roman"/>
          <w:sz w:val="24"/>
          <w:szCs w:val="24"/>
          <w:shd w:val="clear" w:color="auto" w:fill="FFFFFF"/>
        </w:rPr>
        <w:t xml:space="preserve">This research also argues that there is a possibility for an extraterritorial </w:t>
      </w:r>
      <w:r w:rsidR="001575BE">
        <w:rPr>
          <w:rStyle w:val="None"/>
          <w:rFonts w:ascii="Times New Roman" w:hAnsi="Times New Roman"/>
          <w:sz w:val="24"/>
          <w:szCs w:val="24"/>
          <w:shd w:val="clear" w:color="auto" w:fill="FFFFFF"/>
        </w:rPr>
        <w:t xml:space="preserve">application of states duty to protect, </w:t>
      </w:r>
      <w:r>
        <w:rPr>
          <w:rStyle w:val="None"/>
          <w:rFonts w:ascii="Times New Roman" w:hAnsi="Times New Roman"/>
          <w:sz w:val="24"/>
          <w:szCs w:val="24"/>
          <w:shd w:val="clear" w:color="auto" w:fill="FFFFFF"/>
        </w:rPr>
        <w:t xml:space="preserve">however there are issues in relation to enforcement and application of this doctrine as currently there is no international </w:t>
      </w:r>
      <w:r w:rsidR="00CE432C">
        <w:rPr>
          <w:rStyle w:val="None"/>
          <w:rFonts w:ascii="Times New Roman" w:hAnsi="Times New Roman"/>
          <w:sz w:val="24"/>
          <w:szCs w:val="24"/>
          <w:shd w:val="clear" w:color="auto" w:fill="FFFFFF"/>
        </w:rPr>
        <w:t>convention or treaty</w:t>
      </w:r>
      <w:r>
        <w:rPr>
          <w:rStyle w:val="None"/>
          <w:rFonts w:ascii="Times New Roman" w:hAnsi="Times New Roman"/>
          <w:sz w:val="24"/>
          <w:szCs w:val="24"/>
          <w:shd w:val="clear" w:color="auto" w:fill="FFFFFF"/>
        </w:rPr>
        <w:t xml:space="preserve"> that </w:t>
      </w:r>
      <w:r w:rsidR="00CE432C">
        <w:rPr>
          <w:rStyle w:val="None"/>
          <w:rFonts w:ascii="Times New Roman" w:hAnsi="Times New Roman"/>
          <w:sz w:val="24"/>
          <w:szCs w:val="24"/>
          <w:shd w:val="clear" w:color="auto" w:fill="FFFFFF"/>
        </w:rPr>
        <w:t>includes</w:t>
      </w:r>
      <w:r>
        <w:rPr>
          <w:rStyle w:val="None"/>
          <w:rFonts w:ascii="Times New Roman" w:hAnsi="Times New Roman"/>
          <w:sz w:val="24"/>
          <w:szCs w:val="24"/>
          <w:shd w:val="clear" w:color="auto" w:fill="FFFFFF"/>
        </w:rPr>
        <w:t xml:space="preserve"> </w:t>
      </w:r>
      <w:r w:rsidR="00CE432C">
        <w:rPr>
          <w:rStyle w:val="None"/>
          <w:rFonts w:ascii="Times New Roman" w:hAnsi="Times New Roman"/>
          <w:sz w:val="24"/>
          <w:szCs w:val="24"/>
          <w:shd w:val="clear" w:color="auto" w:fill="FFFFFF"/>
        </w:rPr>
        <w:t>such</w:t>
      </w:r>
      <w:r>
        <w:rPr>
          <w:rStyle w:val="None"/>
          <w:rFonts w:ascii="Times New Roman" w:hAnsi="Times New Roman"/>
          <w:sz w:val="24"/>
          <w:szCs w:val="24"/>
          <w:shd w:val="clear" w:color="auto" w:fill="FFFFFF"/>
        </w:rPr>
        <w:t xml:space="preserve"> obligation. </w:t>
      </w:r>
    </w:p>
    <w:p w14:paraId="73291A21"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22" w14:textId="77777777" w:rsidR="003B207D" w:rsidRDefault="00C96635" w:rsidP="006A43BB">
      <w:pPr>
        <w:pStyle w:val="Body"/>
        <w:spacing w:line="360" w:lineRule="auto"/>
        <w:jc w:val="both"/>
        <w:rPr>
          <w:rStyle w:val="None"/>
          <w:rFonts w:ascii="Arial" w:hAnsi="Arial"/>
          <w:b/>
          <w:bCs/>
          <w:i/>
          <w:iCs/>
          <w:sz w:val="22"/>
          <w:szCs w:val="22"/>
          <w:shd w:val="clear" w:color="auto" w:fill="FFFFFF"/>
          <w:lang w:val="en-US"/>
          <w14:textOutline w14:w="12700" w14:cap="flat" w14:cmpd="sng" w14:algn="ctr">
            <w14:noFill/>
            <w14:prstDash w14:val="solid"/>
            <w14:miter w14:lim="400000"/>
          </w14:textOutline>
        </w:rPr>
      </w:pPr>
      <w:r>
        <w:rPr>
          <w:rStyle w:val="None"/>
          <w:b/>
          <w:bCs/>
          <w:i/>
          <w:iCs/>
          <w:shd w:val="clear" w:color="auto" w:fill="FFFFFF"/>
          <w:lang w:val="en-US"/>
          <w14:textOutline w14:w="12700" w14:cap="flat" w14:cmpd="sng" w14:algn="ctr">
            <w14:noFill/>
            <w14:prstDash w14:val="solid"/>
            <w14:miter w14:lim="400000"/>
          </w14:textOutline>
        </w:rPr>
        <w:lastRenderedPageBreak/>
        <w:t>Under the developments of modern international law, is there a possibility to adopt binding international business and human rights treaty with extraterritorial application or regional treaty in order to make corporations directly accountable?</w:t>
      </w:r>
    </w:p>
    <w:p w14:paraId="73291A23"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en-IE"/>
          <w14:textOutline w14:w="0" w14:cap="flat" w14:cmpd="sng" w14:algn="ctr">
            <w14:noFill/>
            <w14:prstDash w14:val="solid"/>
            <w14:bevel/>
          </w14:textOutline>
        </w:rPr>
      </w:pPr>
    </w:p>
    <w:p w14:paraId="73291A24"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This research argues that at the domestic and international levels there is normative gap in relation to business and human rights. However, the Business and Human Rights Treaty has a potential to fulfill current regulatory gaps and strengthen protection of human rights. However, the decisive factor would be a political will. </w:t>
      </w:r>
    </w:p>
    <w:p w14:paraId="73291A25"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26"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It has been demonstrated during the vote for Resolution 26/9 and it is expected that future negotiations in relation to binding treaty would be challenged by a number of states. However, some scholars argue that change will eventually come. For example, John </w:t>
      </w:r>
      <w:proofErr w:type="spellStart"/>
      <w:r>
        <w:rPr>
          <w:rStyle w:val="None"/>
          <w:rFonts w:ascii="Times New Roman" w:hAnsi="Times New Roman"/>
          <w:sz w:val="24"/>
          <w:szCs w:val="24"/>
          <w:shd w:val="clear" w:color="auto" w:fill="FFFFFF"/>
        </w:rPr>
        <w:t>Ruggie</w:t>
      </w:r>
      <w:proofErr w:type="spellEnd"/>
      <w:r>
        <w:rPr>
          <w:rStyle w:val="None"/>
          <w:rFonts w:ascii="Times New Roman" w:hAnsi="Times New Roman"/>
          <w:sz w:val="24"/>
          <w:szCs w:val="24"/>
          <w:shd w:val="clear" w:color="auto" w:fill="FFFFFF"/>
        </w:rPr>
        <w:t xml:space="preserve"> stated that “the European Union and the United States indicated that they will not participate in the negotiations, although I suspect that eventually they will.”</w:t>
      </w:r>
      <w:r>
        <w:rPr>
          <w:rStyle w:val="None"/>
          <w:rFonts w:ascii="Times New Roman" w:eastAsia="Times New Roman" w:hAnsi="Times New Roman" w:cs="Times New Roman"/>
          <w:sz w:val="24"/>
          <w:szCs w:val="24"/>
          <w:shd w:val="clear" w:color="auto" w:fill="FFFFFF"/>
          <w:vertAlign w:val="superscript"/>
        </w:rPr>
        <w:footnoteReference w:id="239"/>
      </w:r>
    </w:p>
    <w:p w14:paraId="73291A27" w14:textId="77777777" w:rsidR="003B207D" w:rsidRDefault="003B207D"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A28"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The political consensus can be influenced by a number of factors such as activities by corporations, political positions of some countries such as China and the EU, civil society reactions. The current reflections by some stakeholders provides with potential to argue that political consensus is achievable and can be considered as a future trend. </w:t>
      </w:r>
    </w:p>
    <w:p w14:paraId="73291A29"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2A"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The BHRT is more complicated document then other human rights treaties. Thus, it is important to ensure that provisions of this document are properly formulated which will make it legally achievable.</w:t>
      </w:r>
    </w:p>
    <w:p w14:paraId="73291A2B"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2C" w14:textId="77777777" w:rsidR="003B207D" w:rsidRDefault="00C96635" w:rsidP="006A43BB">
      <w:pPr>
        <w:pStyle w:val="BodyA"/>
        <w:spacing w:line="360" w:lineRule="auto"/>
        <w:jc w:val="both"/>
        <w:rPr>
          <w:rStyle w:val="None"/>
          <w:rFonts w:ascii="Times New Roman" w:eastAsia="Times New Roman" w:hAnsi="Times New Roman" w:cs="Times New Roman"/>
          <w:b/>
          <w:bCs/>
          <w:i/>
          <w:iCs/>
          <w:sz w:val="24"/>
          <w:szCs w:val="24"/>
          <w:shd w:val="clear" w:color="auto" w:fill="FFFFFF"/>
        </w:rPr>
      </w:pPr>
      <w:r>
        <w:rPr>
          <w:rStyle w:val="None"/>
          <w:rFonts w:ascii="Times New Roman" w:hAnsi="Times New Roman"/>
          <w:b/>
          <w:bCs/>
          <w:i/>
          <w:iCs/>
          <w:sz w:val="24"/>
          <w:szCs w:val="24"/>
          <w:shd w:val="clear" w:color="auto" w:fill="FFFFFF"/>
        </w:rPr>
        <w:t>What are the reasons behind delaying such ambitions legislation? Is it extraterritorial nature of this document or the issue is deeply covered under the colonial architecture of western institutions?</w:t>
      </w:r>
    </w:p>
    <w:p w14:paraId="73291A2D"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2E"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The major obstacles for home states to exercise its due diligence obligation to protect human rights are no longer legal, but political. This research argued that states are generally unwilling or unable to implement such legislation especially when it comes to the duty to protect or extraterritorial powers. This is due to the matters related to corruption and poor national legal </w:t>
      </w:r>
      <w:r>
        <w:rPr>
          <w:rStyle w:val="None"/>
          <w:rFonts w:ascii="Times New Roman" w:hAnsi="Times New Roman"/>
          <w:sz w:val="24"/>
          <w:szCs w:val="24"/>
          <w:shd w:val="clear" w:color="auto" w:fill="FFFFFF"/>
        </w:rPr>
        <w:lastRenderedPageBreak/>
        <w:t xml:space="preserve">systems. States have failed to provide international regulatory framework that would help to enforce extraterritorial obligations due to the fear of states to put TNC’s on a competitive disadvantage. </w:t>
      </w:r>
    </w:p>
    <w:p w14:paraId="73291A2F"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30"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In addition, the Alien Tort Claims Act that has been considered as the strongest litigation instrument was largely limited when it has been applied in </w:t>
      </w:r>
      <w:proofErr w:type="spellStart"/>
      <w:r>
        <w:rPr>
          <w:rStyle w:val="None"/>
          <w:rFonts w:ascii="Times New Roman" w:hAnsi="Times New Roman"/>
          <w:sz w:val="24"/>
          <w:szCs w:val="24"/>
          <w:shd w:val="clear" w:color="auto" w:fill="FFFFFF"/>
        </w:rPr>
        <w:t>Kiobel</w:t>
      </w:r>
      <w:proofErr w:type="spellEnd"/>
      <w:r>
        <w:rPr>
          <w:rStyle w:val="None"/>
          <w:rFonts w:ascii="Times New Roman" w:hAnsi="Times New Roman"/>
          <w:sz w:val="24"/>
          <w:szCs w:val="24"/>
          <w:shd w:val="clear" w:color="auto" w:fill="FFFFFF"/>
        </w:rPr>
        <w:t xml:space="preserve"> and other similar cases.</w:t>
      </w:r>
      <w:r>
        <w:rPr>
          <w:rStyle w:val="None"/>
          <w:rFonts w:ascii="Times New Roman" w:eastAsia="Times New Roman" w:hAnsi="Times New Roman" w:cs="Times New Roman"/>
          <w:sz w:val="24"/>
          <w:szCs w:val="24"/>
          <w:shd w:val="clear" w:color="auto" w:fill="FFFFFF"/>
          <w:vertAlign w:val="superscript"/>
        </w:rPr>
        <w:footnoteReference w:id="240"/>
      </w:r>
    </w:p>
    <w:p w14:paraId="73291A31" w14:textId="09028797" w:rsidR="003B207D" w:rsidRDefault="00C96635"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r>
        <w:rPr>
          <w:rStyle w:val="None"/>
          <w:rFonts w:ascii="Times New Roman" w:hAnsi="Times New Roman"/>
          <w:sz w:val="24"/>
          <w:szCs w:val="24"/>
          <w:shd w:val="clear" w:color="auto" w:fill="FFFFFF"/>
        </w:rPr>
        <w:t xml:space="preserve">This thesis argues that states are unable to adequately regulate human rights challenges due to the number of issues such as forum non </w:t>
      </w:r>
      <w:proofErr w:type="spellStart"/>
      <w:r>
        <w:rPr>
          <w:rStyle w:val="None"/>
          <w:rFonts w:ascii="Times New Roman" w:hAnsi="Times New Roman"/>
          <w:sz w:val="24"/>
          <w:szCs w:val="24"/>
          <w:shd w:val="clear" w:color="auto" w:fill="FFFFFF"/>
        </w:rPr>
        <w:t>conveniens</w:t>
      </w:r>
      <w:proofErr w:type="spellEnd"/>
      <w:r>
        <w:rPr>
          <w:rStyle w:val="None"/>
          <w:rFonts w:ascii="Times New Roman" w:hAnsi="Times New Roman"/>
          <w:sz w:val="24"/>
          <w:szCs w:val="24"/>
          <w:shd w:val="clear" w:color="auto" w:fill="FFFFFF"/>
        </w:rPr>
        <w:t xml:space="preserve">, separate legal personality, and issues related to non-intervention and jurisdiction. </w:t>
      </w:r>
    </w:p>
    <w:p w14:paraId="73291A32"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33" w14:textId="0476A179"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The reasons for delaying the BHRT are not entirely covered under the colonial nature of western institution. Due to the fast expansion of globalization and economic activities, multinational corporations became powerful institution</w:t>
      </w:r>
      <w:r w:rsidR="003F4B57">
        <w:rPr>
          <w:rStyle w:val="None"/>
          <w:rFonts w:ascii="Times New Roman" w:hAnsi="Times New Roman"/>
          <w:sz w:val="24"/>
          <w:szCs w:val="24"/>
          <w:shd w:val="clear" w:color="auto" w:fill="FFFFFF"/>
        </w:rPr>
        <w:t>s</w:t>
      </w:r>
      <w:r>
        <w:rPr>
          <w:rStyle w:val="None"/>
          <w:rFonts w:ascii="Times New Roman" w:hAnsi="Times New Roman"/>
          <w:sz w:val="24"/>
          <w:szCs w:val="24"/>
          <w:shd w:val="clear" w:color="auto" w:fill="FFFFFF"/>
        </w:rPr>
        <w:t xml:space="preserve"> that in most cases have enough power and influence to dictate their own rules. Thus, states who are interested in investments and development would never vote for such legislation to be implemented.  </w:t>
      </w:r>
    </w:p>
    <w:p w14:paraId="73291A34"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35"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Before implementing binding Business and Human Rights treaty with extraterritorial application all factors needs to be carefully evaluated. On the one hand, the BHRT is a good instrument to strengthen the protection of human rights. However, on the other hand,  all possible risks must be evaluated in order to make sure that the document will have enough power to address human rights concerns and won’t repeat the position of existing human rights initiatives.</w:t>
      </w:r>
    </w:p>
    <w:p w14:paraId="73291A36" w14:textId="77777777"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37" w14:textId="77777777" w:rsidR="003B207D"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Pr>
          <w:rStyle w:val="None"/>
          <w:rFonts w:ascii="Times New Roman" w:hAnsi="Times New Roman"/>
          <w:sz w:val="24"/>
          <w:szCs w:val="24"/>
          <w:shd w:val="clear" w:color="auto" w:fill="FFFFFF"/>
        </w:rPr>
        <w:t xml:space="preserve">This research argues that there is no legal and theoretical barriers to implementation of the provision of Business and Human Rights Treaty. This instrument will be applied in situations where states fails to exercise its due diligence obligation to protect human rights. In addition, it is necessary that treaty will include mechanism with enforcement and adjudicatory powers that will help to apply direct obligations. Thus, further research is needed in order to establish how international human rights law can effectively respond to corporate violations and ensure that provisions of the Business and Human Rights Treaty are enforced and implemented, and those provisions are legally and politically achievable. </w:t>
      </w:r>
    </w:p>
    <w:p w14:paraId="4EC2942B" w14:textId="77777777" w:rsidR="005A59E7" w:rsidRDefault="005A59E7" w:rsidP="006A43BB">
      <w:pPr>
        <w:pStyle w:val="BodyA"/>
        <w:spacing w:line="360" w:lineRule="auto"/>
        <w:jc w:val="both"/>
        <w:rPr>
          <w:rStyle w:val="None"/>
          <w:rFonts w:ascii="Times New Roman" w:eastAsia="Times New Roman" w:hAnsi="Times New Roman" w:cs="Times New Roman"/>
          <w:color w:val="auto"/>
          <w:sz w:val="24"/>
          <w:szCs w:val="24"/>
          <w:shd w:val="clear" w:color="auto" w:fill="FFFFFF"/>
          <w:lang w:eastAsia="en-US"/>
          <w14:textOutline w14:w="0" w14:cap="rnd" w14:cmpd="sng" w14:algn="ctr">
            <w14:noFill/>
            <w14:prstDash w14:val="solid"/>
            <w14:bevel/>
          </w14:textOutline>
        </w:rPr>
      </w:pPr>
    </w:p>
    <w:p w14:paraId="73291A57" w14:textId="1E417A47" w:rsidR="003B207D" w:rsidRPr="006A43BB" w:rsidRDefault="00F62922" w:rsidP="006A43BB">
      <w:pPr>
        <w:pStyle w:val="BodyA"/>
        <w:spacing w:line="360" w:lineRule="auto"/>
        <w:jc w:val="both"/>
        <w:rPr>
          <w:rStyle w:val="None"/>
          <w:rFonts w:ascii="Times New Roman" w:eastAsia="Times New Roman" w:hAnsi="Times New Roman" w:cs="Times New Roman"/>
          <w:b/>
          <w:bCs/>
          <w:sz w:val="24"/>
          <w:szCs w:val="24"/>
          <w:shd w:val="clear" w:color="auto" w:fill="FFFFFF"/>
        </w:rPr>
      </w:pPr>
      <w:r>
        <w:rPr>
          <w:rStyle w:val="None"/>
          <w:rFonts w:ascii="Times New Roman" w:hAnsi="Times New Roman" w:cs="Times New Roman"/>
          <w:b/>
          <w:bCs/>
          <w:sz w:val="24"/>
          <w:szCs w:val="24"/>
          <w:shd w:val="clear" w:color="auto" w:fill="FFFFFF"/>
        </w:rPr>
        <w:lastRenderedPageBreak/>
        <w:t xml:space="preserve">Bibliography </w:t>
      </w:r>
    </w:p>
    <w:p w14:paraId="73291A58" w14:textId="77777777" w:rsidR="003B207D" w:rsidRPr="005A59E7" w:rsidRDefault="003B207D" w:rsidP="006A43BB">
      <w:pPr>
        <w:pStyle w:val="BodyA"/>
        <w:spacing w:line="360" w:lineRule="auto"/>
        <w:jc w:val="both"/>
        <w:rPr>
          <w:rStyle w:val="None"/>
          <w:rFonts w:ascii="Times New Roman" w:eastAsia="Times New Roman" w:hAnsi="Times New Roman" w:cs="Times New Roman"/>
          <w:b/>
          <w:bCs/>
          <w:sz w:val="24"/>
          <w:szCs w:val="24"/>
          <w:shd w:val="clear" w:color="auto" w:fill="FFFFFF"/>
        </w:rPr>
      </w:pPr>
    </w:p>
    <w:p w14:paraId="73291A59"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Addo M, Human Rights Standards And The Responsibility Of Transnational Corporations (1st </w:t>
      </w:r>
      <w:proofErr w:type="spellStart"/>
      <w:r w:rsidRPr="006A43BB">
        <w:rPr>
          <w:rStyle w:val="None"/>
          <w:rFonts w:ascii="Times New Roman" w:hAnsi="Times New Roman" w:cs="Times New Roman"/>
          <w:sz w:val="24"/>
          <w:szCs w:val="24"/>
          <w:shd w:val="clear" w:color="auto" w:fill="FFFFFF"/>
        </w:rPr>
        <w:t>edn</w:t>
      </w:r>
      <w:proofErr w:type="spellEnd"/>
      <w:r w:rsidRPr="006A43BB">
        <w:rPr>
          <w:rStyle w:val="None"/>
          <w:rFonts w:ascii="Times New Roman" w:hAnsi="Times New Roman" w:cs="Times New Roman"/>
          <w:sz w:val="24"/>
          <w:szCs w:val="24"/>
          <w:shd w:val="clear" w:color="auto" w:fill="FFFFFF"/>
        </w:rPr>
        <w:t>, Kluwer Law International 1999)</w:t>
      </w:r>
    </w:p>
    <w:p w14:paraId="73291A5A" w14:textId="77777777" w:rsidR="003B207D" w:rsidRPr="005A59E7" w:rsidRDefault="003B207D" w:rsidP="006A43BB">
      <w:pPr>
        <w:pStyle w:val="BodyA"/>
        <w:spacing w:line="360" w:lineRule="auto"/>
        <w:jc w:val="both"/>
        <w:rPr>
          <w:rStyle w:val="None"/>
          <w:rFonts w:ascii="Times New Roman" w:eastAsia="Times New Roman" w:hAnsi="Times New Roman" w:cs="Times New Roman"/>
          <w:b/>
          <w:bCs/>
          <w:sz w:val="24"/>
          <w:szCs w:val="24"/>
          <w:shd w:val="clear" w:color="auto" w:fill="FFFFFF"/>
        </w:rPr>
      </w:pPr>
    </w:p>
    <w:p w14:paraId="73291A5B"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Benjamin B, 'Bookend To Bandung: The New International Economic Order And The Antinomies Of The Bandung Era' (2015) 6 Humanity: An International Journal of Human Rights, Humanitarianism, and Development</w:t>
      </w:r>
    </w:p>
    <w:p w14:paraId="73291A5C"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5D"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Burke R, '"The Compelling Dialogue Of Freedom": Human Rights At The Bandung Conference' (2006) 28 Human Rights Quarterly</w:t>
      </w:r>
    </w:p>
    <w:p w14:paraId="73291A5E"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5F"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Bowen H, Social Responsibilities Of The Businessman (University of Iowa Press 2013)</w:t>
      </w:r>
    </w:p>
    <w:p w14:paraId="73291A60"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61"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proofErr w:type="spellStart"/>
      <w:r w:rsidRPr="006A43BB">
        <w:rPr>
          <w:rStyle w:val="None"/>
          <w:rFonts w:ascii="Times New Roman" w:hAnsi="Times New Roman" w:cs="Times New Roman"/>
          <w:sz w:val="24"/>
          <w:szCs w:val="24"/>
          <w:shd w:val="clear" w:color="auto" w:fill="FFFFFF"/>
        </w:rPr>
        <w:t>Bratspies</w:t>
      </w:r>
      <w:proofErr w:type="spellEnd"/>
      <w:r w:rsidRPr="006A43BB">
        <w:rPr>
          <w:rStyle w:val="None"/>
          <w:rFonts w:ascii="Times New Roman" w:hAnsi="Times New Roman" w:cs="Times New Roman"/>
          <w:sz w:val="24"/>
          <w:szCs w:val="24"/>
          <w:shd w:val="clear" w:color="auto" w:fill="FFFFFF"/>
        </w:rPr>
        <w:t xml:space="preserve"> R, 'Organs Of Society': A Plea For Human Rights Accountability For Transnational Enterprises And Other Business Entities' [2005] CUNY School of Law</w:t>
      </w:r>
    </w:p>
    <w:p w14:paraId="73291A62"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63"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proofErr w:type="spellStart"/>
      <w:r w:rsidRPr="006A43BB">
        <w:rPr>
          <w:rStyle w:val="None"/>
          <w:rFonts w:ascii="Times New Roman" w:hAnsi="Times New Roman" w:cs="Times New Roman"/>
          <w:sz w:val="24"/>
          <w:szCs w:val="24"/>
          <w:shd w:val="clear" w:color="auto" w:fill="FFFFFF"/>
        </w:rPr>
        <w:t>Bovens</w:t>
      </w:r>
      <w:proofErr w:type="spellEnd"/>
      <w:r w:rsidRPr="006A43BB">
        <w:rPr>
          <w:rStyle w:val="None"/>
          <w:rFonts w:ascii="Times New Roman" w:hAnsi="Times New Roman" w:cs="Times New Roman"/>
          <w:sz w:val="24"/>
          <w:szCs w:val="24"/>
          <w:shd w:val="clear" w:color="auto" w:fill="FFFFFF"/>
        </w:rPr>
        <w:t xml:space="preserve"> M, 'Two Concepts Of Accountability: Accountability As A Virtue And As A Mechanism' (2010) 33 West European Politics</w:t>
      </w:r>
    </w:p>
    <w:p w14:paraId="73291A64"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65"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proofErr w:type="spellStart"/>
      <w:r w:rsidRPr="006A43BB">
        <w:rPr>
          <w:rStyle w:val="None"/>
          <w:rFonts w:ascii="Times New Roman" w:hAnsi="Times New Roman" w:cs="Times New Roman"/>
          <w:sz w:val="24"/>
          <w:szCs w:val="24"/>
          <w:shd w:val="clear" w:color="auto" w:fill="FFFFFF"/>
        </w:rPr>
        <w:t>Bantekas</w:t>
      </w:r>
      <w:proofErr w:type="spellEnd"/>
      <w:r w:rsidRPr="006A43BB">
        <w:rPr>
          <w:rStyle w:val="None"/>
          <w:rFonts w:ascii="Times New Roman" w:hAnsi="Times New Roman" w:cs="Times New Roman"/>
          <w:sz w:val="24"/>
          <w:szCs w:val="24"/>
          <w:shd w:val="clear" w:color="auto" w:fill="FFFFFF"/>
        </w:rPr>
        <w:t xml:space="preserve"> I, 'Corporate Social Responsibility in International Law' (2004) 22 BU Int'l LJ 309</w:t>
      </w:r>
    </w:p>
    <w:p w14:paraId="73291A66"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67"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Baez C, 'Multinational Enterprises And Human Rights' (2000) 183 Miami Int'l &amp; Comp Law Rev</w:t>
      </w:r>
    </w:p>
    <w:p w14:paraId="73291A68"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69"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proofErr w:type="spellStart"/>
      <w:r w:rsidRPr="006A43BB">
        <w:rPr>
          <w:rStyle w:val="None"/>
          <w:rFonts w:ascii="Times New Roman" w:hAnsi="Times New Roman" w:cs="Times New Roman"/>
          <w:sz w:val="24"/>
          <w:szCs w:val="24"/>
          <w:shd w:val="clear" w:color="auto" w:fill="FFFFFF"/>
        </w:rPr>
        <w:t>Bernaz</w:t>
      </w:r>
      <w:proofErr w:type="spellEnd"/>
      <w:r w:rsidRPr="006A43BB">
        <w:rPr>
          <w:rStyle w:val="None"/>
          <w:rFonts w:ascii="Times New Roman" w:hAnsi="Times New Roman" w:cs="Times New Roman"/>
          <w:sz w:val="24"/>
          <w:szCs w:val="24"/>
          <w:shd w:val="clear" w:color="auto" w:fill="FFFFFF"/>
        </w:rPr>
        <w:t xml:space="preserve"> N, Business And Human Rights: History, Law And Policy - Bridging The Accountability Gap (Routledge 2017)</w:t>
      </w:r>
    </w:p>
    <w:p w14:paraId="73291A6A"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6B"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proofErr w:type="spellStart"/>
      <w:r w:rsidRPr="006A43BB">
        <w:rPr>
          <w:rStyle w:val="None"/>
          <w:rFonts w:ascii="Times New Roman" w:hAnsi="Times New Roman" w:cs="Times New Roman"/>
          <w:sz w:val="24"/>
          <w:szCs w:val="24"/>
          <w:shd w:val="clear" w:color="auto" w:fill="FFFFFF"/>
        </w:rPr>
        <w:t>Clapham</w:t>
      </w:r>
      <w:proofErr w:type="spellEnd"/>
      <w:r w:rsidRPr="006A43BB">
        <w:rPr>
          <w:rStyle w:val="None"/>
          <w:rFonts w:ascii="Times New Roman" w:hAnsi="Times New Roman" w:cs="Times New Roman"/>
          <w:sz w:val="24"/>
          <w:szCs w:val="24"/>
          <w:shd w:val="clear" w:color="auto" w:fill="FFFFFF"/>
        </w:rPr>
        <w:t xml:space="preserve"> A, ‘The Question of Jurisdiction Under International Criminal Law Over Legal Persons’ in Menno T </w:t>
      </w:r>
      <w:proofErr w:type="spellStart"/>
      <w:r w:rsidRPr="006A43BB">
        <w:rPr>
          <w:rStyle w:val="None"/>
          <w:rFonts w:ascii="Times New Roman" w:hAnsi="Times New Roman" w:cs="Times New Roman"/>
          <w:sz w:val="24"/>
          <w:szCs w:val="24"/>
          <w:shd w:val="clear" w:color="auto" w:fill="FFFFFF"/>
        </w:rPr>
        <w:t>Kammiga</w:t>
      </w:r>
      <w:proofErr w:type="spellEnd"/>
      <w:r w:rsidRPr="006A43BB">
        <w:rPr>
          <w:rStyle w:val="None"/>
          <w:rFonts w:ascii="Times New Roman" w:hAnsi="Times New Roman" w:cs="Times New Roman"/>
          <w:sz w:val="24"/>
          <w:szCs w:val="24"/>
          <w:shd w:val="clear" w:color="auto" w:fill="FFFFFF"/>
        </w:rPr>
        <w:t xml:space="preserve"> and Saman Zi-</w:t>
      </w:r>
      <w:proofErr w:type="spellStart"/>
      <w:r w:rsidRPr="006A43BB">
        <w:rPr>
          <w:rStyle w:val="None"/>
          <w:rFonts w:ascii="Times New Roman" w:hAnsi="Times New Roman" w:cs="Times New Roman"/>
          <w:sz w:val="24"/>
          <w:szCs w:val="24"/>
          <w:shd w:val="clear" w:color="auto" w:fill="FFFFFF"/>
        </w:rPr>
        <w:t>Zafari</w:t>
      </w:r>
      <w:proofErr w:type="spellEnd"/>
      <w:r w:rsidRPr="006A43BB">
        <w:rPr>
          <w:rStyle w:val="None"/>
          <w:rFonts w:ascii="Times New Roman" w:hAnsi="Times New Roman" w:cs="Times New Roman"/>
          <w:sz w:val="24"/>
          <w:szCs w:val="24"/>
          <w:shd w:val="clear" w:color="auto" w:fill="FFFFFF"/>
        </w:rPr>
        <w:t xml:space="preserve"> (eds), Liability of Multinational Corporations Under International Law (The Hague, Kluwer, 2000)</w:t>
      </w:r>
    </w:p>
    <w:p w14:paraId="73291A6C"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6D"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Churchill W, House of Commons, February 1906, vol 152</w:t>
      </w:r>
    </w:p>
    <w:p w14:paraId="73291A6E"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6F"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lastRenderedPageBreak/>
        <w:t>Clough J, 'Not-So-Innocents Abroad: Corporate Criminal Liability For Human Rights Abuses' (2005) 11 Australian Journal of Human Rights</w:t>
      </w:r>
    </w:p>
    <w:p w14:paraId="73291A70"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71"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Cassese A, International Law (Oxford University Press, 2005)</w:t>
      </w:r>
    </w:p>
    <w:p w14:paraId="73291A72"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73"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proofErr w:type="spellStart"/>
      <w:r w:rsidRPr="006A43BB">
        <w:rPr>
          <w:rStyle w:val="None"/>
          <w:rFonts w:ascii="Times New Roman" w:hAnsi="Times New Roman" w:cs="Times New Roman"/>
          <w:sz w:val="24"/>
          <w:szCs w:val="24"/>
          <w:shd w:val="clear" w:color="auto" w:fill="FFFFFF"/>
        </w:rPr>
        <w:t>DeSchutter</w:t>
      </w:r>
      <w:proofErr w:type="spellEnd"/>
      <w:r w:rsidRPr="006A43BB">
        <w:rPr>
          <w:rStyle w:val="None"/>
          <w:rFonts w:ascii="Times New Roman" w:hAnsi="Times New Roman" w:cs="Times New Roman"/>
          <w:sz w:val="24"/>
          <w:szCs w:val="24"/>
          <w:shd w:val="clear" w:color="auto" w:fill="FFFFFF"/>
        </w:rPr>
        <w:t xml:space="preserve"> O, Transnational Corporations And Human Rights (Hart Publishing Limited 2006) </w:t>
      </w:r>
    </w:p>
    <w:p w14:paraId="73291A74"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De </w:t>
      </w:r>
      <w:proofErr w:type="spellStart"/>
      <w:r w:rsidRPr="006A43BB">
        <w:rPr>
          <w:rStyle w:val="None"/>
          <w:rFonts w:ascii="Times New Roman" w:hAnsi="Times New Roman" w:cs="Times New Roman"/>
          <w:sz w:val="24"/>
          <w:szCs w:val="24"/>
          <w:shd w:val="clear" w:color="auto" w:fill="FFFFFF"/>
        </w:rPr>
        <w:t>Schutter</w:t>
      </w:r>
      <w:proofErr w:type="spellEnd"/>
      <w:r w:rsidRPr="006A43BB">
        <w:rPr>
          <w:rStyle w:val="None"/>
          <w:rFonts w:ascii="Times New Roman" w:hAnsi="Times New Roman" w:cs="Times New Roman"/>
          <w:sz w:val="24"/>
          <w:szCs w:val="24"/>
          <w:shd w:val="clear" w:color="auto" w:fill="FFFFFF"/>
        </w:rPr>
        <w:t xml:space="preserve"> O, International Human Rights Law: Cases, Materials, Commentary (Cambridge University Press 2010)</w:t>
      </w:r>
    </w:p>
    <w:p w14:paraId="73291A75"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76"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Deva S, Regulating Corporate Human Rights Violations (Routledge, Taylor &amp; Francis Group 2014)</w:t>
      </w:r>
    </w:p>
    <w:p w14:paraId="73291A77"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78" w14:textId="77777777" w:rsidR="003B207D" w:rsidRPr="005A59E7" w:rsidRDefault="00C96635" w:rsidP="006A43BB">
      <w:pPr>
        <w:pStyle w:val="BodyA"/>
        <w:spacing w:line="360" w:lineRule="auto"/>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'Does The World Need A Treaty On Business And Human Rights?' (Media.business-humanrights.org, 2014) &lt;https://media.business-humanrights.org/media/documents/cfebdab67eb10367397b504f1380f820b5533bba.pdf&gt; accessed 22 May 2021</w:t>
      </w:r>
    </w:p>
    <w:p w14:paraId="73291A79"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7A"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Engle E, 'Third Party Effect Of Fundamental Rights (</w:t>
      </w:r>
      <w:proofErr w:type="spellStart"/>
      <w:r w:rsidRPr="006A43BB">
        <w:rPr>
          <w:rStyle w:val="None"/>
          <w:rFonts w:ascii="Times New Roman" w:hAnsi="Times New Roman" w:cs="Times New Roman"/>
          <w:sz w:val="24"/>
          <w:szCs w:val="24"/>
          <w:shd w:val="clear" w:color="auto" w:fill="FFFFFF"/>
        </w:rPr>
        <w:t>Drittwirkung</w:t>
      </w:r>
      <w:proofErr w:type="spellEnd"/>
      <w:r w:rsidRPr="006A43BB">
        <w:rPr>
          <w:rStyle w:val="None"/>
          <w:rFonts w:ascii="Times New Roman" w:hAnsi="Times New Roman" w:cs="Times New Roman"/>
          <w:sz w:val="24"/>
          <w:szCs w:val="24"/>
          <w:shd w:val="clear" w:color="auto" w:fill="FFFFFF"/>
        </w:rPr>
        <w:t>)' (2009) 5 Hanse Law Review</w:t>
      </w:r>
    </w:p>
    <w:p w14:paraId="73291A7B"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7C"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'Experts Reflect On The Zero Draft Of The Legally Binding Treaty On Business And Human Rights - Business &amp; Human Rights Resource Centre' (Business &amp; Human Rights Resource Centre, 2021) &lt;https://www.business-humanrights.org/en/latest-news/experts-reflect-on-the-zero-draft-of-the-legally-binding-treaty-on-business-and-human-rights/&gt; accessed 16 May 2021</w:t>
      </w:r>
    </w:p>
    <w:p w14:paraId="73291A7D"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7E" w14:textId="77777777" w:rsidR="003B207D" w:rsidRPr="006A43BB" w:rsidRDefault="00C96635" w:rsidP="006A43BB">
      <w:pPr>
        <w:pStyle w:val="Body"/>
        <w:spacing w:line="360" w:lineRule="auto"/>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'Elaboration Of An International Legally Binding Instrument On Transnational Corporations And Other Business Enterprises With Respect To Human Rights' [2021] HRC &lt;https://www.ohchr.org/Documents/HRBodies/HRCouncil/WGTransCorp/Session3/LegallyBindingInstrumentTNCs_OBEs.pdf&gt; accessed 22 May 2021</w:t>
      </w:r>
    </w:p>
    <w:p w14:paraId="73291A7F" w14:textId="77777777" w:rsidR="003B207D" w:rsidRPr="006A43BB"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80" w14:textId="77777777" w:rsidR="003B207D" w:rsidRPr="006A43BB" w:rsidRDefault="00C96635" w:rsidP="006A43BB">
      <w:pPr>
        <w:pStyle w:val="Body"/>
        <w:spacing w:line="360" w:lineRule="auto"/>
        <w:rPr>
          <w:rStyle w:val="None"/>
          <w:rFonts w:cs="Times New Roman"/>
          <w:shd w:val="clear" w:color="auto" w:fill="FFFFFF"/>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t xml:space="preserve">Friedman M, Capitalism And Freedom (2nd </w:t>
      </w:r>
      <w:proofErr w:type="spellStart"/>
      <w:r w:rsidRPr="006A43BB">
        <w:rPr>
          <w:rStyle w:val="None"/>
          <w:rFonts w:cs="Times New Roman"/>
          <w:shd w:val="clear" w:color="auto" w:fill="FFFFFF"/>
          <w:lang w:val="en-US"/>
          <w14:textOutline w14:w="12700" w14:cap="flat" w14:cmpd="sng" w14:algn="ctr">
            <w14:noFill/>
            <w14:prstDash w14:val="solid"/>
            <w14:miter w14:lim="400000"/>
          </w14:textOutline>
        </w:rPr>
        <w:t>edn</w:t>
      </w:r>
      <w:proofErr w:type="spellEnd"/>
      <w:r w:rsidRPr="006A43BB">
        <w:rPr>
          <w:rStyle w:val="None"/>
          <w:rFonts w:cs="Times New Roman"/>
          <w:shd w:val="clear" w:color="auto" w:fill="FFFFFF"/>
          <w:lang w:val="en-US"/>
          <w14:textOutline w14:w="12700" w14:cap="flat" w14:cmpd="sng" w14:algn="ctr">
            <w14:noFill/>
            <w14:prstDash w14:val="solid"/>
            <w14:miter w14:lim="400000"/>
          </w14:textOutline>
        </w:rPr>
        <w:t>, University of Chicago Press 2002)</w:t>
      </w:r>
    </w:p>
    <w:p w14:paraId="73291A81" w14:textId="77777777" w:rsidR="003B207D" w:rsidRPr="006A43BB" w:rsidRDefault="003B207D" w:rsidP="006A43BB">
      <w:pPr>
        <w:pStyle w:val="Body"/>
        <w:spacing w:line="360" w:lineRule="auto"/>
        <w:rPr>
          <w:rStyle w:val="None"/>
          <w:rFonts w:cs="Times New Roman"/>
          <w:shd w:val="clear" w:color="auto" w:fill="FFFFFF"/>
          <w14:textOutline w14:w="12700" w14:cap="flat" w14:cmpd="sng" w14:algn="ctr">
            <w14:noFill/>
            <w14:prstDash w14:val="solid"/>
            <w14:miter w14:lim="400000"/>
          </w14:textOutline>
        </w:rPr>
      </w:pPr>
    </w:p>
    <w:p w14:paraId="73291A82" w14:textId="1DDC126C" w:rsidR="003B207D" w:rsidRPr="006A43BB" w:rsidRDefault="00C96635" w:rsidP="006A43BB">
      <w:pPr>
        <w:pStyle w:val="Body"/>
        <w:spacing w:line="360" w:lineRule="auto"/>
        <w:rPr>
          <w:rStyle w:val="None"/>
          <w:rFonts w:cs="Times New Roman"/>
          <w:shd w:val="clear" w:color="auto" w:fill="FFFFFF"/>
          <w:lang w:val="en-US"/>
          <w14:textOutline w14:w="12700" w14:cap="flat" w14:cmpd="sng" w14:algn="ctr">
            <w14:noFill/>
            <w14:prstDash w14:val="solid"/>
            <w14:miter w14:lim="400000"/>
          </w14:textOutline>
        </w:rPr>
      </w:pPr>
      <w:r w:rsidRPr="006A43BB">
        <w:rPr>
          <w:rStyle w:val="None"/>
          <w:rFonts w:cs="Times New Roman"/>
          <w:shd w:val="clear" w:color="auto" w:fill="FFFFFF"/>
          <w:lang w:val="en-US"/>
          <w14:textOutline w14:w="12700" w14:cap="flat" w14:cmpd="sng" w14:algn="ctr">
            <w14:noFill/>
            <w14:prstDash w14:val="solid"/>
            <w14:miter w14:lim="400000"/>
          </w14:textOutline>
        </w:rPr>
        <w:lastRenderedPageBreak/>
        <w:t>'Federation Of Western Switzerland (FER) High Level Conference On Business And Human Rights' (Ioe-emp.org, 2014) &lt;https://www.ioe-emp.org/fileadmin/ioe_documents/publications/Policy%20Areas/business_and_human_rights/EN/_2014-11-20__G-680_News_Release_-_IOE_and_FER_host_high-level_Business___Human_Rights_Conference_in_Geneva.pdf&gt; accessed 22 May 2021</w:t>
      </w:r>
    </w:p>
    <w:p w14:paraId="1EBB8477" w14:textId="1AD58ACC" w:rsidR="00274F7E" w:rsidRPr="006A43BB" w:rsidRDefault="00274F7E" w:rsidP="006A43BB">
      <w:pPr>
        <w:pStyle w:val="Body"/>
        <w:spacing w:line="360" w:lineRule="auto"/>
        <w:rPr>
          <w:rStyle w:val="None"/>
          <w:rFonts w:cs="Times New Roman"/>
          <w:shd w:val="clear" w:color="auto" w:fill="FFFFFF"/>
          <w:lang w:val="en-US"/>
          <w14:textOutline w14:w="12700" w14:cap="flat" w14:cmpd="sng" w14:algn="ctr">
            <w14:noFill/>
            <w14:prstDash w14:val="solid"/>
            <w14:miter w14:lim="400000"/>
          </w14:textOutline>
        </w:rPr>
      </w:pPr>
    </w:p>
    <w:p w14:paraId="0D3A651E" w14:textId="35C2DE88" w:rsidR="00274F7E" w:rsidRPr="006A43BB" w:rsidRDefault="00274F7E" w:rsidP="006A43BB">
      <w:pPr>
        <w:pStyle w:val="Body"/>
        <w:spacing w:line="360" w:lineRule="auto"/>
        <w:rPr>
          <w:rStyle w:val="None"/>
          <w:rFonts w:cs="Times New Roman"/>
          <w:shd w:val="clear" w:color="auto" w:fill="FFFFFF"/>
          <w14:textOutline w14:w="12700" w14:cap="flat" w14:cmpd="sng" w14:algn="ctr">
            <w14:noFill/>
            <w14:prstDash w14:val="solid"/>
            <w14:miter w14:lim="400000"/>
          </w14:textOutline>
        </w:rPr>
      </w:pPr>
      <w:proofErr w:type="spellStart"/>
      <w:r w:rsidRPr="006A43BB">
        <w:rPr>
          <w:rStyle w:val="None"/>
          <w:rFonts w:cs="Times New Roman"/>
          <w:shd w:val="clear" w:color="auto" w:fill="FFFFFF"/>
          <w14:textOutline w14:w="12700" w14:cap="flat" w14:cmpd="sng" w14:algn="ctr">
            <w14:noFill/>
            <w14:prstDash w14:val="solid"/>
            <w14:miter w14:lim="400000"/>
          </w14:textOutline>
        </w:rPr>
        <w:t>Glinski</w:t>
      </w:r>
      <w:proofErr w:type="spellEnd"/>
      <w:r w:rsidRPr="006A43BB">
        <w:rPr>
          <w:rStyle w:val="None"/>
          <w:rFonts w:cs="Times New Roman"/>
          <w:shd w:val="clear" w:color="auto" w:fill="FFFFFF"/>
          <w14:textOutline w14:w="12700" w14:cap="flat" w14:cmpd="sng" w14:algn="ctr">
            <w14:noFill/>
            <w14:prstDash w14:val="solid"/>
            <w14:miter w14:lim="400000"/>
          </w14:textOutline>
        </w:rPr>
        <w:t xml:space="preserve"> C, 'The </w:t>
      </w:r>
      <w:proofErr w:type="spellStart"/>
      <w:r w:rsidRPr="006A43BB">
        <w:rPr>
          <w:rStyle w:val="None"/>
          <w:rFonts w:cs="Times New Roman"/>
          <w:shd w:val="clear" w:color="auto" w:fill="FFFFFF"/>
          <w14:textOutline w14:w="12700" w14:cap="flat" w14:cmpd="sng" w14:algn="ctr">
            <w14:noFill/>
            <w14:prstDash w14:val="solid"/>
            <w14:miter w14:lim="400000"/>
          </w14:textOutline>
        </w:rPr>
        <w:t>Ruggie</w:t>
      </w:r>
      <w:proofErr w:type="spellEnd"/>
      <w:r w:rsidRPr="006A43BB">
        <w:rPr>
          <w:rStyle w:val="None"/>
          <w:rFonts w:cs="Times New Roman"/>
          <w:shd w:val="clear" w:color="auto" w:fill="FFFFFF"/>
          <w14:textOutline w14:w="12700" w14:cap="flat" w14:cmpd="sng" w14:algn="ctr">
            <w14:noFill/>
            <w14:prstDash w14:val="solid"/>
            <w14:miter w14:lim="400000"/>
          </w14:textOutline>
        </w:rPr>
        <w:t xml:space="preserve"> Framework, Tort Law And Business Human Rights Self-Regulation: Increasing Standards Through Mutual Impact And Learning' [2017] SSRN Electronic Journal</w:t>
      </w:r>
    </w:p>
    <w:p w14:paraId="73291A83" w14:textId="77777777" w:rsidR="003B207D" w:rsidRPr="006A43BB"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84"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Higgins R, 'Problems And Process – International Law And How We Use It' (1995) 28 </w:t>
      </w:r>
      <w:proofErr w:type="spellStart"/>
      <w:r w:rsidRPr="006A43BB">
        <w:rPr>
          <w:rStyle w:val="None"/>
          <w:rFonts w:ascii="Times New Roman" w:hAnsi="Times New Roman" w:cs="Times New Roman"/>
          <w:sz w:val="24"/>
          <w:szCs w:val="24"/>
          <w:shd w:val="clear" w:color="auto" w:fill="FFFFFF"/>
        </w:rPr>
        <w:t>Verfassung</w:t>
      </w:r>
      <w:proofErr w:type="spellEnd"/>
      <w:r w:rsidRPr="006A43BB">
        <w:rPr>
          <w:rStyle w:val="None"/>
          <w:rFonts w:ascii="Times New Roman" w:hAnsi="Times New Roman" w:cs="Times New Roman"/>
          <w:sz w:val="24"/>
          <w:szCs w:val="24"/>
          <w:shd w:val="clear" w:color="auto" w:fill="FFFFFF"/>
        </w:rPr>
        <w:t xml:space="preserve"> in </w:t>
      </w:r>
      <w:proofErr w:type="spellStart"/>
      <w:r w:rsidRPr="006A43BB">
        <w:rPr>
          <w:rStyle w:val="None"/>
          <w:rFonts w:ascii="Times New Roman" w:hAnsi="Times New Roman" w:cs="Times New Roman"/>
          <w:sz w:val="24"/>
          <w:szCs w:val="24"/>
          <w:shd w:val="clear" w:color="auto" w:fill="FFFFFF"/>
        </w:rPr>
        <w:t>Recht</w:t>
      </w:r>
      <w:proofErr w:type="spellEnd"/>
      <w:r w:rsidRPr="006A43BB">
        <w:rPr>
          <w:rStyle w:val="None"/>
          <w:rFonts w:ascii="Times New Roman" w:hAnsi="Times New Roman" w:cs="Times New Roman"/>
          <w:sz w:val="24"/>
          <w:szCs w:val="24"/>
          <w:shd w:val="clear" w:color="auto" w:fill="FFFFFF"/>
        </w:rPr>
        <w:t xml:space="preserve"> und </w:t>
      </w:r>
      <w:proofErr w:type="spellStart"/>
      <w:r w:rsidRPr="006A43BB">
        <w:rPr>
          <w:rStyle w:val="None"/>
          <w:rFonts w:ascii="Times New Roman" w:hAnsi="Times New Roman" w:cs="Times New Roman"/>
          <w:sz w:val="24"/>
          <w:szCs w:val="24"/>
          <w:shd w:val="clear" w:color="auto" w:fill="FFFFFF"/>
        </w:rPr>
        <w:t>Übersee</w:t>
      </w:r>
      <w:proofErr w:type="spellEnd"/>
    </w:p>
    <w:p w14:paraId="73291A85"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86"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proofErr w:type="spellStart"/>
      <w:r w:rsidRPr="006A43BB">
        <w:rPr>
          <w:rStyle w:val="None"/>
          <w:rFonts w:ascii="Times New Roman" w:hAnsi="Times New Roman" w:cs="Times New Roman"/>
          <w:sz w:val="24"/>
          <w:szCs w:val="24"/>
          <w:shd w:val="clear" w:color="auto" w:fill="FFFFFF"/>
        </w:rPr>
        <w:t>Hepple</w:t>
      </w:r>
      <w:proofErr w:type="spellEnd"/>
      <w:r w:rsidRPr="006A43BB">
        <w:rPr>
          <w:rStyle w:val="None"/>
          <w:rFonts w:ascii="Times New Roman" w:hAnsi="Times New Roman" w:cs="Times New Roman"/>
          <w:sz w:val="24"/>
          <w:szCs w:val="24"/>
          <w:shd w:val="clear" w:color="auto" w:fill="FFFFFF"/>
        </w:rPr>
        <w:t xml:space="preserve"> B, </w:t>
      </w:r>
      <w:proofErr w:type="spellStart"/>
      <w:r w:rsidRPr="006A43BB">
        <w:rPr>
          <w:rStyle w:val="None"/>
          <w:rFonts w:ascii="Times New Roman" w:hAnsi="Times New Roman" w:cs="Times New Roman"/>
          <w:sz w:val="24"/>
          <w:szCs w:val="24"/>
          <w:shd w:val="clear" w:color="auto" w:fill="FFFFFF"/>
        </w:rPr>
        <w:t>Labour</w:t>
      </w:r>
      <w:proofErr w:type="spellEnd"/>
      <w:r w:rsidRPr="006A43BB">
        <w:rPr>
          <w:rStyle w:val="None"/>
          <w:rFonts w:ascii="Times New Roman" w:hAnsi="Times New Roman" w:cs="Times New Roman"/>
          <w:sz w:val="24"/>
          <w:szCs w:val="24"/>
          <w:shd w:val="clear" w:color="auto" w:fill="FFFFFF"/>
        </w:rPr>
        <w:t xml:space="preserve"> Laws And Global Trade (Hart Publishing 2005)</w:t>
      </w:r>
    </w:p>
    <w:p w14:paraId="73291A87"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88"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Joseph S, Corporations And Transnational Human Rights Litigation (Hart 2004)</w:t>
      </w:r>
    </w:p>
    <w:p w14:paraId="73291A89"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8A"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Jager N, ‘The Legal Status of the Multinational Corporation Under International Law’  Obligations’ in Michael Addo (eds), Human Rights Standards And The Responsibility Of Transnational Corporations (1st </w:t>
      </w:r>
      <w:proofErr w:type="spellStart"/>
      <w:r w:rsidRPr="006A43BB">
        <w:rPr>
          <w:rStyle w:val="None"/>
          <w:rFonts w:ascii="Times New Roman" w:hAnsi="Times New Roman" w:cs="Times New Roman"/>
          <w:sz w:val="24"/>
          <w:szCs w:val="24"/>
          <w:shd w:val="clear" w:color="auto" w:fill="FFFFFF"/>
        </w:rPr>
        <w:t>edn</w:t>
      </w:r>
      <w:proofErr w:type="spellEnd"/>
      <w:r w:rsidRPr="006A43BB">
        <w:rPr>
          <w:rStyle w:val="None"/>
          <w:rFonts w:ascii="Times New Roman" w:hAnsi="Times New Roman" w:cs="Times New Roman"/>
          <w:sz w:val="24"/>
          <w:szCs w:val="24"/>
          <w:shd w:val="clear" w:color="auto" w:fill="FFFFFF"/>
        </w:rPr>
        <w:t>, Kluwer Law International 1999)</w:t>
      </w:r>
    </w:p>
    <w:p w14:paraId="73291A8B"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8C"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Khoury S, and Whyte D, Corporate Human Rights Violations Global Prospects For Legal Action (Routledge 2017)</w:t>
      </w:r>
    </w:p>
    <w:p w14:paraId="73291A8D"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8E"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Kinley D and Nolan J, 'Trading and Aiding Human Rights: Corporations in the</w:t>
      </w:r>
    </w:p>
    <w:p w14:paraId="199AC416" w14:textId="3CE65A83" w:rsidR="00274F7E" w:rsidRPr="006A43BB" w:rsidRDefault="00C96635" w:rsidP="006A43BB">
      <w:pPr>
        <w:pStyle w:val="BodyA"/>
        <w:spacing w:line="360" w:lineRule="auto"/>
        <w:jc w:val="both"/>
        <w:rPr>
          <w:rStyle w:val="None"/>
          <w:rFonts w:ascii="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Global Economy' (2007) 25 Nordisk </w:t>
      </w:r>
      <w:proofErr w:type="spellStart"/>
      <w:r w:rsidRPr="006A43BB">
        <w:rPr>
          <w:rStyle w:val="None"/>
          <w:rFonts w:ascii="Times New Roman" w:hAnsi="Times New Roman" w:cs="Times New Roman"/>
          <w:sz w:val="24"/>
          <w:szCs w:val="24"/>
          <w:shd w:val="clear" w:color="auto" w:fill="FFFFFF"/>
        </w:rPr>
        <w:t>Tidsskrift</w:t>
      </w:r>
      <w:proofErr w:type="spellEnd"/>
      <w:r w:rsidRPr="006A43BB">
        <w:rPr>
          <w:rStyle w:val="None"/>
          <w:rFonts w:ascii="Times New Roman" w:hAnsi="Times New Roman" w:cs="Times New Roman"/>
          <w:sz w:val="24"/>
          <w:szCs w:val="24"/>
          <w:shd w:val="clear" w:color="auto" w:fill="FFFFFF"/>
        </w:rPr>
        <w:t xml:space="preserve"> for </w:t>
      </w:r>
      <w:proofErr w:type="spellStart"/>
      <w:r w:rsidRPr="006A43BB">
        <w:rPr>
          <w:rStyle w:val="None"/>
          <w:rFonts w:ascii="Times New Roman" w:hAnsi="Times New Roman" w:cs="Times New Roman"/>
          <w:sz w:val="24"/>
          <w:szCs w:val="24"/>
          <w:shd w:val="clear" w:color="auto" w:fill="FFFFFF"/>
        </w:rPr>
        <w:t>Menneskerettigheter</w:t>
      </w:r>
      <w:proofErr w:type="spellEnd"/>
      <w:r w:rsidRPr="006A43BB">
        <w:rPr>
          <w:rStyle w:val="None"/>
          <w:rFonts w:ascii="Times New Roman" w:hAnsi="Times New Roman" w:cs="Times New Roman"/>
          <w:sz w:val="24"/>
          <w:szCs w:val="24"/>
          <w:shd w:val="clear" w:color="auto" w:fill="FFFFFF"/>
        </w:rPr>
        <w:t xml:space="preserve"> 353</w:t>
      </w:r>
    </w:p>
    <w:p w14:paraId="73291A90"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91"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Kyd S, Tracey Elliott T, and Walters M, Clarkson &amp; Keating: Criminal Law: Text And Materials (10th </w:t>
      </w:r>
      <w:proofErr w:type="spellStart"/>
      <w:r w:rsidRPr="006A43BB">
        <w:rPr>
          <w:rStyle w:val="None"/>
          <w:rFonts w:ascii="Times New Roman" w:hAnsi="Times New Roman" w:cs="Times New Roman"/>
          <w:sz w:val="24"/>
          <w:szCs w:val="24"/>
          <w:shd w:val="clear" w:color="auto" w:fill="FFFFFF"/>
        </w:rPr>
        <w:t>edn</w:t>
      </w:r>
      <w:proofErr w:type="spellEnd"/>
      <w:r w:rsidRPr="006A43BB">
        <w:rPr>
          <w:rStyle w:val="None"/>
          <w:rFonts w:ascii="Times New Roman" w:hAnsi="Times New Roman" w:cs="Times New Roman"/>
          <w:sz w:val="24"/>
          <w:szCs w:val="24"/>
          <w:shd w:val="clear" w:color="auto" w:fill="FFFFFF"/>
        </w:rPr>
        <w:t>, Sweet &amp; Maxwell 2020)</w:t>
      </w:r>
    </w:p>
    <w:p w14:paraId="73291A92"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93"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Koh H, 'Separating Myth From Reality About Corporate Responsibility Litigation' (2004) 7 Journal of International Economic Law</w:t>
      </w:r>
    </w:p>
    <w:p w14:paraId="73291A94"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95"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'Legally Binding Instrument To Regulate, In International Human Rights Law, The Activities Of Transnational Corporations And Other Business Enterprises' [2018] ZERO DRAFT </w:t>
      </w:r>
      <w:r w:rsidRPr="006A43BB">
        <w:rPr>
          <w:rStyle w:val="None"/>
          <w:rFonts w:ascii="Times New Roman" w:hAnsi="Times New Roman" w:cs="Times New Roman"/>
          <w:sz w:val="24"/>
          <w:szCs w:val="24"/>
          <w:shd w:val="clear" w:color="auto" w:fill="FFFFFF"/>
        </w:rPr>
        <w:lastRenderedPageBreak/>
        <w:t>&lt;https://media.business-humanrights.org/media/documents/files/documents/DraftLBI.pdf&gt; accessed 22 May 2021</w:t>
      </w:r>
    </w:p>
    <w:p w14:paraId="73291A96"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97"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McCorquodale R and Simmons P, ‘Responsibility beyond Borders: State Responsibility for </w:t>
      </w:r>
    </w:p>
    <w:p w14:paraId="73291A98"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Extraterritorial Violations by Corporations of International Human Rights Law’ (2007) 70 Modern Law Review</w:t>
      </w:r>
    </w:p>
    <w:p w14:paraId="73291A99"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9A"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Milanovic M, Extraterritorial Application of Human Rights Treaties (Oxford University Press, 2011)</w:t>
      </w:r>
    </w:p>
    <w:p w14:paraId="73291A9B"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9C"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Martens J and Seitz K, The Struggle for a UN Treaty: Towards global regulation on human rights and business (Global Policy Forum, 2016)</w:t>
      </w:r>
    </w:p>
    <w:p w14:paraId="73291A9D"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9E" w14:textId="77777777" w:rsidR="003B207D" w:rsidRPr="005A59E7" w:rsidRDefault="00C96635" w:rsidP="006A43BB">
      <w:pPr>
        <w:pStyle w:val="BodyA"/>
        <w:spacing w:line="360" w:lineRule="auto"/>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'Needs And Options For A New International Instrument In The Field Of Business And Human Rights' (Icj.org, 2014) &lt;https://www.icj.org/wp-content/uploads/2014/06/NeedsandOptionsinternationalinst_ICJReportFinalelecvers.compressed.pdf&gt; accessed 22 May 2021</w:t>
      </w:r>
    </w:p>
    <w:p w14:paraId="73291A9F"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A0"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Oppenheim L, International Law: A Treatise (2nd </w:t>
      </w:r>
      <w:proofErr w:type="spellStart"/>
      <w:r w:rsidRPr="006A43BB">
        <w:rPr>
          <w:rStyle w:val="None"/>
          <w:rFonts w:ascii="Times New Roman" w:hAnsi="Times New Roman" w:cs="Times New Roman"/>
          <w:sz w:val="24"/>
          <w:szCs w:val="24"/>
          <w:shd w:val="clear" w:color="auto" w:fill="FFFFFF"/>
        </w:rPr>
        <w:t>edn</w:t>
      </w:r>
      <w:proofErr w:type="spellEnd"/>
      <w:r w:rsidRPr="006A43BB">
        <w:rPr>
          <w:rStyle w:val="None"/>
          <w:rFonts w:ascii="Times New Roman" w:hAnsi="Times New Roman" w:cs="Times New Roman"/>
          <w:sz w:val="24"/>
          <w:szCs w:val="24"/>
          <w:shd w:val="clear" w:color="auto" w:fill="FFFFFF"/>
        </w:rPr>
        <w:t>, 1905)</w:t>
      </w:r>
    </w:p>
    <w:p w14:paraId="73291AA1"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A2"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'OHCHR 2014 Forum On Business And Human Rights' (Ohchr.org, 2014) &lt;https://www.ohchr.org/EN/Issues/Business/Forum/Pages/2014ForumonBusinessandHumanRights.aspx&gt; accessed 22 May 2021</w:t>
      </w:r>
    </w:p>
    <w:p w14:paraId="73291AA3"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A4"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Parkinson J, ‘The Socially Responsible Company’ in Michael Addo (eds), Human Rights Standards And The Responsibility Of Transnational Corporations (1st </w:t>
      </w:r>
      <w:proofErr w:type="spellStart"/>
      <w:r w:rsidRPr="006A43BB">
        <w:rPr>
          <w:rStyle w:val="None"/>
          <w:rFonts w:ascii="Times New Roman" w:hAnsi="Times New Roman" w:cs="Times New Roman"/>
          <w:sz w:val="24"/>
          <w:szCs w:val="24"/>
          <w:shd w:val="clear" w:color="auto" w:fill="FFFFFF"/>
        </w:rPr>
        <w:t>edn</w:t>
      </w:r>
      <w:proofErr w:type="spellEnd"/>
      <w:r w:rsidRPr="006A43BB">
        <w:rPr>
          <w:rStyle w:val="None"/>
          <w:rFonts w:ascii="Times New Roman" w:hAnsi="Times New Roman" w:cs="Times New Roman"/>
          <w:sz w:val="24"/>
          <w:szCs w:val="24"/>
          <w:shd w:val="clear" w:color="auto" w:fill="FFFFFF"/>
        </w:rPr>
        <w:t>, Kluwer Law International 1999) 49.</w:t>
      </w:r>
    </w:p>
    <w:p w14:paraId="73291AA5"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A6"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proofErr w:type="spellStart"/>
      <w:r w:rsidRPr="006A43BB">
        <w:rPr>
          <w:rStyle w:val="None"/>
          <w:rFonts w:ascii="Times New Roman" w:hAnsi="Times New Roman" w:cs="Times New Roman"/>
          <w:sz w:val="24"/>
          <w:szCs w:val="24"/>
          <w:shd w:val="clear" w:color="auto" w:fill="FFFFFF"/>
        </w:rPr>
        <w:t>Tiruneh</w:t>
      </w:r>
      <w:proofErr w:type="spellEnd"/>
      <w:r w:rsidRPr="006A43BB">
        <w:rPr>
          <w:rStyle w:val="None"/>
          <w:rFonts w:ascii="Times New Roman" w:hAnsi="Times New Roman" w:cs="Times New Roman"/>
          <w:sz w:val="24"/>
          <w:szCs w:val="24"/>
          <w:shd w:val="clear" w:color="auto" w:fill="FFFFFF"/>
        </w:rPr>
        <w:t xml:space="preserve"> W, 'Holding The Parent Company Liable For Human Rights Abuses Committed Abroad: The Case Of The Four Nigerian Farmers And </w:t>
      </w:r>
      <w:proofErr w:type="spellStart"/>
      <w:r w:rsidRPr="006A43BB">
        <w:rPr>
          <w:rStyle w:val="None"/>
          <w:rFonts w:ascii="Times New Roman" w:hAnsi="Times New Roman" w:cs="Times New Roman"/>
          <w:sz w:val="24"/>
          <w:szCs w:val="24"/>
          <w:shd w:val="clear" w:color="auto" w:fill="FFFFFF"/>
        </w:rPr>
        <w:t>Milieudefensie</w:t>
      </w:r>
      <w:proofErr w:type="spellEnd"/>
      <w:r w:rsidRPr="006A43BB">
        <w:rPr>
          <w:rStyle w:val="None"/>
          <w:rFonts w:ascii="Times New Roman" w:hAnsi="Times New Roman" w:cs="Times New Roman"/>
          <w:sz w:val="24"/>
          <w:szCs w:val="24"/>
          <w:shd w:val="clear" w:color="auto" w:fill="FFFFFF"/>
        </w:rPr>
        <w:t xml:space="preserve"> V. Shell' [2021] </w:t>
      </w:r>
      <w:proofErr w:type="spellStart"/>
      <w:r w:rsidRPr="006A43BB">
        <w:rPr>
          <w:rStyle w:val="None"/>
          <w:rFonts w:ascii="Times New Roman" w:hAnsi="Times New Roman" w:cs="Times New Roman"/>
          <w:sz w:val="24"/>
          <w:szCs w:val="24"/>
          <w:shd w:val="clear" w:color="auto" w:fill="FFFFFF"/>
        </w:rPr>
        <w:t>EJIL:Talk</w:t>
      </w:r>
      <w:proofErr w:type="spellEnd"/>
      <w:r w:rsidRPr="006A43BB">
        <w:rPr>
          <w:rStyle w:val="None"/>
          <w:rFonts w:ascii="Times New Roman" w:hAnsi="Times New Roman" w:cs="Times New Roman"/>
          <w:sz w:val="24"/>
          <w:szCs w:val="24"/>
          <w:shd w:val="clear" w:color="auto" w:fill="FFFFFF"/>
        </w:rPr>
        <w:t xml:space="preserve"> European Journal of International Law &lt;https://www.ejiltalk.org/holding-the-parent-company-liable-for-human-rights-abuses-committed-abroad-the-case-of-the-four-nigerian-farmers-and-milieudefensie-v-shell/&gt; accessed 21 April 2021</w:t>
      </w:r>
    </w:p>
    <w:p w14:paraId="73291AA7"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A8"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proofErr w:type="spellStart"/>
      <w:r w:rsidRPr="006A43BB">
        <w:rPr>
          <w:rStyle w:val="None"/>
          <w:rFonts w:ascii="Times New Roman" w:hAnsi="Times New Roman" w:cs="Times New Roman"/>
          <w:sz w:val="24"/>
          <w:szCs w:val="24"/>
          <w:shd w:val="clear" w:color="auto" w:fill="FFFFFF"/>
        </w:rPr>
        <w:lastRenderedPageBreak/>
        <w:t>Tzevelekos</w:t>
      </w:r>
      <w:proofErr w:type="spellEnd"/>
      <w:r w:rsidRPr="006A43BB">
        <w:rPr>
          <w:rStyle w:val="None"/>
          <w:rFonts w:ascii="Times New Roman" w:hAnsi="Times New Roman" w:cs="Times New Roman"/>
          <w:sz w:val="24"/>
          <w:szCs w:val="24"/>
          <w:shd w:val="clear" w:color="auto" w:fill="FFFFFF"/>
        </w:rPr>
        <w:t xml:space="preserve"> V, ‘In Search of Alternative Solutions: Can the State of Origin be Held Internationally  Responsible for Investors Human Rights Abuses that are not Attributable to it?’ (2010) 35 Brook Journal of  International Law 155</w:t>
      </w:r>
    </w:p>
    <w:p w14:paraId="73291AA9"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AA"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The 24th session of the Human Rights Council, Statement on behalf of a Group of Countries (1 September, 2013) </w:t>
      </w:r>
    </w:p>
    <w:p w14:paraId="73291AAB"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&lt;https://www.business-humanrights.org/sites/default/files/media/documents/statement-unhrc-legallybinding.pdf&gt; accessed  16 May 2021</w:t>
      </w:r>
    </w:p>
    <w:p w14:paraId="73291AAC"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AD"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Ratner S, 'Corporations And Human Rights: A Theory Of Legal Responsibility' (2001) 111 The Yale Law Journal</w:t>
      </w:r>
    </w:p>
    <w:p w14:paraId="73291AAE"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AF" w14:textId="77777777" w:rsidR="003B207D" w:rsidRPr="005A59E7" w:rsidRDefault="00C96635" w:rsidP="006A43BB">
      <w:pPr>
        <w:pStyle w:val="BodyA"/>
        <w:spacing w:line="360" w:lineRule="auto"/>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'Revised Draft' (2019) &lt;https://www.ohchr.org/Documents/HRBodies/HRCouncil/WGTransCorp/OEIGWG_RevisedDraft_LBI.pdf&gt; accessed 22 May 2021</w:t>
      </w:r>
    </w:p>
    <w:p w14:paraId="73291AB0"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B1"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Sander B, '</w:t>
      </w:r>
      <w:proofErr w:type="spellStart"/>
      <w:r w:rsidRPr="006A43BB">
        <w:rPr>
          <w:rStyle w:val="None"/>
          <w:rFonts w:ascii="Times New Roman" w:hAnsi="Times New Roman" w:cs="Times New Roman"/>
          <w:sz w:val="24"/>
          <w:szCs w:val="24"/>
          <w:shd w:val="clear" w:color="auto" w:fill="FFFFFF"/>
        </w:rPr>
        <w:t>Kiobel</w:t>
      </w:r>
      <w:proofErr w:type="spellEnd"/>
      <w:r w:rsidRPr="006A43BB">
        <w:rPr>
          <w:rStyle w:val="None"/>
          <w:rFonts w:ascii="Times New Roman" w:hAnsi="Times New Roman" w:cs="Times New Roman"/>
          <w:sz w:val="24"/>
          <w:szCs w:val="24"/>
          <w:shd w:val="clear" w:color="auto" w:fill="FFFFFF"/>
        </w:rPr>
        <w:t>: Corporate Liability Under International Law' (2012) https://www.ejiltalk.org/kiobel-corporate-liability-under-international-law/ EJIL: Talk European Journal of International Law</w:t>
      </w:r>
    </w:p>
    <w:p w14:paraId="73291AB2"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B3"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proofErr w:type="spellStart"/>
      <w:r w:rsidRPr="006A43BB">
        <w:rPr>
          <w:rStyle w:val="None"/>
          <w:rFonts w:ascii="Times New Roman" w:hAnsi="Times New Roman" w:cs="Times New Roman"/>
          <w:sz w:val="24"/>
          <w:szCs w:val="24"/>
          <w:shd w:val="clear" w:color="auto" w:fill="FFFFFF"/>
        </w:rPr>
        <w:t>Segerlund</w:t>
      </w:r>
      <w:proofErr w:type="spellEnd"/>
      <w:r w:rsidRPr="006A43BB">
        <w:rPr>
          <w:rStyle w:val="None"/>
          <w:rFonts w:ascii="Times New Roman" w:hAnsi="Times New Roman" w:cs="Times New Roman"/>
          <w:sz w:val="24"/>
          <w:szCs w:val="24"/>
          <w:shd w:val="clear" w:color="auto" w:fill="FFFFFF"/>
        </w:rPr>
        <w:t xml:space="preserve"> L, 'Thirty Years Of Corporate Social Responsibility Within The UN: From Codes Of Conduct To Norms' [2008] Paper presented at the 6th Pan-European Conference on International Relations</w:t>
      </w:r>
    </w:p>
    <w:p w14:paraId="73291AB4"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B5" w14:textId="77777777" w:rsidR="003B207D" w:rsidRPr="005A59E7" w:rsidRDefault="00C96635" w:rsidP="006A43BB">
      <w:pPr>
        <w:pStyle w:val="BodyA"/>
        <w:spacing w:line="360" w:lineRule="auto"/>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'Social Dialogue' (Ec.europa.eu, 2021) &lt;https://ec.europa.eu/social/main.jsp?catId=329&amp;langId=en&gt; accessed 11 May 2021</w:t>
      </w:r>
    </w:p>
    <w:p w14:paraId="73291AB6" w14:textId="77777777" w:rsidR="003B207D" w:rsidRPr="005A59E7" w:rsidRDefault="003B207D" w:rsidP="006A43BB">
      <w:pPr>
        <w:pStyle w:val="BodyA"/>
        <w:spacing w:line="360" w:lineRule="auto"/>
        <w:rPr>
          <w:rStyle w:val="None"/>
          <w:rFonts w:ascii="Times New Roman" w:eastAsia="Times New Roman" w:hAnsi="Times New Roman" w:cs="Times New Roman"/>
          <w:sz w:val="24"/>
          <w:szCs w:val="24"/>
          <w:shd w:val="clear" w:color="auto" w:fill="FFFFFF"/>
        </w:rPr>
      </w:pPr>
    </w:p>
    <w:p w14:paraId="73291AB7" w14:textId="77777777" w:rsidR="003B207D" w:rsidRPr="005A59E7" w:rsidRDefault="00C96635" w:rsidP="006A43BB">
      <w:pPr>
        <w:pStyle w:val="BodyA"/>
        <w:spacing w:line="360" w:lineRule="auto"/>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'Second Revised Draft' &lt;https://www.ohchr.org/Documents/HRBodies/HRCouncil/WGTransCorp/Session6/OEIGWG_Chair-Rapporteur_second_revised_draft_LBI_on_TNCs_and_OBEs_with_respect_to_Human_Rights.pdf&gt; accessed 22 May 2021</w:t>
      </w:r>
    </w:p>
    <w:p w14:paraId="73291AB8"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B9"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proofErr w:type="spellStart"/>
      <w:r w:rsidRPr="006A43BB">
        <w:rPr>
          <w:rStyle w:val="None"/>
          <w:rFonts w:ascii="Times New Roman" w:hAnsi="Times New Roman" w:cs="Times New Roman"/>
          <w:sz w:val="24"/>
          <w:szCs w:val="24"/>
          <w:shd w:val="clear" w:color="auto" w:fill="FFFFFF"/>
        </w:rPr>
        <w:lastRenderedPageBreak/>
        <w:t>Schierbeck</w:t>
      </w:r>
      <w:proofErr w:type="spellEnd"/>
      <w:r w:rsidRPr="006A43BB">
        <w:rPr>
          <w:rStyle w:val="None"/>
          <w:rFonts w:ascii="Times New Roman" w:hAnsi="Times New Roman" w:cs="Times New Roman"/>
          <w:sz w:val="24"/>
          <w:szCs w:val="24"/>
          <w:shd w:val="clear" w:color="auto" w:fill="FFFFFF"/>
        </w:rPr>
        <w:t xml:space="preserve"> J, ‘Recasting Corporate Policy for Human Rights Purposes’ in Michael Addo (eds), Human Rights Standards And The Responsibility Of Transnational Corporations (1st </w:t>
      </w:r>
      <w:proofErr w:type="spellStart"/>
      <w:r w:rsidRPr="006A43BB">
        <w:rPr>
          <w:rStyle w:val="None"/>
          <w:rFonts w:ascii="Times New Roman" w:hAnsi="Times New Roman" w:cs="Times New Roman"/>
          <w:sz w:val="24"/>
          <w:szCs w:val="24"/>
          <w:shd w:val="clear" w:color="auto" w:fill="FFFFFF"/>
        </w:rPr>
        <w:t>edn</w:t>
      </w:r>
      <w:proofErr w:type="spellEnd"/>
      <w:r w:rsidRPr="006A43BB">
        <w:rPr>
          <w:rStyle w:val="None"/>
          <w:rFonts w:ascii="Times New Roman" w:hAnsi="Times New Roman" w:cs="Times New Roman"/>
          <w:sz w:val="24"/>
          <w:szCs w:val="24"/>
          <w:shd w:val="clear" w:color="auto" w:fill="FFFFFF"/>
        </w:rPr>
        <w:t>, Kluwer Law International 1999)</w:t>
      </w:r>
    </w:p>
    <w:p w14:paraId="73291ABA"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BB"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proofErr w:type="spellStart"/>
      <w:r w:rsidRPr="006A43BB">
        <w:rPr>
          <w:rStyle w:val="None"/>
          <w:rFonts w:ascii="Times New Roman" w:hAnsi="Times New Roman" w:cs="Times New Roman"/>
          <w:sz w:val="24"/>
          <w:szCs w:val="24"/>
          <w:shd w:val="clear" w:color="auto" w:fill="FFFFFF"/>
        </w:rPr>
        <w:t>Skogly</w:t>
      </w:r>
      <w:proofErr w:type="spellEnd"/>
      <w:r w:rsidRPr="006A43BB">
        <w:rPr>
          <w:rStyle w:val="None"/>
          <w:rFonts w:ascii="Times New Roman" w:hAnsi="Times New Roman" w:cs="Times New Roman"/>
          <w:sz w:val="24"/>
          <w:szCs w:val="24"/>
          <w:shd w:val="clear" w:color="auto" w:fill="FFFFFF"/>
        </w:rPr>
        <w:t xml:space="preserve"> S, ‘Economic and Social Human Rights, Private Actors and International Obligations’ in Michael Addo (eds), Human Rights Standards And The Responsibility Of Transnational Corporations (1st </w:t>
      </w:r>
      <w:proofErr w:type="spellStart"/>
      <w:r w:rsidRPr="006A43BB">
        <w:rPr>
          <w:rStyle w:val="None"/>
          <w:rFonts w:ascii="Times New Roman" w:hAnsi="Times New Roman" w:cs="Times New Roman"/>
          <w:sz w:val="24"/>
          <w:szCs w:val="24"/>
          <w:shd w:val="clear" w:color="auto" w:fill="FFFFFF"/>
        </w:rPr>
        <w:t>edn</w:t>
      </w:r>
      <w:proofErr w:type="spellEnd"/>
      <w:r w:rsidRPr="006A43BB">
        <w:rPr>
          <w:rStyle w:val="None"/>
          <w:rFonts w:ascii="Times New Roman" w:hAnsi="Times New Roman" w:cs="Times New Roman"/>
          <w:sz w:val="24"/>
          <w:szCs w:val="24"/>
          <w:shd w:val="clear" w:color="auto" w:fill="FFFFFF"/>
        </w:rPr>
        <w:t>, Kluwer Law International 1999).</w:t>
      </w:r>
    </w:p>
    <w:p w14:paraId="73291ABC"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BD"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proofErr w:type="spellStart"/>
      <w:r w:rsidRPr="006A43BB">
        <w:rPr>
          <w:rStyle w:val="None"/>
          <w:rFonts w:ascii="Times New Roman" w:hAnsi="Times New Roman" w:cs="Times New Roman"/>
          <w:sz w:val="24"/>
          <w:szCs w:val="24"/>
          <w:shd w:val="clear" w:color="auto" w:fill="FFFFFF"/>
        </w:rPr>
        <w:t>Sornarajah</w:t>
      </w:r>
      <w:proofErr w:type="spellEnd"/>
      <w:r w:rsidRPr="006A43BB">
        <w:rPr>
          <w:rStyle w:val="None"/>
          <w:rFonts w:ascii="Times New Roman" w:hAnsi="Times New Roman" w:cs="Times New Roman"/>
          <w:sz w:val="24"/>
          <w:szCs w:val="24"/>
          <w:shd w:val="clear" w:color="auto" w:fill="FFFFFF"/>
        </w:rPr>
        <w:t xml:space="preserve"> M, Resistance And Change In The International Law On Foreign Investment. In Resistance And Change In The International Law On Foreign Investment (Cambridge University Press 2015)</w:t>
      </w:r>
    </w:p>
    <w:p w14:paraId="73291ABE"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BF"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proofErr w:type="spellStart"/>
      <w:r w:rsidRPr="006A43BB">
        <w:rPr>
          <w:rStyle w:val="None"/>
          <w:rFonts w:ascii="Times New Roman" w:hAnsi="Times New Roman" w:cs="Times New Roman"/>
          <w:sz w:val="24"/>
          <w:szCs w:val="24"/>
          <w:shd w:val="clear" w:color="auto" w:fill="FFFFFF"/>
        </w:rPr>
        <w:t>Saced</w:t>
      </w:r>
      <w:proofErr w:type="spellEnd"/>
      <w:r w:rsidRPr="006A43BB">
        <w:rPr>
          <w:rStyle w:val="None"/>
          <w:rFonts w:ascii="Times New Roman" w:hAnsi="Times New Roman" w:cs="Times New Roman"/>
          <w:sz w:val="24"/>
          <w:szCs w:val="24"/>
          <w:shd w:val="clear" w:color="auto" w:fill="FFFFFF"/>
        </w:rPr>
        <w:t xml:space="preserve"> M, and </w:t>
      </w:r>
      <w:proofErr w:type="spellStart"/>
      <w:r w:rsidRPr="006A43BB">
        <w:rPr>
          <w:rStyle w:val="None"/>
          <w:rFonts w:ascii="Times New Roman" w:hAnsi="Times New Roman" w:cs="Times New Roman"/>
          <w:sz w:val="24"/>
          <w:szCs w:val="24"/>
          <w:shd w:val="clear" w:color="auto" w:fill="FFFFFF"/>
        </w:rPr>
        <w:t>Otaiba</w:t>
      </w:r>
      <w:proofErr w:type="spellEnd"/>
      <w:r w:rsidRPr="006A43BB">
        <w:rPr>
          <w:rStyle w:val="None"/>
          <w:rFonts w:ascii="Times New Roman" w:hAnsi="Times New Roman" w:cs="Times New Roman"/>
          <w:sz w:val="24"/>
          <w:szCs w:val="24"/>
          <w:shd w:val="clear" w:color="auto" w:fill="FFFFFF"/>
        </w:rPr>
        <w:t xml:space="preserve"> A, The Petroleum Concession Agreements Of The United Arab Emirates, 1939-1981 (Abu Dhabi) (1982)</w:t>
      </w:r>
    </w:p>
    <w:p w14:paraId="73291AC0"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C1"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bookmarkStart w:id="21" w:name="_Hlk69668196"/>
      <w:proofErr w:type="spellStart"/>
      <w:r w:rsidRPr="006A43BB">
        <w:rPr>
          <w:rStyle w:val="None"/>
          <w:rFonts w:ascii="Times New Roman" w:hAnsi="Times New Roman" w:cs="Times New Roman"/>
          <w:sz w:val="24"/>
          <w:szCs w:val="24"/>
          <w:shd w:val="clear" w:color="auto" w:fill="FFFFFF"/>
        </w:rPr>
        <w:t>Zerk</w:t>
      </w:r>
      <w:proofErr w:type="spellEnd"/>
      <w:r w:rsidRPr="006A43BB">
        <w:rPr>
          <w:rStyle w:val="None"/>
          <w:rFonts w:ascii="Times New Roman" w:hAnsi="Times New Roman" w:cs="Times New Roman"/>
          <w:sz w:val="24"/>
          <w:szCs w:val="24"/>
          <w:shd w:val="clear" w:color="auto" w:fill="FFFFFF"/>
        </w:rPr>
        <w:t xml:space="preserve"> J, Multinationals And Corporate Social Responsibility (Cambridge University Press 2011)</w:t>
      </w:r>
      <w:bookmarkEnd w:id="21"/>
    </w:p>
    <w:p w14:paraId="73291AC2"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C3"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proofErr w:type="spellStart"/>
      <w:r w:rsidRPr="006A43BB">
        <w:rPr>
          <w:rStyle w:val="None"/>
          <w:rFonts w:ascii="Times New Roman" w:hAnsi="Times New Roman" w:cs="Times New Roman"/>
          <w:sz w:val="24"/>
          <w:szCs w:val="24"/>
          <w:shd w:val="clear" w:color="auto" w:fill="FFFFFF"/>
        </w:rPr>
        <w:t>Woodforre</w:t>
      </w:r>
      <w:proofErr w:type="spellEnd"/>
      <w:r w:rsidRPr="006A43BB">
        <w:rPr>
          <w:rStyle w:val="None"/>
          <w:rFonts w:ascii="Times New Roman" w:hAnsi="Times New Roman" w:cs="Times New Roman"/>
          <w:sz w:val="24"/>
          <w:szCs w:val="24"/>
          <w:shd w:val="clear" w:color="auto" w:fill="FFFFFF"/>
        </w:rPr>
        <w:t xml:space="preserve"> J, ‘Regulating Multinational Corporations in a World of Nation States’ in Michael Addo (eds), Human Rights Standards And The Responsibility Of Transnational Corporations (1st </w:t>
      </w:r>
      <w:proofErr w:type="spellStart"/>
      <w:r w:rsidRPr="006A43BB">
        <w:rPr>
          <w:rStyle w:val="None"/>
          <w:rFonts w:ascii="Times New Roman" w:hAnsi="Times New Roman" w:cs="Times New Roman"/>
          <w:sz w:val="24"/>
          <w:szCs w:val="24"/>
          <w:shd w:val="clear" w:color="auto" w:fill="FFFFFF"/>
        </w:rPr>
        <w:t>edn</w:t>
      </w:r>
      <w:proofErr w:type="spellEnd"/>
      <w:r w:rsidRPr="006A43BB">
        <w:rPr>
          <w:rStyle w:val="None"/>
          <w:rFonts w:ascii="Times New Roman" w:hAnsi="Times New Roman" w:cs="Times New Roman"/>
          <w:sz w:val="24"/>
          <w:szCs w:val="24"/>
          <w:shd w:val="clear" w:color="auto" w:fill="FFFFFF"/>
        </w:rPr>
        <w:t>, Kluwer Law International 1999).</w:t>
      </w:r>
    </w:p>
    <w:p w14:paraId="73291AC4"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C6" w14:textId="77777777" w:rsidR="003B207D" w:rsidRPr="005A59E7" w:rsidRDefault="00C96635" w:rsidP="006A43BB">
      <w:pPr>
        <w:pStyle w:val="BodyA"/>
        <w:spacing w:line="360" w:lineRule="auto"/>
        <w:jc w:val="both"/>
        <w:rPr>
          <w:rStyle w:val="None"/>
          <w:rFonts w:ascii="Times New Roman" w:eastAsia="Times New Roman" w:hAnsi="Times New Roman" w:cs="Times New Roman"/>
          <w:b/>
          <w:bCs/>
          <w:sz w:val="24"/>
          <w:szCs w:val="24"/>
          <w:shd w:val="clear" w:color="auto" w:fill="FFFFFF"/>
        </w:rPr>
      </w:pPr>
      <w:r w:rsidRPr="006A43BB">
        <w:rPr>
          <w:rStyle w:val="None"/>
          <w:rFonts w:ascii="Times New Roman" w:hAnsi="Times New Roman" w:cs="Times New Roman"/>
          <w:b/>
          <w:bCs/>
          <w:sz w:val="24"/>
          <w:szCs w:val="24"/>
          <w:shd w:val="clear" w:color="auto" w:fill="FFFFFF"/>
        </w:rPr>
        <w:t>Cases:</w:t>
      </w:r>
    </w:p>
    <w:p w14:paraId="7C19D212" w14:textId="77777777" w:rsidR="006322A8" w:rsidRPr="006322A8" w:rsidRDefault="006322A8" w:rsidP="006322A8">
      <w:pPr>
        <w:pStyle w:val="BodyA"/>
        <w:spacing w:before="240" w:line="360" w:lineRule="auto"/>
        <w:jc w:val="both"/>
        <w:rPr>
          <w:rStyle w:val="None"/>
          <w:rFonts w:ascii="Times New Roman" w:eastAsia="Times New Roman" w:hAnsi="Times New Roman" w:cs="Times New Roman"/>
          <w:sz w:val="24"/>
          <w:szCs w:val="24"/>
          <w:shd w:val="clear" w:color="auto" w:fill="FFFFFF"/>
        </w:rPr>
      </w:pPr>
      <w:r w:rsidRPr="006322A8">
        <w:rPr>
          <w:rStyle w:val="None"/>
          <w:rFonts w:ascii="Times New Roman" w:eastAsia="Times New Roman" w:hAnsi="Times New Roman" w:cs="Times New Roman"/>
          <w:sz w:val="24"/>
          <w:szCs w:val="24"/>
          <w:shd w:val="clear" w:color="auto" w:fill="FFFFFF"/>
        </w:rPr>
        <w:t>Arrest Warrant Case, Congo v. Belgium [11 April 2000] ICJ GL No 121</w:t>
      </w:r>
    </w:p>
    <w:p w14:paraId="1856E166" w14:textId="77777777" w:rsidR="006322A8" w:rsidRPr="006A43BB" w:rsidRDefault="006322A8" w:rsidP="006322A8">
      <w:pPr>
        <w:pStyle w:val="BodyA"/>
        <w:spacing w:before="240" w:after="240" w:line="360" w:lineRule="auto"/>
        <w:jc w:val="both"/>
        <w:rPr>
          <w:rStyle w:val="None"/>
          <w:rFonts w:ascii="Times New Roman" w:eastAsia="Times New Roman" w:hAnsi="Times New Roman" w:cs="Times New Roman"/>
          <w:sz w:val="24"/>
          <w:szCs w:val="24"/>
          <w:shd w:val="clear" w:color="auto" w:fill="FFFFFF"/>
          <w:lang w:val="it-IT"/>
        </w:rPr>
      </w:pPr>
      <w:proofErr w:type="spellStart"/>
      <w:r w:rsidRPr="006A43BB">
        <w:rPr>
          <w:rStyle w:val="None"/>
          <w:rFonts w:ascii="Times New Roman" w:eastAsia="Times New Roman" w:hAnsi="Times New Roman" w:cs="Times New Roman"/>
          <w:sz w:val="24"/>
          <w:szCs w:val="24"/>
          <w:shd w:val="clear" w:color="auto" w:fill="FFFFFF"/>
          <w:lang w:val="it-IT"/>
        </w:rPr>
        <w:t>Aguinda</w:t>
      </w:r>
      <w:proofErr w:type="spellEnd"/>
      <w:r w:rsidRPr="006A43BB">
        <w:rPr>
          <w:rStyle w:val="None"/>
          <w:rFonts w:ascii="Times New Roman" w:eastAsia="Times New Roman" w:hAnsi="Times New Roman" w:cs="Times New Roman"/>
          <w:sz w:val="24"/>
          <w:szCs w:val="24"/>
          <w:shd w:val="clear" w:color="auto" w:fill="FFFFFF"/>
          <w:lang w:val="it-IT"/>
        </w:rPr>
        <w:t xml:space="preserve"> v. Texaco Inc. [1996] 945 F. </w:t>
      </w:r>
      <w:proofErr w:type="spellStart"/>
      <w:r w:rsidRPr="006A43BB">
        <w:rPr>
          <w:rStyle w:val="None"/>
          <w:rFonts w:ascii="Times New Roman" w:eastAsia="Times New Roman" w:hAnsi="Times New Roman" w:cs="Times New Roman"/>
          <w:sz w:val="24"/>
          <w:szCs w:val="24"/>
          <w:shd w:val="clear" w:color="auto" w:fill="FFFFFF"/>
          <w:lang w:val="it-IT"/>
        </w:rPr>
        <w:t>Supp</w:t>
      </w:r>
      <w:proofErr w:type="spellEnd"/>
      <w:r w:rsidRPr="006A43BB">
        <w:rPr>
          <w:rStyle w:val="None"/>
          <w:rFonts w:ascii="Times New Roman" w:eastAsia="Times New Roman" w:hAnsi="Times New Roman" w:cs="Times New Roman"/>
          <w:sz w:val="24"/>
          <w:szCs w:val="24"/>
          <w:shd w:val="clear" w:color="auto" w:fill="FFFFFF"/>
          <w:lang w:val="it-IT"/>
        </w:rPr>
        <w:t xml:space="preserve">. 625 </w:t>
      </w:r>
    </w:p>
    <w:p w14:paraId="7806EEA4" w14:textId="6905A34E" w:rsidR="006322A8" w:rsidRPr="006A43BB" w:rsidRDefault="006322A8" w:rsidP="006A43BB">
      <w:pPr>
        <w:pStyle w:val="BodyA"/>
        <w:spacing w:before="240" w:after="240" w:line="360" w:lineRule="auto"/>
        <w:jc w:val="both"/>
        <w:rPr>
          <w:rStyle w:val="None"/>
          <w:rFonts w:ascii="Times New Roman" w:eastAsia="Times New Roman" w:hAnsi="Times New Roman" w:cs="Times New Roman"/>
          <w:sz w:val="24"/>
          <w:szCs w:val="24"/>
          <w:shd w:val="clear" w:color="auto" w:fill="FFFFFF"/>
        </w:rPr>
      </w:pPr>
      <w:proofErr w:type="spellStart"/>
      <w:r w:rsidRPr="006A43BB">
        <w:rPr>
          <w:rStyle w:val="None"/>
          <w:rFonts w:ascii="Times New Roman" w:eastAsia="Times New Roman" w:hAnsi="Times New Roman" w:cs="Times New Roman"/>
          <w:sz w:val="24"/>
          <w:szCs w:val="24"/>
          <w:shd w:val="clear" w:color="auto" w:fill="FFFFFF"/>
          <w:lang w:val="en-IE"/>
        </w:rPr>
        <w:t>Bowoto</w:t>
      </w:r>
      <w:proofErr w:type="spellEnd"/>
      <w:r w:rsidRPr="006A43BB">
        <w:rPr>
          <w:rStyle w:val="None"/>
          <w:rFonts w:ascii="Times New Roman" w:eastAsia="Times New Roman" w:hAnsi="Times New Roman" w:cs="Times New Roman"/>
          <w:sz w:val="24"/>
          <w:szCs w:val="24"/>
          <w:shd w:val="clear" w:color="auto" w:fill="FFFFFF"/>
          <w:lang w:val="en-IE"/>
        </w:rPr>
        <w:t xml:space="preserve"> v. Chevron Texaco Corp [2004] 312 F. Supp. 2d 1229</w:t>
      </w:r>
    </w:p>
    <w:p w14:paraId="02AC4A93" w14:textId="77777777" w:rsidR="006322A8" w:rsidRPr="006322A8" w:rsidRDefault="006322A8" w:rsidP="006A43BB">
      <w:pPr>
        <w:pStyle w:val="BodyA"/>
        <w:spacing w:after="240"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Doe v. Unocal</w:t>
      </w:r>
      <w:r w:rsidRPr="006322A8">
        <w:rPr>
          <w:rStyle w:val="None"/>
          <w:rFonts w:ascii="Times New Roman" w:hAnsi="Times New Roman" w:cs="Times New Roman"/>
          <w:sz w:val="24"/>
          <w:szCs w:val="24"/>
          <w:shd w:val="clear" w:color="auto" w:fill="FFFFFF"/>
        </w:rPr>
        <w:t xml:space="preserve"> [2002] 395 F.3d 932</w:t>
      </w:r>
    </w:p>
    <w:p w14:paraId="1FC07BE2" w14:textId="4E757CCD" w:rsidR="006322A8" w:rsidRDefault="006322A8" w:rsidP="006322A8">
      <w:pPr>
        <w:pStyle w:val="BodyA"/>
        <w:spacing w:after="240" w:line="360" w:lineRule="auto"/>
        <w:jc w:val="both"/>
        <w:rPr>
          <w:rStyle w:val="None"/>
          <w:rFonts w:ascii="Times New Roman" w:hAnsi="Times New Roman" w:cs="Times New Roman"/>
          <w:sz w:val="24"/>
          <w:szCs w:val="24"/>
          <w:shd w:val="clear" w:color="auto" w:fill="FFFFFF"/>
        </w:rPr>
      </w:pPr>
      <w:r w:rsidRPr="0026392F">
        <w:rPr>
          <w:rStyle w:val="None"/>
          <w:rFonts w:ascii="Times New Roman" w:hAnsi="Times New Roman" w:cs="Times New Roman"/>
          <w:sz w:val="24"/>
          <w:szCs w:val="24"/>
          <w:shd w:val="clear" w:color="auto" w:fill="FFFFFF"/>
        </w:rPr>
        <w:t xml:space="preserve">Donoghue v Stevenson [26 May 1932] A.C. 562 </w:t>
      </w:r>
    </w:p>
    <w:p w14:paraId="0C41922D" w14:textId="07DD0ED7" w:rsidR="006322A8" w:rsidRDefault="006322A8" w:rsidP="006322A8">
      <w:pPr>
        <w:pStyle w:val="BodyA"/>
        <w:spacing w:after="240" w:line="360" w:lineRule="auto"/>
        <w:jc w:val="both"/>
        <w:rPr>
          <w:rStyle w:val="None"/>
          <w:rFonts w:ascii="Times New Roman" w:eastAsia="Times New Roman" w:hAnsi="Times New Roman" w:cs="Times New Roman"/>
          <w:sz w:val="24"/>
          <w:szCs w:val="24"/>
          <w:shd w:val="clear" w:color="auto" w:fill="FFFFFF"/>
        </w:rPr>
      </w:pPr>
      <w:r w:rsidRPr="006322A8">
        <w:rPr>
          <w:rStyle w:val="None"/>
          <w:rFonts w:ascii="Times New Roman" w:eastAsia="Times New Roman" w:hAnsi="Times New Roman" w:cs="Times New Roman"/>
          <w:sz w:val="24"/>
          <w:szCs w:val="24"/>
          <w:shd w:val="clear" w:color="auto" w:fill="FFFFFF"/>
        </w:rPr>
        <w:t>Flores v Southern Peru Popper [2002] 253 F. Supp. 510</w:t>
      </w:r>
    </w:p>
    <w:p w14:paraId="468EFFEF" w14:textId="58349825" w:rsidR="006568AE" w:rsidRPr="006F0653" w:rsidRDefault="006568AE" w:rsidP="006A43BB">
      <w:pPr>
        <w:pStyle w:val="BodyA"/>
        <w:spacing w:after="240" w:line="360" w:lineRule="auto"/>
        <w:jc w:val="both"/>
        <w:rPr>
          <w:rStyle w:val="None"/>
          <w:rFonts w:ascii="Times New Roman" w:eastAsia="Times New Roman" w:hAnsi="Times New Roman" w:cs="Times New Roman"/>
          <w:sz w:val="24"/>
          <w:szCs w:val="24"/>
          <w:shd w:val="clear" w:color="auto" w:fill="FFFFFF"/>
        </w:rPr>
      </w:pPr>
      <w:proofErr w:type="spellStart"/>
      <w:r w:rsidRPr="006F0653">
        <w:rPr>
          <w:rStyle w:val="None"/>
          <w:rFonts w:ascii="Times New Roman" w:eastAsia="Times New Roman" w:hAnsi="Times New Roman" w:cs="Times New Roman"/>
          <w:sz w:val="24"/>
          <w:szCs w:val="24"/>
          <w:shd w:val="clear" w:color="auto" w:fill="FFFFFF"/>
        </w:rPr>
        <w:lastRenderedPageBreak/>
        <w:t>Ilascu</w:t>
      </w:r>
      <w:proofErr w:type="spellEnd"/>
      <w:r w:rsidRPr="006F0653">
        <w:rPr>
          <w:rStyle w:val="None"/>
          <w:rFonts w:ascii="Times New Roman" w:eastAsia="Times New Roman" w:hAnsi="Times New Roman" w:cs="Times New Roman"/>
          <w:sz w:val="24"/>
          <w:szCs w:val="24"/>
          <w:shd w:val="clear" w:color="auto" w:fill="FFFFFF"/>
        </w:rPr>
        <w:t xml:space="preserve"> and others v Moldova and Russia [8 July 2000] Appl No. 4878/99</w:t>
      </w:r>
    </w:p>
    <w:p w14:paraId="73291AC8" w14:textId="7EFFAEF4" w:rsidR="003B207D" w:rsidRPr="006F0653" w:rsidRDefault="00C96635" w:rsidP="005A59E7">
      <w:pPr>
        <w:pStyle w:val="BodyA"/>
        <w:spacing w:line="360" w:lineRule="auto"/>
        <w:jc w:val="both"/>
        <w:rPr>
          <w:rStyle w:val="None"/>
          <w:rFonts w:ascii="Times New Roman" w:hAnsi="Times New Roman" w:cs="Times New Roman"/>
          <w:sz w:val="24"/>
          <w:szCs w:val="24"/>
          <w:shd w:val="clear" w:color="auto" w:fill="FFFFFF"/>
        </w:rPr>
      </w:pPr>
      <w:proofErr w:type="spellStart"/>
      <w:r w:rsidRPr="006F0653">
        <w:rPr>
          <w:rStyle w:val="None"/>
          <w:rFonts w:ascii="Times New Roman" w:hAnsi="Times New Roman" w:cs="Times New Roman"/>
          <w:sz w:val="24"/>
          <w:szCs w:val="24"/>
          <w:shd w:val="clear" w:color="auto" w:fill="FFFFFF"/>
        </w:rPr>
        <w:t>Kiobel</w:t>
      </w:r>
      <w:proofErr w:type="spellEnd"/>
      <w:r w:rsidRPr="006F0653">
        <w:rPr>
          <w:rStyle w:val="None"/>
          <w:rFonts w:ascii="Times New Roman" w:hAnsi="Times New Roman" w:cs="Times New Roman"/>
          <w:sz w:val="24"/>
          <w:szCs w:val="24"/>
          <w:shd w:val="clear" w:color="auto" w:fill="FFFFFF"/>
        </w:rPr>
        <w:t xml:space="preserve"> v Royal Dutch Petroleum Co and Shell Transport and Trading Company Plc, [17 September 2010] 133 S. Ct. 1659 </w:t>
      </w:r>
    </w:p>
    <w:p w14:paraId="31E7C14D" w14:textId="77777777" w:rsidR="003579C2" w:rsidRPr="006F0653" w:rsidRDefault="003579C2" w:rsidP="005A59E7">
      <w:pPr>
        <w:pStyle w:val="BodyA"/>
        <w:spacing w:line="360" w:lineRule="auto"/>
        <w:jc w:val="both"/>
        <w:rPr>
          <w:rStyle w:val="None"/>
          <w:rFonts w:ascii="Times New Roman" w:hAnsi="Times New Roman" w:cs="Times New Roman"/>
          <w:sz w:val="24"/>
          <w:szCs w:val="24"/>
          <w:shd w:val="clear" w:color="auto" w:fill="FFFFFF"/>
        </w:rPr>
      </w:pPr>
    </w:p>
    <w:p w14:paraId="08E88D70" w14:textId="22EF67CA" w:rsidR="00C11B48" w:rsidRPr="006F0653" w:rsidRDefault="003579C2" w:rsidP="005A59E7">
      <w:pPr>
        <w:pStyle w:val="BodyA"/>
        <w:spacing w:line="360" w:lineRule="auto"/>
        <w:jc w:val="both"/>
        <w:rPr>
          <w:rStyle w:val="None"/>
          <w:rFonts w:ascii="Times New Roman" w:hAnsi="Times New Roman" w:cs="Times New Roman"/>
          <w:sz w:val="24"/>
          <w:szCs w:val="24"/>
          <w:shd w:val="clear" w:color="auto" w:fill="FFFFFF"/>
        </w:rPr>
      </w:pPr>
      <w:proofErr w:type="spellStart"/>
      <w:r w:rsidRPr="006F0653">
        <w:rPr>
          <w:rStyle w:val="None"/>
          <w:rFonts w:ascii="Times New Roman" w:hAnsi="Times New Roman" w:cs="Times New Roman"/>
          <w:sz w:val="24"/>
          <w:szCs w:val="24"/>
          <w:shd w:val="clear" w:color="auto" w:fill="FFFFFF"/>
        </w:rPr>
        <w:t>Loizidou</w:t>
      </w:r>
      <w:proofErr w:type="spellEnd"/>
      <w:r w:rsidRPr="006F0653">
        <w:rPr>
          <w:rStyle w:val="None"/>
          <w:rFonts w:ascii="Times New Roman" w:hAnsi="Times New Roman" w:cs="Times New Roman"/>
          <w:sz w:val="24"/>
          <w:szCs w:val="24"/>
          <w:shd w:val="clear" w:color="auto" w:fill="FFFFFF"/>
        </w:rPr>
        <w:t xml:space="preserve"> v Turkey [1995] ECtHR 15318/89</w:t>
      </w:r>
    </w:p>
    <w:p w14:paraId="556D686E" w14:textId="77777777" w:rsidR="003579C2" w:rsidRPr="006F0653" w:rsidRDefault="003579C2" w:rsidP="005A59E7">
      <w:pPr>
        <w:pStyle w:val="BodyA"/>
        <w:spacing w:line="360" w:lineRule="auto"/>
        <w:jc w:val="both"/>
        <w:rPr>
          <w:rStyle w:val="None"/>
          <w:rFonts w:ascii="Times New Roman" w:hAnsi="Times New Roman" w:cs="Times New Roman"/>
          <w:sz w:val="24"/>
          <w:szCs w:val="24"/>
          <w:shd w:val="clear" w:color="auto" w:fill="FFFFFF"/>
        </w:rPr>
      </w:pPr>
    </w:p>
    <w:p w14:paraId="7395E928" w14:textId="49C3CC1E" w:rsidR="00793271" w:rsidRPr="006F0653" w:rsidRDefault="003579C2" w:rsidP="003579C2">
      <w:pPr>
        <w:pStyle w:val="BodyA"/>
        <w:spacing w:line="360" w:lineRule="auto"/>
        <w:jc w:val="both"/>
        <w:rPr>
          <w:rStyle w:val="None"/>
          <w:rFonts w:ascii="Times New Roman" w:eastAsia="Times New Roman" w:hAnsi="Times New Roman" w:cs="Times New Roman"/>
          <w:sz w:val="24"/>
          <w:szCs w:val="24"/>
          <w:shd w:val="clear" w:color="auto" w:fill="FFFFFF"/>
        </w:rPr>
      </w:pPr>
      <w:r w:rsidRPr="006F0653">
        <w:rPr>
          <w:rStyle w:val="None"/>
          <w:rFonts w:ascii="Times New Roman" w:eastAsia="Times New Roman" w:hAnsi="Times New Roman" w:cs="Times New Roman"/>
          <w:sz w:val="24"/>
          <w:szCs w:val="24"/>
          <w:shd w:val="clear" w:color="auto" w:fill="FFFFFF"/>
        </w:rPr>
        <w:t>Osman v United Kingdom [1998] 29 EHRR 245</w:t>
      </w:r>
    </w:p>
    <w:p w14:paraId="037A034B" w14:textId="7ADCFC41" w:rsidR="00793271" w:rsidRPr="006F0653" w:rsidRDefault="00793271" w:rsidP="003579C2">
      <w:pPr>
        <w:pStyle w:val="BodyA"/>
        <w:spacing w:line="360" w:lineRule="auto"/>
        <w:jc w:val="both"/>
        <w:rPr>
          <w:rStyle w:val="None"/>
          <w:rFonts w:ascii="Times New Roman" w:eastAsia="Times New Roman" w:hAnsi="Times New Roman" w:cs="Times New Roman"/>
          <w:sz w:val="24"/>
          <w:szCs w:val="24"/>
          <w:shd w:val="clear" w:color="auto" w:fill="FFFFFF"/>
        </w:rPr>
      </w:pPr>
    </w:p>
    <w:p w14:paraId="0AC649AB" w14:textId="6BB4DA46" w:rsidR="00793271" w:rsidRPr="006F0653" w:rsidRDefault="00793271" w:rsidP="003579C2">
      <w:pPr>
        <w:pStyle w:val="BodyA"/>
        <w:spacing w:line="360" w:lineRule="auto"/>
        <w:jc w:val="both"/>
        <w:rPr>
          <w:rStyle w:val="None"/>
          <w:rFonts w:ascii="Times New Roman" w:eastAsia="Times New Roman" w:hAnsi="Times New Roman" w:cs="Times New Roman"/>
          <w:sz w:val="24"/>
          <w:szCs w:val="24"/>
          <w:shd w:val="clear" w:color="auto" w:fill="FFFFFF"/>
          <w:lang w:val="fr-FR"/>
        </w:rPr>
      </w:pPr>
      <w:r w:rsidRPr="006F0653">
        <w:rPr>
          <w:rStyle w:val="None"/>
          <w:rFonts w:ascii="Times New Roman" w:eastAsia="Times New Roman" w:hAnsi="Times New Roman" w:cs="Times New Roman"/>
          <w:sz w:val="24"/>
          <w:szCs w:val="24"/>
          <w:shd w:val="clear" w:color="auto" w:fill="FFFFFF"/>
          <w:lang w:val="fr-FR"/>
        </w:rPr>
        <w:t>Sosa v. Alvarez-</w:t>
      </w:r>
      <w:proofErr w:type="spellStart"/>
      <w:r w:rsidRPr="006F0653">
        <w:rPr>
          <w:rStyle w:val="None"/>
          <w:rFonts w:ascii="Times New Roman" w:eastAsia="Times New Roman" w:hAnsi="Times New Roman" w:cs="Times New Roman"/>
          <w:sz w:val="24"/>
          <w:szCs w:val="24"/>
          <w:shd w:val="clear" w:color="auto" w:fill="FFFFFF"/>
          <w:lang w:val="fr-FR"/>
        </w:rPr>
        <w:t>Machain</w:t>
      </w:r>
      <w:proofErr w:type="spellEnd"/>
      <w:r w:rsidRPr="006F0653">
        <w:rPr>
          <w:rStyle w:val="None"/>
          <w:rFonts w:ascii="Times New Roman" w:eastAsia="Times New Roman" w:hAnsi="Times New Roman" w:cs="Times New Roman"/>
          <w:sz w:val="24"/>
          <w:szCs w:val="24"/>
          <w:shd w:val="clear" w:color="auto" w:fill="FFFFFF"/>
          <w:lang w:val="fr-FR"/>
        </w:rPr>
        <w:t xml:space="preserve"> [2004] 542 F. 692</w:t>
      </w:r>
    </w:p>
    <w:p w14:paraId="14269BDB" w14:textId="2835CDBE" w:rsidR="00793271" w:rsidRPr="006F0653" w:rsidRDefault="00793271" w:rsidP="003579C2">
      <w:pPr>
        <w:pStyle w:val="BodyA"/>
        <w:spacing w:line="360" w:lineRule="auto"/>
        <w:jc w:val="both"/>
        <w:rPr>
          <w:rStyle w:val="None"/>
          <w:rFonts w:ascii="Times New Roman" w:eastAsia="Times New Roman" w:hAnsi="Times New Roman" w:cs="Times New Roman"/>
          <w:sz w:val="24"/>
          <w:szCs w:val="24"/>
          <w:shd w:val="clear" w:color="auto" w:fill="FFFFFF"/>
          <w:lang w:val="fr-FR"/>
        </w:rPr>
      </w:pPr>
    </w:p>
    <w:p w14:paraId="3322B9CE" w14:textId="0303DABB" w:rsidR="00793271" w:rsidRPr="006F0653" w:rsidRDefault="00793271" w:rsidP="003579C2">
      <w:pPr>
        <w:pStyle w:val="BodyA"/>
        <w:spacing w:line="360" w:lineRule="auto"/>
        <w:jc w:val="both"/>
        <w:rPr>
          <w:rStyle w:val="None"/>
          <w:rFonts w:ascii="Times New Roman" w:eastAsia="Times New Roman" w:hAnsi="Times New Roman" w:cs="Times New Roman"/>
          <w:sz w:val="24"/>
          <w:szCs w:val="24"/>
          <w:shd w:val="clear" w:color="auto" w:fill="FFFFFF"/>
          <w:lang w:val="en-IE"/>
        </w:rPr>
      </w:pPr>
      <w:r w:rsidRPr="006F0653">
        <w:rPr>
          <w:rStyle w:val="None"/>
          <w:rFonts w:ascii="Times New Roman" w:eastAsia="Times New Roman" w:hAnsi="Times New Roman" w:cs="Times New Roman"/>
          <w:sz w:val="24"/>
          <w:szCs w:val="24"/>
          <w:shd w:val="clear" w:color="auto" w:fill="FFFFFF"/>
          <w:lang w:val="en-IE"/>
        </w:rPr>
        <w:t>The Presbyterian Church of Sudan v. Talisman Energy [2 October 2009] 582 F. 3d 244</w:t>
      </w:r>
    </w:p>
    <w:p w14:paraId="45EADB13" w14:textId="5DE34903" w:rsidR="006568AE" w:rsidRPr="006F0653" w:rsidRDefault="006568AE" w:rsidP="003579C2">
      <w:pPr>
        <w:pStyle w:val="BodyA"/>
        <w:spacing w:line="360" w:lineRule="auto"/>
        <w:jc w:val="both"/>
        <w:rPr>
          <w:rStyle w:val="None"/>
          <w:rFonts w:ascii="Times New Roman" w:eastAsia="Times New Roman" w:hAnsi="Times New Roman" w:cs="Times New Roman"/>
          <w:sz w:val="24"/>
          <w:szCs w:val="24"/>
          <w:shd w:val="clear" w:color="auto" w:fill="FFFFFF"/>
          <w:lang w:val="en-IE"/>
        </w:rPr>
      </w:pPr>
    </w:p>
    <w:p w14:paraId="7374D227" w14:textId="4412C199" w:rsidR="006568AE" w:rsidRPr="006F0653" w:rsidRDefault="006568AE" w:rsidP="006A43BB">
      <w:pPr>
        <w:pStyle w:val="BodyA"/>
        <w:spacing w:line="360" w:lineRule="auto"/>
        <w:jc w:val="both"/>
        <w:rPr>
          <w:rStyle w:val="None"/>
          <w:rFonts w:ascii="Times New Roman" w:eastAsia="Times New Roman" w:hAnsi="Times New Roman" w:cs="Times New Roman"/>
          <w:sz w:val="24"/>
          <w:szCs w:val="24"/>
          <w:shd w:val="clear" w:color="auto" w:fill="FFFFFF"/>
          <w:lang w:val="en-IE"/>
        </w:rPr>
      </w:pPr>
      <w:proofErr w:type="spellStart"/>
      <w:r w:rsidRPr="006F0653">
        <w:rPr>
          <w:rStyle w:val="None"/>
          <w:rFonts w:ascii="Times New Roman" w:eastAsia="Times New Roman" w:hAnsi="Times New Roman" w:cs="Times New Roman"/>
          <w:sz w:val="24"/>
          <w:szCs w:val="24"/>
          <w:shd w:val="clear" w:color="auto" w:fill="FFFFFF"/>
          <w:lang w:val="en-IE"/>
        </w:rPr>
        <w:t>Velásquez</w:t>
      </w:r>
      <w:proofErr w:type="spellEnd"/>
      <w:r w:rsidRPr="006F0653">
        <w:rPr>
          <w:rStyle w:val="None"/>
          <w:rFonts w:ascii="Times New Roman" w:eastAsia="Times New Roman" w:hAnsi="Times New Roman" w:cs="Times New Roman"/>
          <w:sz w:val="24"/>
          <w:szCs w:val="24"/>
          <w:shd w:val="clear" w:color="auto" w:fill="FFFFFF"/>
          <w:lang w:val="en-IE"/>
        </w:rPr>
        <w:t xml:space="preserve"> Rodríguez Case [29 July 1988] Inter-</w:t>
      </w:r>
      <w:proofErr w:type="spellStart"/>
      <w:r w:rsidRPr="006F0653">
        <w:rPr>
          <w:rStyle w:val="None"/>
          <w:rFonts w:ascii="Times New Roman" w:eastAsia="Times New Roman" w:hAnsi="Times New Roman" w:cs="Times New Roman"/>
          <w:sz w:val="24"/>
          <w:szCs w:val="24"/>
          <w:shd w:val="clear" w:color="auto" w:fill="FFFFFF"/>
          <w:lang w:val="en-IE"/>
        </w:rPr>
        <w:t>Am.Ct.H.R</w:t>
      </w:r>
      <w:proofErr w:type="spellEnd"/>
      <w:r w:rsidRPr="006F0653">
        <w:rPr>
          <w:rStyle w:val="None"/>
          <w:rFonts w:ascii="Times New Roman" w:eastAsia="Times New Roman" w:hAnsi="Times New Roman" w:cs="Times New Roman"/>
          <w:sz w:val="24"/>
          <w:szCs w:val="24"/>
          <w:shd w:val="clear" w:color="auto" w:fill="FFFFFF"/>
          <w:lang w:val="en-IE"/>
        </w:rPr>
        <w:t>. (Ser. C) No. 4</w:t>
      </w:r>
    </w:p>
    <w:p w14:paraId="73291ACB" w14:textId="77777777" w:rsidR="003B207D" w:rsidRPr="006F0653"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en-IE"/>
        </w:rPr>
      </w:pPr>
    </w:p>
    <w:p w14:paraId="73291AD5" w14:textId="3DFFE9A4" w:rsidR="003B207D" w:rsidRPr="006F0653"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proofErr w:type="spellStart"/>
      <w:r w:rsidRPr="006F0653">
        <w:rPr>
          <w:rStyle w:val="None"/>
          <w:rFonts w:ascii="Times New Roman" w:hAnsi="Times New Roman" w:cs="Times New Roman"/>
          <w:sz w:val="24"/>
          <w:szCs w:val="24"/>
          <w:shd w:val="clear" w:color="auto" w:fill="FFFFFF"/>
        </w:rPr>
        <w:t>Wiwa</w:t>
      </w:r>
      <w:proofErr w:type="spellEnd"/>
      <w:r w:rsidRPr="006F0653">
        <w:rPr>
          <w:rStyle w:val="None"/>
          <w:rFonts w:ascii="Times New Roman" w:hAnsi="Times New Roman" w:cs="Times New Roman"/>
          <w:sz w:val="24"/>
          <w:szCs w:val="24"/>
          <w:shd w:val="clear" w:color="auto" w:fill="FFFFFF"/>
        </w:rPr>
        <w:t xml:space="preserve"> v. Royal Dutch Petroleum Co [2000] 226 F.3d 88</w:t>
      </w:r>
    </w:p>
    <w:p w14:paraId="73291ADB" w14:textId="77777777" w:rsidR="003B207D" w:rsidRPr="006A43BB"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E7" w14:textId="77777777" w:rsidR="003B207D" w:rsidRPr="006A43BB"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b/>
          <w:bCs/>
          <w:sz w:val="24"/>
          <w:szCs w:val="24"/>
          <w:shd w:val="clear" w:color="auto" w:fill="FFFFFF"/>
        </w:rPr>
        <w:t>International Legal Instruments</w:t>
      </w:r>
      <w:r w:rsidRPr="006A43BB">
        <w:rPr>
          <w:rStyle w:val="None"/>
          <w:rFonts w:ascii="Times New Roman" w:hAnsi="Times New Roman" w:cs="Times New Roman"/>
          <w:sz w:val="24"/>
          <w:szCs w:val="24"/>
          <w:shd w:val="clear" w:color="auto" w:fill="FFFFFF"/>
        </w:rPr>
        <w:t xml:space="preserve"> </w:t>
      </w:r>
    </w:p>
    <w:p w14:paraId="73291AE8"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E9"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Charter of the United Nations, 1945</w:t>
      </w:r>
    </w:p>
    <w:p w14:paraId="73291AEA"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EB"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Universal Declaration of Human Rights, 1948</w:t>
      </w:r>
    </w:p>
    <w:p w14:paraId="73291AEC"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ED"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International Covenant on Economic, Social and Cultural Rights 1966</w:t>
      </w:r>
    </w:p>
    <w:p w14:paraId="73291AEE"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EF"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International Covenant on Civil and Political Rights 1966</w:t>
      </w:r>
    </w:p>
    <w:p w14:paraId="73291AF0"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F1"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OECD Guidelines for Multinational Enterprises, 2000</w:t>
      </w:r>
    </w:p>
    <w:p w14:paraId="73291AF2"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F3"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Tripartite Declaration of Principles Concerning Multinational Enterprises and Social Policy, 1977</w:t>
      </w:r>
    </w:p>
    <w:p w14:paraId="73291AF4"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F5"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Alien Tort Claims Act (ATCA) 1789</w:t>
      </w:r>
    </w:p>
    <w:p w14:paraId="73291AF6"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F7"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lastRenderedPageBreak/>
        <w:t>The Maastricht Guidelines on Violations of Economic, Social and Cultural Rights 1997</w:t>
      </w:r>
    </w:p>
    <w:p w14:paraId="73291AF8"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F9"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The United Nations Declaration on the Rights of Indigenous Peoples 2007</w:t>
      </w:r>
    </w:p>
    <w:p w14:paraId="73291AFA"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FB"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EU Commission Green Paper “Promoting a European framework for Corporate Social Responsibility”, 2001</w:t>
      </w:r>
    </w:p>
    <w:p w14:paraId="73291AFC"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FD"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UN ‘Final report on human rights and extreme poverty’ submitted by the Special Rapporteur, Leandro </w:t>
      </w:r>
      <w:proofErr w:type="spellStart"/>
      <w:r w:rsidRPr="006A43BB">
        <w:rPr>
          <w:rStyle w:val="None"/>
          <w:rFonts w:ascii="Times New Roman" w:hAnsi="Times New Roman" w:cs="Times New Roman"/>
          <w:sz w:val="24"/>
          <w:szCs w:val="24"/>
          <w:shd w:val="clear" w:color="auto" w:fill="FFFFFF"/>
        </w:rPr>
        <w:t>Despouy</w:t>
      </w:r>
      <w:proofErr w:type="spellEnd"/>
      <w:r w:rsidRPr="006A43BB">
        <w:rPr>
          <w:rStyle w:val="None"/>
          <w:rFonts w:ascii="Times New Roman" w:hAnsi="Times New Roman" w:cs="Times New Roman"/>
          <w:sz w:val="24"/>
          <w:szCs w:val="24"/>
          <w:shd w:val="clear" w:color="auto" w:fill="FFFFFF"/>
        </w:rPr>
        <w:t>, 28 June 1996, E/CN.4/Sub.2/1996/13</w:t>
      </w:r>
    </w:p>
    <w:p w14:paraId="73291AFE"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AFF"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UN Global Compact (United Nations Global Compact, 2015) &lt;https://www.unglobalcompact.org/what-is-gc/mission/principles&gt; accessed 20 March 2021.</w:t>
      </w:r>
    </w:p>
    <w:p w14:paraId="73291B00"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01"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UN GA, ‘Declaration on Principles of International Law Concerning Friendly</w:t>
      </w:r>
    </w:p>
    <w:p w14:paraId="73291B02"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Relations and Co-operation Among States in Accordance with the Charter of the United Nations’ 24 October 1970, A/8028 </w:t>
      </w:r>
    </w:p>
    <w:p w14:paraId="73291B03"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04"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UN CESCR General Comment No. 14 ‘The Right to the Highest Attainable Standard of Health’ 11 August 2000, UN Doc. E/C.12/2000/4</w:t>
      </w:r>
    </w:p>
    <w:p w14:paraId="73291B05"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06"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UN Economic and Social Council, ‘General comment No. 24 on State obligations under the International Covenant on Economic, Social and Cultural Rights in the context of business activities’ 2017, E/C.12/GC/24</w:t>
      </w:r>
    </w:p>
    <w:p w14:paraId="73291B07"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08"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UN ESCOR ‘Development and International Economic Co-operation: Transnational Corporations’ 1990, E/1990/94 </w:t>
      </w:r>
    </w:p>
    <w:p w14:paraId="73291B09"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0A"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UN GA ‘Reparation for injuries incurred in the service of the United Nations’1949, A/RES/365</w:t>
      </w:r>
    </w:p>
    <w:p w14:paraId="73291B0B"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0C"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UN  GA ‘Declaration on the Establishment of a new International Economic Order’ 1 May 1974,  A/Res/3201 </w:t>
      </w:r>
    </w:p>
    <w:p w14:paraId="73291B0D"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0E"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UN GA ‘Measures against corrupt practices of transnational and other corporations, their intermediaries and others involved’ 15 December 1975, A/RES/3514</w:t>
      </w:r>
    </w:p>
    <w:p w14:paraId="73291B0F"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10"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bookmarkStart w:id="22" w:name="_Hlk72604166"/>
      <w:r w:rsidRPr="006A43BB">
        <w:rPr>
          <w:rStyle w:val="None"/>
          <w:rFonts w:ascii="Times New Roman" w:hAnsi="Times New Roman" w:cs="Times New Roman"/>
          <w:sz w:val="24"/>
          <w:szCs w:val="24"/>
          <w:shd w:val="clear" w:color="auto" w:fill="FFFFFF"/>
        </w:rPr>
        <w:t>UN GA ‘Elaboration of an international legally binding instrument on transnational corporations and other business enterprises with respect to human rights’, 24 June 2014, A/HRC/26/L.22/Rev.1</w:t>
      </w:r>
      <w:bookmarkEnd w:id="22"/>
    </w:p>
    <w:p w14:paraId="73291B11"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12" w14:textId="77777777" w:rsidR="003B207D" w:rsidRPr="006A43BB"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UN ESC ‘Code of Conduct on Transnational Corporations’ 28 May 1987,  E/RES/1987/57</w:t>
      </w:r>
    </w:p>
    <w:p w14:paraId="73291B13" w14:textId="77777777" w:rsidR="003B207D" w:rsidRPr="006A43BB"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14"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UN Economic and Social Council ‘Norms on the responsibilities of transnational corporations and other business enterprises with regard to human rights’ 26 August 2003, E/CN.4/Sub.2/2003/12/Rev.2</w:t>
      </w:r>
    </w:p>
    <w:p w14:paraId="73291B15"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16"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UNHRC, ‘Elaboration of an international legally binding instrument on transnational corporations and other business enterprises with respect to human rights’ 14 July 2014 UN Doc A/HRC/RES/26/9.</w:t>
      </w:r>
    </w:p>
    <w:p w14:paraId="73291B17"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18"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UNHRC, ‘Report on the fourth session of the open-ended intergovernmental working group on transnational corporations and other business enterprises with respect to human rights’ 2 January 2019, UN Doc A/HRC/40/48</w:t>
      </w:r>
    </w:p>
    <w:p w14:paraId="73291B19"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1A"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UN High Commissioner for Human Rights ‘Report of the United Nations High Commissioner on Human Rights on the responsibilities of transnational corporations and related business enterprises with regard to human rights’ 15 Feb. 2005, E/CN.4/2005/91</w:t>
      </w:r>
    </w:p>
    <w:p w14:paraId="73291B1B"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1C"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UN CHR ‘Human Rights and Transnational Corporations and Other Business Enterprises’, 20 April 2005, E/CN.4/RES/2005/69</w:t>
      </w:r>
    </w:p>
    <w:p w14:paraId="73291B1D"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1E"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UN Committee on the Rights of Persons with Disabilities ‘Views Adopted by the Committee at its 9th Session  15 to 19 April 2013’ 2013, UN Doc CRPD/C/9/D/1/2010</w:t>
      </w:r>
    </w:p>
    <w:p w14:paraId="73291B1F"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20"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 xml:space="preserve"> UN Committee on the Rights of the Child, ‘Concluding Observations, Australia’ 2012, CRC/C/AUS/CO/4</w:t>
      </w:r>
    </w:p>
    <w:p w14:paraId="73291B21"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22"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bookmarkStart w:id="23" w:name="_Hlk68471312"/>
      <w:r w:rsidRPr="006A43BB">
        <w:rPr>
          <w:rStyle w:val="None"/>
          <w:rFonts w:ascii="Times New Roman" w:hAnsi="Times New Roman" w:cs="Times New Roman"/>
          <w:sz w:val="24"/>
          <w:szCs w:val="24"/>
          <w:shd w:val="clear" w:color="auto" w:fill="FFFFFF"/>
        </w:rPr>
        <w:t>UN CHR ‘Norms on the Responsibilities of Transnational Corporations and Other Business Enterprises with Regard to Human Rights’ 2003, E/CN.4/Sub.2/2003/12/Rev.2</w:t>
      </w:r>
      <w:bookmarkEnd w:id="23"/>
    </w:p>
    <w:p w14:paraId="73291B23"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24"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UNHRC, ‘General Comment No.31: The nature of the general legal obligation imposed on States Parties to the covenant’ 2004, UN Doc CCPR/C/21/Rev.1/Add.13</w:t>
      </w:r>
    </w:p>
    <w:p w14:paraId="73291B25"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26"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rPr>
      </w:pPr>
      <w:r w:rsidRPr="006A43BB">
        <w:rPr>
          <w:rStyle w:val="None"/>
          <w:rFonts w:ascii="Times New Roman" w:hAnsi="Times New Roman" w:cs="Times New Roman"/>
          <w:sz w:val="24"/>
          <w:szCs w:val="24"/>
          <w:shd w:val="clear" w:color="auto" w:fill="FFFFFF"/>
        </w:rPr>
        <w:t>OHCRC, ‘Report of the Special Representative of the Secretary-General on the Issue of human rights and  transnational corporations and other business enterprises’ 2007 UN Doc A/HRC/4/35/</w:t>
      </w:r>
    </w:p>
    <w:p w14:paraId="73291B27"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rPr>
      </w:pPr>
    </w:p>
    <w:p w14:paraId="73291B28" w14:textId="77777777" w:rsidR="003B207D" w:rsidRPr="005A59E7" w:rsidRDefault="00C96635" w:rsidP="006A43BB">
      <w:pPr>
        <w:pStyle w:val="BodyA"/>
        <w:spacing w:line="360" w:lineRule="auto"/>
        <w:jc w:val="both"/>
        <w:rPr>
          <w:rStyle w:val="None"/>
          <w:rFonts w:ascii="Times New Roman" w:eastAsia="Times New Roman" w:hAnsi="Times New Roman" w:cs="Times New Roman"/>
          <w:b/>
          <w:bCs/>
          <w:sz w:val="24"/>
          <w:szCs w:val="24"/>
          <w:shd w:val="clear" w:color="auto" w:fill="FFFFFF"/>
          <w:lang w:val="fr-FR"/>
        </w:rPr>
      </w:pPr>
      <w:r w:rsidRPr="006A43BB">
        <w:rPr>
          <w:rStyle w:val="None"/>
          <w:rFonts w:ascii="Times New Roman" w:hAnsi="Times New Roman" w:cs="Times New Roman"/>
          <w:b/>
          <w:bCs/>
          <w:sz w:val="24"/>
          <w:szCs w:val="24"/>
          <w:shd w:val="clear" w:color="auto" w:fill="FFFFFF"/>
          <w:lang w:val="fr-FR"/>
        </w:rPr>
        <w:t xml:space="preserve">Domestic </w:t>
      </w:r>
      <w:proofErr w:type="spellStart"/>
      <w:r w:rsidRPr="006A43BB">
        <w:rPr>
          <w:rStyle w:val="None"/>
          <w:rFonts w:ascii="Times New Roman" w:hAnsi="Times New Roman" w:cs="Times New Roman"/>
          <w:b/>
          <w:bCs/>
          <w:sz w:val="24"/>
          <w:szCs w:val="24"/>
          <w:shd w:val="clear" w:color="auto" w:fill="FFFFFF"/>
          <w:lang w:val="fr-FR"/>
        </w:rPr>
        <w:t>Legislation</w:t>
      </w:r>
      <w:proofErr w:type="spellEnd"/>
      <w:r w:rsidRPr="006A43BB">
        <w:rPr>
          <w:rStyle w:val="None"/>
          <w:rFonts w:ascii="Times New Roman" w:hAnsi="Times New Roman" w:cs="Times New Roman"/>
          <w:b/>
          <w:bCs/>
          <w:sz w:val="24"/>
          <w:szCs w:val="24"/>
          <w:shd w:val="clear" w:color="auto" w:fill="FFFFFF"/>
          <w:lang w:val="fr-FR"/>
        </w:rPr>
        <w:t xml:space="preserve"> </w:t>
      </w:r>
    </w:p>
    <w:p w14:paraId="73291B29"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fr-FR"/>
        </w:rPr>
      </w:pPr>
    </w:p>
    <w:p w14:paraId="73291B2A"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lang w:val="fr-FR"/>
        </w:rPr>
      </w:pPr>
      <w:r w:rsidRPr="006A43BB">
        <w:rPr>
          <w:rStyle w:val="None"/>
          <w:rFonts w:ascii="Times New Roman" w:hAnsi="Times New Roman" w:cs="Times New Roman"/>
          <w:sz w:val="24"/>
          <w:szCs w:val="24"/>
          <w:shd w:val="clear" w:color="auto" w:fill="FFFFFF"/>
          <w:lang w:val="fr-FR"/>
        </w:rPr>
        <w:t xml:space="preserve">French Code de Droit </w:t>
      </w:r>
      <w:proofErr w:type="spellStart"/>
      <w:r w:rsidRPr="006A43BB">
        <w:rPr>
          <w:rStyle w:val="None"/>
          <w:rFonts w:ascii="Times New Roman" w:hAnsi="Times New Roman" w:cs="Times New Roman"/>
          <w:sz w:val="24"/>
          <w:szCs w:val="24"/>
          <w:shd w:val="clear" w:color="auto" w:fill="FFFFFF"/>
          <w:lang w:val="fr-FR"/>
        </w:rPr>
        <w:t>Penal</w:t>
      </w:r>
      <w:proofErr w:type="spellEnd"/>
      <w:r w:rsidRPr="006A43BB">
        <w:rPr>
          <w:rStyle w:val="None"/>
          <w:rFonts w:ascii="Times New Roman" w:hAnsi="Times New Roman" w:cs="Times New Roman"/>
          <w:sz w:val="24"/>
          <w:szCs w:val="24"/>
          <w:shd w:val="clear" w:color="auto" w:fill="FFFFFF"/>
          <w:lang w:val="fr-FR"/>
        </w:rPr>
        <w:t xml:space="preserve"> 1994</w:t>
      </w:r>
    </w:p>
    <w:p w14:paraId="73291B2B"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fr-FR"/>
        </w:rPr>
      </w:pPr>
    </w:p>
    <w:p w14:paraId="73291B2C" w14:textId="77777777" w:rsidR="003B207D" w:rsidRPr="005A59E7" w:rsidRDefault="00C96635"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roofErr w:type="spellStart"/>
      <w:r w:rsidRPr="006A43BB">
        <w:rPr>
          <w:rStyle w:val="None"/>
          <w:rFonts w:ascii="Times New Roman" w:hAnsi="Times New Roman" w:cs="Times New Roman"/>
          <w:sz w:val="24"/>
          <w:szCs w:val="24"/>
          <w:shd w:val="clear" w:color="auto" w:fill="FFFFFF"/>
          <w:lang w:val="it-IT"/>
        </w:rPr>
        <w:t>Italian</w:t>
      </w:r>
      <w:proofErr w:type="spellEnd"/>
      <w:r w:rsidRPr="006A43BB">
        <w:rPr>
          <w:rStyle w:val="None"/>
          <w:rFonts w:ascii="Times New Roman" w:hAnsi="Times New Roman" w:cs="Times New Roman"/>
          <w:sz w:val="24"/>
          <w:szCs w:val="24"/>
          <w:shd w:val="clear" w:color="auto" w:fill="FFFFFF"/>
          <w:lang w:val="it-IT"/>
        </w:rPr>
        <w:t xml:space="preserve"> Code di Diritti Penale 1930</w:t>
      </w:r>
    </w:p>
    <w:p w14:paraId="73291B2D"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73291B2E"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73291B2F"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73291B30"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73291B31"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73291B32"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73291B33"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73291B34"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73291B35"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73291B36"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73291B37"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73291B38"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73291B39" w14:textId="77777777" w:rsidR="003B207D" w:rsidRPr="005A59E7"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73291B3A" w14:textId="7FDF3E35" w:rsidR="003B207D" w:rsidRDefault="003B207D"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32627F40" w14:textId="07B887CE" w:rsidR="006F0653" w:rsidRDefault="006F0653"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4D3E9D3C" w14:textId="7622F7DC" w:rsidR="006F0653" w:rsidRDefault="006F0653"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368BB6CC" w14:textId="77777777" w:rsidR="006F0653" w:rsidRPr="005A59E7" w:rsidRDefault="006F0653"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2D835413" w14:textId="223D2343" w:rsidR="006568AE" w:rsidRDefault="006568AE">
      <w:pPr>
        <w:pStyle w:val="BodyA"/>
        <w:jc w:val="both"/>
        <w:rPr>
          <w:rStyle w:val="None"/>
          <w:rFonts w:ascii="Times New Roman" w:hAnsi="Times New Roman"/>
          <w:b/>
          <w:bCs/>
          <w:sz w:val="24"/>
          <w:szCs w:val="24"/>
          <w:shd w:val="clear" w:color="auto" w:fill="FFFFFF"/>
          <w:lang w:val="it-IT"/>
        </w:rPr>
      </w:pPr>
    </w:p>
    <w:p w14:paraId="1E7E8A53" w14:textId="778D427A" w:rsidR="006568AE" w:rsidRDefault="006568AE">
      <w:pPr>
        <w:pStyle w:val="BodyA"/>
        <w:jc w:val="both"/>
        <w:rPr>
          <w:rStyle w:val="None"/>
          <w:rFonts w:ascii="Times New Roman" w:hAnsi="Times New Roman"/>
          <w:b/>
          <w:bCs/>
          <w:sz w:val="24"/>
          <w:szCs w:val="24"/>
          <w:shd w:val="clear" w:color="auto" w:fill="FFFFFF"/>
          <w:lang w:val="it-IT"/>
        </w:rPr>
      </w:pPr>
    </w:p>
    <w:p w14:paraId="013C4899" w14:textId="77777777" w:rsidR="006568AE" w:rsidRDefault="006568AE">
      <w:pPr>
        <w:pStyle w:val="BodyA"/>
        <w:jc w:val="both"/>
        <w:rPr>
          <w:rStyle w:val="None"/>
          <w:rFonts w:ascii="Times New Roman" w:hAnsi="Times New Roman"/>
          <w:b/>
          <w:bCs/>
          <w:sz w:val="24"/>
          <w:szCs w:val="24"/>
          <w:shd w:val="clear" w:color="auto" w:fill="FFFFFF"/>
          <w:lang w:val="it-IT"/>
        </w:rPr>
      </w:pPr>
    </w:p>
    <w:p w14:paraId="19B08182" w14:textId="77777777" w:rsidR="005A59E7" w:rsidRPr="005A59E7" w:rsidRDefault="005A59E7" w:rsidP="006A43BB">
      <w:pPr>
        <w:pStyle w:val="BodyA"/>
        <w:spacing w:line="360" w:lineRule="auto"/>
        <w:jc w:val="both"/>
        <w:rPr>
          <w:rStyle w:val="None"/>
          <w:rFonts w:ascii="Times New Roman" w:eastAsia="Times New Roman" w:hAnsi="Times New Roman" w:cs="Times New Roman"/>
          <w:sz w:val="24"/>
          <w:szCs w:val="24"/>
          <w:shd w:val="clear" w:color="auto" w:fill="FFFFFF"/>
          <w:lang w:val="it-IT"/>
        </w:rPr>
      </w:pPr>
    </w:p>
    <w:p w14:paraId="73291B4A" w14:textId="741B85A3" w:rsidR="003B207D" w:rsidRPr="006A43BB" w:rsidRDefault="00205227">
      <w:pPr>
        <w:pStyle w:val="BodyA"/>
        <w:jc w:val="both"/>
        <w:rPr>
          <w:rStyle w:val="None"/>
          <w:rFonts w:ascii="Times New Roman" w:hAnsi="Times New Roman"/>
          <w:b/>
          <w:bCs/>
          <w:sz w:val="24"/>
          <w:szCs w:val="24"/>
          <w:shd w:val="clear" w:color="auto" w:fill="FFFFFF"/>
          <w:lang w:val="en-IE"/>
        </w:rPr>
      </w:pPr>
      <w:r w:rsidRPr="006A43BB">
        <w:rPr>
          <w:rStyle w:val="None"/>
          <w:rFonts w:ascii="Times New Roman" w:hAnsi="Times New Roman"/>
          <w:b/>
          <w:bCs/>
          <w:sz w:val="24"/>
          <w:szCs w:val="24"/>
          <w:shd w:val="clear" w:color="auto" w:fill="FFFFFF"/>
          <w:lang w:val="en-IE"/>
        </w:rPr>
        <w:lastRenderedPageBreak/>
        <w:t xml:space="preserve">Appendix I Analyses of Regulation  </w:t>
      </w:r>
    </w:p>
    <w:p w14:paraId="32BD4D59" w14:textId="7D653AF3" w:rsidR="005A59E7" w:rsidRPr="006A43BB" w:rsidRDefault="005A59E7">
      <w:pPr>
        <w:pStyle w:val="BodyA"/>
        <w:jc w:val="both"/>
        <w:rPr>
          <w:rStyle w:val="None"/>
          <w:rFonts w:ascii="Times New Roman" w:hAnsi="Times New Roman"/>
          <w:b/>
          <w:bCs/>
          <w:sz w:val="24"/>
          <w:szCs w:val="24"/>
          <w:shd w:val="clear" w:color="auto" w:fill="FFFFFF"/>
          <w:lang w:val="en-IE"/>
        </w:rPr>
      </w:pPr>
    </w:p>
    <w:p w14:paraId="2F9378F6" w14:textId="77777777" w:rsidR="00205227" w:rsidRPr="006A43BB" w:rsidRDefault="00205227">
      <w:pPr>
        <w:pStyle w:val="BodyA"/>
        <w:jc w:val="both"/>
        <w:rPr>
          <w:rStyle w:val="None"/>
          <w:rFonts w:ascii="Times New Roman" w:hAnsi="Times New Roman"/>
          <w:b/>
          <w:bCs/>
          <w:sz w:val="24"/>
          <w:szCs w:val="24"/>
          <w:shd w:val="clear" w:color="auto" w:fill="FFFFFF"/>
          <w:lang w:val="en-IE"/>
        </w:rPr>
      </w:pPr>
    </w:p>
    <w:tbl>
      <w:tblPr>
        <w:tblW w:w="9026" w:type="dxa"/>
        <w:tblInd w:w="32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2503"/>
        <w:gridCol w:w="1994"/>
        <w:gridCol w:w="4529"/>
      </w:tblGrid>
      <w:tr w:rsidR="005A59E7" w14:paraId="0DDC4D24" w14:textId="77777777" w:rsidTr="0026392F">
        <w:trPr>
          <w:trHeight w:val="650"/>
        </w:trPr>
        <w:tc>
          <w:tcPr>
            <w:tcW w:w="2503" w:type="dxa"/>
            <w:tcBorders>
              <w:top w:val="single" w:sz="8" w:space="0" w:color="000000"/>
              <w:left w:val="single" w:sz="8" w:space="0" w:color="000000"/>
              <w:bottom w:val="single" w:sz="8" w:space="0" w:color="000000"/>
              <w:right w:val="single" w:sz="8" w:space="0" w:color="000000"/>
            </w:tcBorders>
            <w:shd w:val="clear" w:color="auto" w:fill="B8CCE4"/>
            <w:tcMar>
              <w:top w:w="80" w:type="dxa"/>
              <w:left w:w="80" w:type="dxa"/>
              <w:bottom w:w="80" w:type="dxa"/>
              <w:right w:w="80" w:type="dxa"/>
            </w:tcMar>
          </w:tcPr>
          <w:p w14:paraId="1BAC0950" w14:textId="77777777" w:rsidR="005A59E7" w:rsidRDefault="005A59E7" w:rsidP="0026392F">
            <w:pPr>
              <w:pStyle w:val="Body"/>
            </w:pPr>
            <w:r>
              <w:rPr>
                <w:rStyle w:val="None"/>
                <w:b/>
                <w:bCs/>
                <w:lang w:val="en-US"/>
                <w14:textOutline w14:w="12700" w14:cap="flat" w14:cmpd="sng" w14:algn="ctr">
                  <w14:noFill/>
                  <w14:prstDash w14:val="solid"/>
                  <w14:miter w14:lim="400000"/>
                </w14:textOutline>
              </w:rPr>
              <w:t>Regulatory dilemmas </w:t>
            </w:r>
          </w:p>
        </w:tc>
        <w:tc>
          <w:tcPr>
            <w:tcW w:w="1994" w:type="dxa"/>
            <w:tcBorders>
              <w:top w:val="single" w:sz="8" w:space="0" w:color="000000"/>
              <w:left w:val="single" w:sz="8" w:space="0" w:color="000000"/>
              <w:bottom w:val="single" w:sz="8" w:space="0" w:color="000000"/>
              <w:right w:val="single" w:sz="8" w:space="0" w:color="000000"/>
            </w:tcBorders>
            <w:shd w:val="clear" w:color="auto" w:fill="B8CCE4"/>
            <w:tcMar>
              <w:top w:w="80" w:type="dxa"/>
              <w:left w:w="80" w:type="dxa"/>
              <w:bottom w:w="80" w:type="dxa"/>
              <w:right w:w="80" w:type="dxa"/>
            </w:tcMar>
          </w:tcPr>
          <w:p w14:paraId="31EDFFE1" w14:textId="77777777" w:rsidR="005A59E7" w:rsidRDefault="005A59E7" w:rsidP="0026392F">
            <w:pPr>
              <w:pStyle w:val="Body"/>
            </w:pPr>
            <w:r>
              <w:rPr>
                <w:rStyle w:val="None"/>
                <w:b/>
                <w:bCs/>
                <w:lang w:val="en-US"/>
                <w14:textOutline w14:w="12700" w14:cap="flat" w14:cmpd="sng" w14:algn="ctr">
                  <w14:noFill/>
                  <w14:prstDash w14:val="solid"/>
                  <w14:miter w14:lim="400000"/>
                </w14:textOutline>
              </w:rPr>
              <w:t>Differentiating variables </w:t>
            </w:r>
          </w:p>
        </w:tc>
        <w:tc>
          <w:tcPr>
            <w:tcW w:w="4529" w:type="dxa"/>
            <w:tcBorders>
              <w:top w:val="single" w:sz="8" w:space="0" w:color="000000"/>
              <w:left w:val="single" w:sz="8" w:space="0" w:color="000000"/>
              <w:bottom w:val="single" w:sz="8" w:space="0" w:color="000000"/>
              <w:right w:val="single" w:sz="8" w:space="0" w:color="000000"/>
            </w:tcBorders>
            <w:shd w:val="clear" w:color="auto" w:fill="B8CCE4"/>
            <w:tcMar>
              <w:top w:w="80" w:type="dxa"/>
              <w:left w:w="80" w:type="dxa"/>
              <w:bottom w:w="80" w:type="dxa"/>
              <w:right w:w="80" w:type="dxa"/>
            </w:tcMar>
          </w:tcPr>
          <w:p w14:paraId="127E2EF6" w14:textId="77777777" w:rsidR="005A59E7" w:rsidRDefault="005A59E7" w:rsidP="0026392F">
            <w:pPr>
              <w:pStyle w:val="Body"/>
            </w:pPr>
            <w:r>
              <w:rPr>
                <w:rStyle w:val="None"/>
                <w:b/>
                <w:bCs/>
                <w:lang w:val="en-US"/>
                <w14:textOutline w14:w="12700" w14:cap="flat" w14:cmpd="sng" w14:algn="ctr">
                  <w14:noFill/>
                  <w14:prstDash w14:val="solid"/>
                  <w14:miter w14:lim="400000"/>
                </w14:textOutline>
              </w:rPr>
              <w:t>Analytical objective served </w:t>
            </w:r>
          </w:p>
        </w:tc>
      </w:tr>
      <w:tr w:rsidR="005A59E7" w14:paraId="4571B80A" w14:textId="77777777" w:rsidTr="0026392F">
        <w:trPr>
          <w:trHeight w:val="1250"/>
        </w:trPr>
        <w:tc>
          <w:tcPr>
            <w:tcW w:w="2503"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57881347" w14:textId="77777777" w:rsidR="005A59E7" w:rsidRDefault="005A59E7" w:rsidP="0026392F">
            <w:pPr>
              <w:pStyle w:val="Body"/>
            </w:pPr>
            <w:r>
              <w:rPr>
                <w:rStyle w:val="None"/>
                <w:lang w:val="en-US"/>
                <w14:textOutline w14:w="12700" w14:cap="flat" w14:cmpd="sng" w14:algn="ctr">
                  <w14:noFill/>
                  <w14:prstDash w14:val="solid"/>
                  <w14:miter w14:lim="400000"/>
                </w14:textOutline>
              </w:rPr>
              <w:t>Who should regulate</w:t>
            </w:r>
          </w:p>
        </w:tc>
        <w:tc>
          <w:tcPr>
            <w:tcW w:w="199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A586349" w14:textId="77777777" w:rsidR="005A59E7" w:rsidRDefault="005A59E7" w:rsidP="0026392F">
            <w:pPr>
              <w:pStyle w:val="Body"/>
            </w:pPr>
            <w:r>
              <w:rPr>
                <w:rStyle w:val="None"/>
                <w:lang w:val="en-US"/>
                <w14:textOutline w14:w="12700" w14:cap="flat" w14:cmpd="sng" w14:algn="ctr">
                  <w14:noFill/>
                  <w14:prstDash w14:val="solid"/>
                  <w14:miter w14:lim="400000"/>
                </w14:textOutline>
              </w:rPr>
              <w:t>Source </w:t>
            </w:r>
          </w:p>
        </w:tc>
        <w:tc>
          <w:tcPr>
            <w:tcW w:w="452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4BE5AEDA" w14:textId="77777777" w:rsidR="005A59E7" w:rsidRDefault="005A59E7" w:rsidP="0026392F">
            <w:pPr>
              <w:pStyle w:val="Body"/>
            </w:pPr>
            <w:r>
              <w:rPr>
                <w:rStyle w:val="None"/>
                <w:lang w:val="en-US"/>
                <w14:textOutline w14:w="12700" w14:cap="flat" w14:cmpd="sng" w14:algn="ctr">
                  <w14:noFill/>
                  <w14:prstDash w14:val="solid"/>
                  <w14:miter w14:lim="400000"/>
                </w14:textOutline>
              </w:rPr>
              <w:t>Measuring the gap between corporate commitments and the expectations of stakeholders; judging the integrity of regulatory actors.</w:t>
            </w:r>
          </w:p>
        </w:tc>
      </w:tr>
      <w:tr w:rsidR="005A59E7" w14:paraId="48ECF949" w14:textId="77777777" w:rsidTr="0026392F">
        <w:trPr>
          <w:trHeight w:val="950"/>
        </w:trPr>
        <w:tc>
          <w:tcPr>
            <w:tcW w:w="2503"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36AE1F1E" w14:textId="77777777" w:rsidR="005A59E7" w:rsidRDefault="005A59E7" w:rsidP="0026392F">
            <w:pPr>
              <w:pStyle w:val="Body"/>
            </w:pPr>
            <w:r>
              <w:rPr>
                <w:rStyle w:val="None"/>
                <w:lang w:val="en-US"/>
                <w14:textOutline w14:w="12700" w14:cap="flat" w14:cmpd="sng" w14:algn="ctr">
                  <w14:noFill/>
                  <w14:prstDash w14:val="solid"/>
                  <w14:miter w14:lim="400000"/>
                </w14:textOutline>
              </w:rPr>
              <w:t>Subjects of regulation</w:t>
            </w:r>
          </w:p>
        </w:tc>
        <w:tc>
          <w:tcPr>
            <w:tcW w:w="199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50EC8050" w14:textId="77777777" w:rsidR="005A59E7" w:rsidRDefault="005A59E7" w:rsidP="0026392F">
            <w:pPr>
              <w:pStyle w:val="Body"/>
            </w:pPr>
            <w:r>
              <w:rPr>
                <w:rStyle w:val="None"/>
                <w:lang w:val="en-US"/>
                <w14:textOutline w14:w="12700" w14:cap="flat" w14:cmpd="sng" w14:algn="ctr">
                  <w14:noFill/>
                  <w14:prstDash w14:val="solid"/>
                  <w14:miter w14:lim="400000"/>
                </w14:textOutline>
              </w:rPr>
              <w:t>Content</w:t>
            </w:r>
          </w:p>
        </w:tc>
        <w:tc>
          <w:tcPr>
            <w:tcW w:w="452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C0362AB" w14:textId="77777777" w:rsidR="005A59E7" w:rsidRDefault="005A59E7" w:rsidP="0026392F">
            <w:pPr>
              <w:pStyle w:val="Body"/>
            </w:pPr>
            <w:r>
              <w:rPr>
                <w:rStyle w:val="None"/>
                <w:lang w:val="en-US"/>
                <w14:textOutline w14:w="12700" w14:cap="flat" w14:cmpd="sng" w14:algn="ctr">
                  <w14:noFill/>
                  <w14:prstDash w14:val="solid"/>
                  <w14:miter w14:lim="400000"/>
                </w14:textOutline>
              </w:rPr>
              <w:t>Evaluating the amplitude and strength of human rights protection afforded by a regulatory initiative.</w:t>
            </w:r>
          </w:p>
        </w:tc>
      </w:tr>
      <w:tr w:rsidR="005A59E7" w14:paraId="5EFE152B" w14:textId="77777777" w:rsidTr="0026392F">
        <w:trPr>
          <w:trHeight w:val="1210"/>
        </w:trPr>
        <w:tc>
          <w:tcPr>
            <w:tcW w:w="2503"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46244414" w14:textId="77777777" w:rsidR="005A59E7" w:rsidRDefault="005A59E7" w:rsidP="0026392F">
            <w:pPr>
              <w:pStyle w:val="Body"/>
            </w:pPr>
            <w:r>
              <w:rPr>
                <w:rStyle w:val="None"/>
                <w:lang w:val="en-US"/>
                <w14:textOutline w14:w="12700" w14:cap="flat" w14:cmpd="sng" w14:algn="ctr">
                  <w14:noFill/>
                  <w14:prstDash w14:val="solid"/>
                  <w14:miter w14:lim="400000"/>
                </w14:textOutline>
              </w:rPr>
              <w:t>Which corporation of a corporate group is to be regulated </w:t>
            </w:r>
          </w:p>
        </w:tc>
        <w:tc>
          <w:tcPr>
            <w:tcW w:w="199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85495F1" w14:textId="77777777" w:rsidR="005A59E7" w:rsidRDefault="005A59E7" w:rsidP="0026392F">
            <w:pPr>
              <w:pStyle w:val="Body"/>
            </w:pPr>
            <w:r>
              <w:rPr>
                <w:rStyle w:val="None"/>
                <w:lang w:val="en-US"/>
                <w14:textOutline w14:w="12700" w14:cap="flat" w14:cmpd="sng" w14:algn="ctr">
                  <w14:noFill/>
                  <w14:prstDash w14:val="solid"/>
                  <w14:miter w14:lim="400000"/>
                </w14:textOutline>
              </w:rPr>
              <w:t>Targeting approach</w:t>
            </w:r>
          </w:p>
        </w:tc>
        <w:tc>
          <w:tcPr>
            <w:tcW w:w="452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60094738" w14:textId="77777777" w:rsidR="005A59E7" w:rsidRDefault="005A59E7" w:rsidP="0026392F">
            <w:pPr>
              <w:pStyle w:val="Body"/>
            </w:pPr>
            <w:proofErr w:type="spellStart"/>
            <w:r>
              <w:rPr>
                <w:rStyle w:val="None"/>
                <w:lang w:val="en-US"/>
                <w14:textOutline w14:w="12700" w14:cap="flat" w14:cmpd="sng" w14:algn="ctr">
                  <w14:noFill/>
                  <w14:prstDash w14:val="solid"/>
                  <w14:miter w14:lim="400000"/>
                </w14:textOutline>
              </w:rPr>
              <w:t>Analysing</w:t>
            </w:r>
            <w:proofErr w:type="spellEnd"/>
            <w:r>
              <w:rPr>
                <w:rStyle w:val="None"/>
                <w:lang w:val="en-US"/>
                <w14:textOutline w14:w="12700" w14:cap="flat" w14:cmpd="sng" w14:algn="ctr">
                  <w14:noFill/>
                  <w14:prstDash w14:val="solid"/>
                  <w14:miter w14:lim="400000"/>
                </w14:textOutline>
              </w:rPr>
              <w:t xml:space="preserve"> the efficacy of relying on the entity versus enterprise principles; assessing the limits of state-</w:t>
            </w:r>
            <w:proofErr w:type="spellStart"/>
            <w:r>
              <w:rPr>
                <w:rStyle w:val="None"/>
                <w:lang w:val="en-US"/>
                <w14:textOutline w14:w="12700" w14:cap="flat" w14:cmpd="sng" w14:algn="ctr">
                  <w14:noFill/>
                  <w14:prstDash w14:val="solid"/>
                  <w14:miter w14:lim="400000"/>
                </w14:textOutline>
              </w:rPr>
              <w:t>centred</w:t>
            </w:r>
            <w:proofErr w:type="spellEnd"/>
            <w:r>
              <w:rPr>
                <w:rStyle w:val="None"/>
                <w:lang w:val="en-US"/>
                <w14:textOutline w14:w="12700" w14:cap="flat" w14:cmpd="sng" w14:algn="ctr">
                  <w14:noFill/>
                  <w14:prstDash w14:val="solid"/>
                  <w14:miter w14:lim="400000"/>
                </w14:textOutline>
              </w:rPr>
              <w:t xml:space="preserve"> enforcement.</w:t>
            </w:r>
          </w:p>
        </w:tc>
      </w:tr>
      <w:tr w:rsidR="005A59E7" w14:paraId="2D52521C" w14:textId="77777777" w:rsidTr="0026392F">
        <w:trPr>
          <w:trHeight w:val="650"/>
        </w:trPr>
        <w:tc>
          <w:tcPr>
            <w:tcW w:w="2503"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547F0D0E" w14:textId="77777777" w:rsidR="005A59E7" w:rsidRDefault="005A59E7" w:rsidP="0026392F">
            <w:pPr>
              <w:pStyle w:val="Body"/>
            </w:pPr>
            <w:r>
              <w:rPr>
                <w:rStyle w:val="None"/>
                <w:lang w:val="en-US"/>
                <w14:textOutline w14:w="12700" w14:cap="flat" w14:cmpd="sng" w14:algn="ctr">
                  <w14:noFill/>
                  <w14:prstDash w14:val="solid"/>
                  <w14:miter w14:lim="400000"/>
                </w14:textOutline>
              </w:rPr>
              <w:t>Place for regulation</w:t>
            </w:r>
          </w:p>
        </w:tc>
        <w:tc>
          <w:tcPr>
            <w:tcW w:w="199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2924A449" w14:textId="77777777" w:rsidR="005A59E7" w:rsidRDefault="005A59E7" w:rsidP="0026392F">
            <w:pPr>
              <w:pStyle w:val="Body"/>
            </w:pPr>
            <w:r>
              <w:rPr>
                <w:rStyle w:val="None"/>
                <w:lang w:val="en-US"/>
                <w14:textOutline w14:w="12700" w14:cap="flat" w14:cmpd="sng" w14:algn="ctr">
                  <w14:noFill/>
                  <w14:prstDash w14:val="solid"/>
                  <w14:miter w14:lim="400000"/>
                </w14:textOutline>
              </w:rPr>
              <w:t>Level of operation </w:t>
            </w:r>
          </w:p>
        </w:tc>
        <w:tc>
          <w:tcPr>
            <w:tcW w:w="452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7DBF41F5" w14:textId="77777777" w:rsidR="005A59E7" w:rsidRDefault="005A59E7" w:rsidP="0026392F">
            <w:pPr>
              <w:pStyle w:val="Body"/>
            </w:pPr>
            <w:r>
              <w:rPr>
                <w:rStyle w:val="None"/>
                <w:lang w:val="en-US"/>
                <w14:textOutline w14:w="12700" w14:cap="flat" w14:cmpd="sng" w14:algn="ctr">
                  <w14:noFill/>
                  <w14:prstDash w14:val="solid"/>
                  <w14:miter w14:lim="400000"/>
                </w14:textOutline>
              </w:rPr>
              <w:t>Identifying the limitations and advantages of regularity initiatives at different levels. </w:t>
            </w:r>
          </w:p>
        </w:tc>
      </w:tr>
      <w:tr w:rsidR="005A59E7" w14:paraId="234122D7" w14:textId="77777777" w:rsidTr="0026392F">
        <w:trPr>
          <w:trHeight w:val="950"/>
        </w:trPr>
        <w:tc>
          <w:tcPr>
            <w:tcW w:w="2503"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4A24CA9F" w14:textId="77777777" w:rsidR="005A59E7" w:rsidRDefault="005A59E7" w:rsidP="0026392F">
            <w:pPr>
              <w:pStyle w:val="Body"/>
            </w:pPr>
            <w:r>
              <w:rPr>
                <w:rStyle w:val="None"/>
                <w:lang w:val="en-US"/>
                <w14:textOutline w14:w="12700" w14:cap="flat" w14:cmpd="sng" w14:algn="ctr">
                  <w14:noFill/>
                  <w14:prstDash w14:val="solid"/>
                  <w14:miter w14:lim="400000"/>
                </w14:textOutline>
              </w:rPr>
              <w:t xml:space="preserve">Support for regulation </w:t>
            </w:r>
          </w:p>
        </w:tc>
        <w:tc>
          <w:tcPr>
            <w:tcW w:w="1994"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007E166C" w14:textId="77777777" w:rsidR="005A59E7" w:rsidRDefault="005A59E7" w:rsidP="0026392F">
            <w:pPr>
              <w:pStyle w:val="Body"/>
            </w:pPr>
            <w:r>
              <w:rPr>
                <w:rStyle w:val="None"/>
                <w:lang w:val="en-US"/>
                <w14:textOutline w14:w="12700" w14:cap="flat" w14:cmpd="sng" w14:algn="ctr">
                  <w14:noFill/>
                  <w14:prstDash w14:val="solid"/>
                  <w14:miter w14:lim="400000"/>
                </w14:textOutline>
              </w:rPr>
              <w:t>Nature </w:t>
            </w:r>
          </w:p>
        </w:tc>
        <w:tc>
          <w:tcPr>
            <w:tcW w:w="4529"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002EECDA" w14:textId="77777777" w:rsidR="005A59E7" w:rsidRDefault="005A59E7" w:rsidP="0026392F">
            <w:pPr>
              <w:pStyle w:val="Body"/>
            </w:pPr>
            <w:r>
              <w:rPr>
                <w:rStyle w:val="None"/>
                <w:lang w:val="en-US"/>
                <w14:textOutline w14:w="12700" w14:cap="flat" w14:cmpd="sng" w14:algn="ctr">
                  <w14:noFill/>
                  <w14:prstDash w14:val="solid"/>
                  <w14:miter w14:lim="400000"/>
                </w14:textOutline>
              </w:rPr>
              <w:t>Understanding the relative viability and efficacy of compliance strategies as well as various types of sanctions. </w:t>
            </w:r>
          </w:p>
        </w:tc>
      </w:tr>
    </w:tbl>
    <w:p w14:paraId="624E0D5C" w14:textId="67406821" w:rsidR="005A59E7" w:rsidRDefault="005A59E7">
      <w:pPr>
        <w:pStyle w:val="BodyA"/>
        <w:jc w:val="both"/>
      </w:pPr>
    </w:p>
    <w:p w14:paraId="2CE798C6" w14:textId="4BDCB527" w:rsidR="00A505E2" w:rsidRDefault="00A505E2">
      <w:pPr>
        <w:pStyle w:val="BodyA"/>
        <w:jc w:val="both"/>
      </w:pPr>
    </w:p>
    <w:p w14:paraId="6D1E6F1C" w14:textId="43996C20" w:rsidR="00A505E2" w:rsidRDefault="00A505E2">
      <w:pPr>
        <w:pStyle w:val="BodyA"/>
        <w:jc w:val="both"/>
      </w:pPr>
    </w:p>
    <w:p w14:paraId="6FD5D147" w14:textId="78CA7FD5" w:rsidR="00A505E2" w:rsidRDefault="00A505E2">
      <w:pPr>
        <w:pStyle w:val="BodyA"/>
        <w:jc w:val="both"/>
      </w:pPr>
    </w:p>
    <w:p w14:paraId="0B971614" w14:textId="3E36AEF2" w:rsidR="00A505E2" w:rsidRDefault="00A505E2">
      <w:pPr>
        <w:pStyle w:val="BodyA"/>
        <w:jc w:val="both"/>
      </w:pPr>
    </w:p>
    <w:p w14:paraId="52E23DCC" w14:textId="4C69AAAD" w:rsidR="00A505E2" w:rsidRDefault="00A505E2">
      <w:pPr>
        <w:pStyle w:val="BodyA"/>
        <w:jc w:val="both"/>
      </w:pPr>
    </w:p>
    <w:p w14:paraId="0CC59A73" w14:textId="13C2DAF6" w:rsidR="00A505E2" w:rsidRDefault="00A505E2">
      <w:pPr>
        <w:pStyle w:val="BodyA"/>
        <w:jc w:val="both"/>
      </w:pPr>
    </w:p>
    <w:p w14:paraId="3556D726" w14:textId="5F88A717" w:rsidR="00A505E2" w:rsidRDefault="00A505E2">
      <w:pPr>
        <w:pStyle w:val="BodyA"/>
        <w:jc w:val="both"/>
      </w:pPr>
    </w:p>
    <w:p w14:paraId="187F18D7" w14:textId="5EE8B0C4" w:rsidR="00A505E2" w:rsidRDefault="00A505E2">
      <w:pPr>
        <w:pStyle w:val="BodyA"/>
        <w:jc w:val="both"/>
      </w:pPr>
    </w:p>
    <w:p w14:paraId="1FD2460B" w14:textId="60D5CA9E" w:rsidR="00A505E2" w:rsidRDefault="00A505E2">
      <w:pPr>
        <w:pStyle w:val="BodyA"/>
        <w:jc w:val="both"/>
      </w:pPr>
    </w:p>
    <w:p w14:paraId="04CAF933" w14:textId="79C6DF48" w:rsidR="00A505E2" w:rsidRDefault="00A505E2">
      <w:pPr>
        <w:pStyle w:val="BodyA"/>
        <w:jc w:val="both"/>
      </w:pPr>
    </w:p>
    <w:p w14:paraId="5D70D17A" w14:textId="4C212D21" w:rsidR="00A505E2" w:rsidRDefault="00A505E2">
      <w:pPr>
        <w:pStyle w:val="BodyA"/>
        <w:jc w:val="both"/>
      </w:pPr>
    </w:p>
    <w:p w14:paraId="2FCD35D6" w14:textId="6E972D54" w:rsidR="00A505E2" w:rsidRDefault="00A505E2">
      <w:pPr>
        <w:pStyle w:val="BodyA"/>
        <w:jc w:val="both"/>
      </w:pPr>
    </w:p>
    <w:p w14:paraId="38B2E082" w14:textId="415BB1C5" w:rsidR="00A505E2" w:rsidRDefault="00A505E2">
      <w:pPr>
        <w:pStyle w:val="BodyA"/>
        <w:jc w:val="both"/>
      </w:pPr>
    </w:p>
    <w:p w14:paraId="75BFA489" w14:textId="54181108" w:rsidR="00A505E2" w:rsidRDefault="00A505E2">
      <w:pPr>
        <w:pStyle w:val="BodyA"/>
        <w:jc w:val="both"/>
      </w:pPr>
    </w:p>
    <w:p w14:paraId="3A524416" w14:textId="010AD437" w:rsidR="00A505E2" w:rsidRDefault="00A505E2">
      <w:pPr>
        <w:pStyle w:val="BodyA"/>
        <w:jc w:val="both"/>
      </w:pPr>
    </w:p>
    <w:p w14:paraId="177BFBC1" w14:textId="0A75D051" w:rsidR="00A505E2" w:rsidRDefault="00A505E2">
      <w:pPr>
        <w:pStyle w:val="BodyA"/>
        <w:jc w:val="both"/>
      </w:pPr>
    </w:p>
    <w:p w14:paraId="64C5710D" w14:textId="058EFC12" w:rsidR="00A505E2" w:rsidRDefault="00A505E2">
      <w:pPr>
        <w:pStyle w:val="BodyA"/>
        <w:jc w:val="both"/>
      </w:pPr>
    </w:p>
    <w:p w14:paraId="5968EF64" w14:textId="29B4B9A7" w:rsidR="00A505E2" w:rsidRDefault="00A505E2">
      <w:pPr>
        <w:pStyle w:val="BodyA"/>
        <w:jc w:val="both"/>
      </w:pPr>
    </w:p>
    <w:p w14:paraId="15430BD8" w14:textId="482A1E95" w:rsidR="00A505E2" w:rsidRDefault="00A505E2">
      <w:pPr>
        <w:pStyle w:val="BodyA"/>
        <w:jc w:val="both"/>
      </w:pPr>
    </w:p>
    <w:p w14:paraId="12E40E0D" w14:textId="51FBCCFB" w:rsidR="00A505E2" w:rsidRDefault="00A505E2">
      <w:pPr>
        <w:pStyle w:val="BodyA"/>
        <w:jc w:val="both"/>
      </w:pPr>
    </w:p>
    <w:p w14:paraId="43F3A53B" w14:textId="6149C7ED" w:rsidR="00A505E2" w:rsidRDefault="00A505E2">
      <w:pPr>
        <w:pStyle w:val="BodyA"/>
        <w:jc w:val="both"/>
        <w:rPr>
          <w:rFonts w:ascii="Times New Roman" w:hAnsi="Times New Roman" w:cs="Times New Roman"/>
          <w:b/>
          <w:bCs/>
          <w:sz w:val="24"/>
          <w:szCs w:val="24"/>
        </w:rPr>
      </w:pPr>
      <w:r w:rsidRPr="006A43BB">
        <w:rPr>
          <w:rFonts w:ascii="Times New Roman" w:hAnsi="Times New Roman" w:cs="Times New Roman"/>
          <w:b/>
          <w:bCs/>
          <w:sz w:val="24"/>
          <w:szCs w:val="24"/>
        </w:rPr>
        <w:lastRenderedPageBreak/>
        <w:t>Appendix II</w:t>
      </w:r>
      <w:r>
        <w:rPr>
          <w:rFonts w:ascii="Times New Roman" w:hAnsi="Times New Roman" w:cs="Times New Roman"/>
          <w:b/>
          <w:bCs/>
          <w:sz w:val="24"/>
          <w:szCs w:val="24"/>
        </w:rPr>
        <w:t xml:space="preserve"> </w:t>
      </w:r>
      <w:r w:rsidRPr="00A505E2">
        <w:rPr>
          <w:rFonts w:ascii="Times New Roman" w:hAnsi="Times New Roman" w:cs="Times New Roman"/>
          <w:b/>
          <w:bCs/>
          <w:sz w:val="24"/>
          <w:szCs w:val="24"/>
        </w:rPr>
        <w:t>Regulatory Pyramid</w:t>
      </w:r>
    </w:p>
    <w:p w14:paraId="0A10F54A" w14:textId="479EC7FD" w:rsidR="00A505E2" w:rsidRDefault="00A505E2">
      <w:pPr>
        <w:pStyle w:val="BodyA"/>
        <w:jc w:val="both"/>
        <w:rPr>
          <w:rFonts w:ascii="Times New Roman" w:hAnsi="Times New Roman" w:cs="Times New Roman"/>
          <w:b/>
          <w:bCs/>
          <w:sz w:val="24"/>
          <w:szCs w:val="24"/>
        </w:rPr>
      </w:pPr>
    </w:p>
    <w:tbl>
      <w:tblPr>
        <w:tblW w:w="6761"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6761"/>
      </w:tblGrid>
      <w:tr w:rsidR="00A505E2" w14:paraId="414AD322" w14:textId="77777777" w:rsidTr="006A43BB">
        <w:trPr>
          <w:trHeight w:val="5271"/>
        </w:trPr>
        <w:tc>
          <w:tcPr>
            <w:tcW w:w="676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68CB45" w14:textId="34A5A586" w:rsidR="00A505E2" w:rsidRPr="006A43BB" w:rsidRDefault="00A505E2" w:rsidP="0026392F">
            <w:pPr>
              <w:pStyle w:val="Body"/>
              <w:spacing w:line="276" w:lineRule="auto"/>
              <w:jc w:val="both"/>
              <w:rPr>
                <w:shd w:val="clear" w:color="auto" w:fill="FFFFFF"/>
                <w14:textOutline w14:w="12700" w14:cap="flat" w14:cmpd="sng" w14:algn="ctr">
                  <w14:noFill/>
                  <w14:prstDash w14:val="solid"/>
                  <w14:miter w14:lim="400000"/>
                </w14:textOutline>
              </w:rPr>
            </w:pPr>
            <w:r>
              <w:rPr>
                <w:rStyle w:val="None"/>
                <w:b/>
                <w:bCs/>
                <w:noProof/>
                <w:shd w:val="clear" w:color="auto" w:fill="FFFFFF"/>
                <w14:textOutline w14:w="12700" w14:cap="flat" w14:cmpd="sng" w14:algn="ctr">
                  <w14:noFill/>
                  <w14:prstDash w14:val="solid"/>
                  <w14:miter w14:lim="400000"/>
                </w14:textOutline>
              </w:rPr>
              <w:drawing>
                <wp:inline distT="0" distB="0" distL="0" distR="0" wp14:anchorId="6E929A9D" wp14:editId="09425C05">
                  <wp:extent cx="4011283" cy="3031558"/>
                  <wp:effectExtent l="0" t="0" r="0" b="0"/>
                  <wp:docPr id="2" name="officeArt object" descr="Picture 1"/>
                  <wp:cNvGraphicFramePr/>
                  <a:graphic xmlns:a="http://schemas.openxmlformats.org/drawingml/2006/main">
                    <a:graphicData uri="http://schemas.openxmlformats.org/drawingml/2006/picture">
                      <pic:pic xmlns:pic="http://schemas.openxmlformats.org/drawingml/2006/picture">
                        <pic:nvPicPr>
                          <pic:cNvPr id="1073741825" name="Picture 1" descr="Picture 1"/>
                          <pic:cNvPicPr>
                            <a:picLocks noChangeAspect="1"/>
                          </pic:cNvPicPr>
                        </pic:nvPicPr>
                        <pic:blipFill>
                          <a:blip r:embed="rId14"/>
                          <a:srcRect l="13101" r="16851"/>
                          <a:stretch>
                            <a:fillRect/>
                          </a:stretch>
                        </pic:blipFill>
                        <pic:spPr>
                          <a:xfrm>
                            <a:off x="0" y="0"/>
                            <a:ext cx="4011283" cy="3031558"/>
                          </a:xfrm>
                          <a:prstGeom prst="rect">
                            <a:avLst/>
                          </a:prstGeom>
                          <a:ln w="12700" cap="flat">
                            <a:noFill/>
                            <a:miter lim="400000"/>
                          </a:ln>
                          <a:effectLst/>
                        </pic:spPr>
                      </pic:pic>
                    </a:graphicData>
                  </a:graphic>
                </wp:inline>
              </w:drawing>
            </w:r>
          </w:p>
        </w:tc>
      </w:tr>
    </w:tbl>
    <w:p w14:paraId="316AFFEA" w14:textId="482F3427" w:rsidR="00A505E2" w:rsidRDefault="00A505E2">
      <w:pPr>
        <w:pStyle w:val="BodyA"/>
        <w:jc w:val="both"/>
        <w:rPr>
          <w:rFonts w:ascii="Times New Roman" w:hAnsi="Times New Roman" w:cs="Times New Roman"/>
          <w:sz w:val="24"/>
          <w:szCs w:val="24"/>
        </w:rPr>
      </w:pPr>
    </w:p>
    <w:p w14:paraId="55F097BB" w14:textId="09F9B96D" w:rsidR="00A505E2" w:rsidRDefault="00A505E2">
      <w:pPr>
        <w:pStyle w:val="BodyA"/>
        <w:jc w:val="both"/>
        <w:rPr>
          <w:rFonts w:ascii="Times New Roman" w:hAnsi="Times New Roman" w:cs="Times New Roman"/>
          <w:sz w:val="24"/>
          <w:szCs w:val="24"/>
        </w:rPr>
      </w:pPr>
    </w:p>
    <w:p w14:paraId="4C4B51EE" w14:textId="0092EE4F" w:rsidR="00A505E2" w:rsidRDefault="00A505E2">
      <w:pPr>
        <w:pStyle w:val="BodyA"/>
        <w:jc w:val="both"/>
        <w:rPr>
          <w:rFonts w:ascii="Times New Roman" w:hAnsi="Times New Roman" w:cs="Times New Roman"/>
          <w:sz w:val="24"/>
          <w:szCs w:val="24"/>
        </w:rPr>
      </w:pPr>
    </w:p>
    <w:p w14:paraId="1FCCEDD2" w14:textId="13CC4FB5" w:rsidR="00A505E2" w:rsidRDefault="00A505E2">
      <w:pPr>
        <w:pStyle w:val="BodyA"/>
        <w:jc w:val="both"/>
        <w:rPr>
          <w:rFonts w:ascii="Times New Roman" w:hAnsi="Times New Roman" w:cs="Times New Roman"/>
          <w:sz w:val="24"/>
          <w:szCs w:val="24"/>
        </w:rPr>
      </w:pPr>
    </w:p>
    <w:p w14:paraId="201A9D7F" w14:textId="3818DEF3" w:rsidR="00A505E2" w:rsidRDefault="00A505E2">
      <w:pPr>
        <w:pStyle w:val="BodyA"/>
        <w:jc w:val="both"/>
        <w:rPr>
          <w:rFonts w:ascii="Times New Roman" w:hAnsi="Times New Roman" w:cs="Times New Roman"/>
          <w:sz w:val="24"/>
          <w:szCs w:val="24"/>
        </w:rPr>
      </w:pPr>
    </w:p>
    <w:p w14:paraId="2D2DEF40" w14:textId="564039AC" w:rsidR="00A505E2" w:rsidRDefault="00A505E2">
      <w:pPr>
        <w:pStyle w:val="BodyA"/>
        <w:jc w:val="both"/>
        <w:rPr>
          <w:rFonts w:ascii="Times New Roman" w:hAnsi="Times New Roman" w:cs="Times New Roman"/>
          <w:sz w:val="24"/>
          <w:szCs w:val="24"/>
        </w:rPr>
      </w:pPr>
    </w:p>
    <w:p w14:paraId="78F16A00" w14:textId="607C7F21" w:rsidR="00A505E2" w:rsidRDefault="00A505E2">
      <w:pPr>
        <w:pStyle w:val="BodyA"/>
        <w:jc w:val="both"/>
        <w:rPr>
          <w:rFonts w:ascii="Times New Roman" w:hAnsi="Times New Roman" w:cs="Times New Roman"/>
          <w:sz w:val="24"/>
          <w:szCs w:val="24"/>
        </w:rPr>
      </w:pPr>
    </w:p>
    <w:p w14:paraId="2325FC04" w14:textId="0341F5EE" w:rsidR="00A505E2" w:rsidRDefault="00A505E2">
      <w:pPr>
        <w:pStyle w:val="BodyA"/>
        <w:jc w:val="both"/>
        <w:rPr>
          <w:rFonts w:ascii="Times New Roman" w:hAnsi="Times New Roman" w:cs="Times New Roman"/>
          <w:sz w:val="24"/>
          <w:szCs w:val="24"/>
        </w:rPr>
      </w:pPr>
    </w:p>
    <w:p w14:paraId="14846216" w14:textId="35B3A96E" w:rsidR="00A505E2" w:rsidRDefault="00A505E2">
      <w:pPr>
        <w:pStyle w:val="BodyA"/>
        <w:jc w:val="both"/>
        <w:rPr>
          <w:rFonts w:ascii="Times New Roman" w:hAnsi="Times New Roman" w:cs="Times New Roman"/>
          <w:sz w:val="24"/>
          <w:szCs w:val="24"/>
        </w:rPr>
      </w:pPr>
    </w:p>
    <w:p w14:paraId="4877BDB9" w14:textId="34B6371A" w:rsidR="00A505E2" w:rsidRDefault="00A505E2">
      <w:pPr>
        <w:pStyle w:val="BodyA"/>
        <w:jc w:val="both"/>
        <w:rPr>
          <w:rFonts w:ascii="Times New Roman" w:hAnsi="Times New Roman" w:cs="Times New Roman"/>
          <w:sz w:val="24"/>
          <w:szCs w:val="24"/>
        </w:rPr>
      </w:pPr>
    </w:p>
    <w:p w14:paraId="4D6CB291" w14:textId="5E0B4183" w:rsidR="00A505E2" w:rsidRDefault="00A505E2">
      <w:pPr>
        <w:pStyle w:val="BodyA"/>
        <w:jc w:val="both"/>
        <w:rPr>
          <w:rFonts w:ascii="Times New Roman" w:hAnsi="Times New Roman" w:cs="Times New Roman"/>
          <w:sz w:val="24"/>
          <w:szCs w:val="24"/>
        </w:rPr>
      </w:pPr>
    </w:p>
    <w:p w14:paraId="70DD1A73" w14:textId="6D4CA223" w:rsidR="00A505E2" w:rsidRDefault="00A505E2">
      <w:pPr>
        <w:pStyle w:val="BodyA"/>
        <w:jc w:val="both"/>
        <w:rPr>
          <w:rFonts w:ascii="Times New Roman" w:hAnsi="Times New Roman" w:cs="Times New Roman"/>
          <w:sz w:val="24"/>
          <w:szCs w:val="24"/>
        </w:rPr>
      </w:pPr>
    </w:p>
    <w:p w14:paraId="2FF51C5D" w14:textId="694DFB2B" w:rsidR="00A505E2" w:rsidRDefault="00A505E2">
      <w:pPr>
        <w:pStyle w:val="BodyA"/>
        <w:jc w:val="both"/>
        <w:rPr>
          <w:rFonts w:ascii="Times New Roman" w:hAnsi="Times New Roman" w:cs="Times New Roman"/>
          <w:sz w:val="24"/>
          <w:szCs w:val="24"/>
        </w:rPr>
      </w:pPr>
    </w:p>
    <w:p w14:paraId="6FA98339" w14:textId="551C2368" w:rsidR="00A505E2" w:rsidRDefault="00A505E2">
      <w:pPr>
        <w:pStyle w:val="BodyA"/>
        <w:jc w:val="both"/>
        <w:rPr>
          <w:rFonts w:ascii="Times New Roman" w:hAnsi="Times New Roman" w:cs="Times New Roman"/>
          <w:sz w:val="24"/>
          <w:szCs w:val="24"/>
        </w:rPr>
      </w:pPr>
    </w:p>
    <w:p w14:paraId="338736CE" w14:textId="654E577F" w:rsidR="00A505E2" w:rsidRDefault="00A505E2">
      <w:pPr>
        <w:pStyle w:val="BodyA"/>
        <w:jc w:val="both"/>
        <w:rPr>
          <w:rFonts w:ascii="Times New Roman" w:hAnsi="Times New Roman" w:cs="Times New Roman"/>
          <w:sz w:val="24"/>
          <w:szCs w:val="24"/>
        </w:rPr>
      </w:pPr>
    </w:p>
    <w:p w14:paraId="097F9B1A" w14:textId="7F6DE080" w:rsidR="00A505E2" w:rsidRDefault="00A505E2">
      <w:pPr>
        <w:pStyle w:val="BodyA"/>
        <w:jc w:val="both"/>
        <w:rPr>
          <w:rFonts w:ascii="Times New Roman" w:hAnsi="Times New Roman" w:cs="Times New Roman"/>
          <w:sz w:val="24"/>
          <w:szCs w:val="24"/>
        </w:rPr>
      </w:pPr>
    </w:p>
    <w:p w14:paraId="354A8736" w14:textId="0731EE13" w:rsidR="00A505E2" w:rsidRDefault="00A505E2">
      <w:pPr>
        <w:pStyle w:val="BodyA"/>
        <w:jc w:val="both"/>
        <w:rPr>
          <w:rFonts w:ascii="Times New Roman" w:hAnsi="Times New Roman" w:cs="Times New Roman"/>
          <w:sz w:val="24"/>
          <w:szCs w:val="24"/>
        </w:rPr>
      </w:pPr>
    </w:p>
    <w:p w14:paraId="2186FF02" w14:textId="52F1BABB" w:rsidR="00A505E2" w:rsidRDefault="00A505E2">
      <w:pPr>
        <w:pStyle w:val="BodyA"/>
        <w:jc w:val="both"/>
        <w:rPr>
          <w:rFonts w:ascii="Times New Roman" w:hAnsi="Times New Roman" w:cs="Times New Roman"/>
          <w:sz w:val="24"/>
          <w:szCs w:val="24"/>
        </w:rPr>
      </w:pPr>
    </w:p>
    <w:p w14:paraId="1E956AF5" w14:textId="6534F65E" w:rsidR="00A505E2" w:rsidRDefault="00A505E2">
      <w:pPr>
        <w:pStyle w:val="BodyA"/>
        <w:jc w:val="both"/>
        <w:rPr>
          <w:rFonts w:ascii="Times New Roman" w:hAnsi="Times New Roman" w:cs="Times New Roman"/>
          <w:sz w:val="24"/>
          <w:szCs w:val="24"/>
        </w:rPr>
      </w:pPr>
    </w:p>
    <w:p w14:paraId="3BDC6B49" w14:textId="120CA205" w:rsidR="00A505E2" w:rsidRDefault="00A505E2">
      <w:pPr>
        <w:pStyle w:val="BodyA"/>
        <w:jc w:val="both"/>
        <w:rPr>
          <w:rFonts w:ascii="Times New Roman" w:hAnsi="Times New Roman" w:cs="Times New Roman"/>
          <w:sz w:val="24"/>
          <w:szCs w:val="24"/>
        </w:rPr>
      </w:pPr>
    </w:p>
    <w:p w14:paraId="09B04CC5" w14:textId="4B7DE8D3" w:rsidR="00A505E2" w:rsidRDefault="00A505E2">
      <w:pPr>
        <w:pStyle w:val="BodyA"/>
        <w:jc w:val="both"/>
        <w:rPr>
          <w:rFonts w:ascii="Times New Roman" w:hAnsi="Times New Roman" w:cs="Times New Roman"/>
          <w:sz w:val="24"/>
          <w:szCs w:val="24"/>
        </w:rPr>
      </w:pPr>
    </w:p>
    <w:p w14:paraId="3859B687" w14:textId="64BC24A5" w:rsidR="00A505E2" w:rsidRDefault="00A505E2">
      <w:pPr>
        <w:pStyle w:val="BodyA"/>
        <w:jc w:val="both"/>
        <w:rPr>
          <w:rFonts w:ascii="Times New Roman" w:hAnsi="Times New Roman" w:cs="Times New Roman"/>
          <w:sz w:val="24"/>
          <w:szCs w:val="24"/>
        </w:rPr>
      </w:pPr>
    </w:p>
    <w:p w14:paraId="20D6B259" w14:textId="6784C317" w:rsidR="00A505E2" w:rsidRDefault="00A505E2">
      <w:pPr>
        <w:pStyle w:val="BodyA"/>
        <w:jc w:val="both"/>
        <w:rPr>
          <w:rFonts w:ascii="Times New Roman" w:hAnsi="Times New Roman" w:cs="Times New Roman"/>
          <w:sz w:val="24"/>
          <w:szCs w:val="24"/>
        </w:rPr>
      </w:pPr>
    </w:p>
    <w:p w14:paraId="6B3D437C" w14:textId="2852EF19" w:rsidR="00A505E2" w:rsidRDefault="00A505E2">
      <w:pPr>
        <w:pStyle w:val="BodyA"/>
        <w:jc w:val="both"/>
        <w:rPr>
          <w:rFonts w:ascii="Times New Roman" w:hAnsi="Times New Roman" w:cs="Times New Roman"/>
          <w:sz w:val="24"/>
          <w:szCs w:val="24"/>
        </w:rPr>
      </w:pPr>
    </w:p>
    <w:p w14:paraId="10AB6016" w14:textId="2E32AFDF" w:rsidR="00A505E2" w:rsidRPr="006A43BB" w:rsidRDefault="00A505E2">
      <w:pPr>
        <w:pStyle w:val="BodyA"/>
        <w:jc w:val="both"/>
        <w:rPr>
          <w:rFonts w:ascii="Times New Roman" w:hAnsi="Times New Roman" w:cs="Times New Roman"/>
          <w:b/>
          <w:bCs/>
          <w:sz w:val="24"/>
          <w:szCs w:val="24"/>
        </w:rPr>
      </w:pPr>
      <w:r w:rsidRPr="006A43BB">
        <w:rPr>
          <w:rFonts w:ascii="Times New Roman" w:hAnsi="Times New Roman" w:cs="Times New Roman"/>
          <w:b/>
          <w:bCs/>
          <w:sz w:val="24"/>
          <w:szCs w:val="24"/>
        </w:rPr>
        <w:lastRenderedPageBreak/>
        <w:t xml:space="preserve">Appendix III </w:t>
      </w:r>
      <w:r w:rsidR="00143CBB" w:rsidRPr="006A43BB">
        <w:rPr>
          <w:rFonts w:ascii="Times New Roman" w:hAnsi="Times New Roman" w:cs="Times New Roman"/>
          <w:b/>
          <w:bCs/>
          <w:sz w:val="24"/>
          <w:szCs w:val="24"/>
        </w:rPr>
        <w:t xml:space="preserve">Proposed structure of the future treaty </w:t>
      </w:r>
    </w:p>
    <w:p w14:paraId="7834DD4D" w14:textId="1F1AB85A" w:rsidR="00143CBB" w:rsidRDefault="00143CBB">
      <w:pPr>
        <w:pStyle w:val="BodyA"/>
        <w:jc w:val="both"/>
        <w:rPr>
          <w:rFonts w:ascii="Times New Roman" w:hAnsi="Times New Roman" w:cs="Times New Roman"/>
          <w:sz w:val="24"/>
          <w:szCs w:val="24"/>
        </w:rPr>
      </w:pPr>
    </w:p>
    <w:p w14:paraId="7B4A39BD" w14:textId="77777777" w:rsidR="00143CBB" w:rsidRDefault="00143CBB" w:rsidP="00143CBB">
      <w:pPr>
        <w:pStyle w:val="BodyA"/>
        <w:spacing w:line="360" w:lineRule="auto"/>
        <w:jc w:val="both"/>
        <w:rPr>
          <w:rStyle w:val="None"/>
          <w:rFonts w:ascii="Times New Roman" w:eastAsia="Times New Roman" w:hAnsi="Times New Roman" w:cs="Times New Roman"/>
          <w:sz w:val="24"/>
          <w:szCs w:val="24"/>
          <w:shd w:val="clear" w:color="auto" w:fill="FFFFFF"/>
        </w:rPr>
      </w:pPr>
    </w:p>
    <w:p w14:paraId="36E2DD07" w14:textId="46D1D7A2" w:rsidR="00143CBB" w:rsidRDefault="00143CBB" w:rsidP="00143CBB">
      <w:pPr>
        <w:pStyle w:val="BodyA"/>
        <w:spacing w:line="360" w:lineRule="auto"/>
        <w:jc w:val="both"/>
        <w:rPr>
          <w:rStyle w:val="None"/>
          <w:rFonts w:ascii="Times New Roman" w:eastAsia="Times New Roman" w:hAnsi="Times New Roman" w:cs="Times New Roman"/>
          <w:b/>
          <w:bCs/>
          <w:i/>
          <w:iCs/>
          <w:sz w:val="24"/>
          <w:szCs w:val="24"/>
          <w:shd w:val="clear" w:color="auto" w:fill="FFFFFF"/>
        </w:rPr>
      </w:pPr>
      <w:r>
        <w:rPr>
          <w:rStyle w:val="None"/>
          <w:rFonts w:ascii="Times New Roman" w:hAnsi="Times New Roman"/>
          <w:b/>
          <w:bCs/>
          <w:i/>
          <w:iCs/>
          <w:sz w:val="24"/>
          <w:szCs w:val="24"/>
          <w:shd w:val="clear" w:color="auto" w:fill="FFFFFF"/>
        </w:rPr>
        <w:t xml:space="preserve">Preamble </w:t>
      </w:r>
    </w:p>
    <w:p w14:paraId="3805D510" w14:textId="77777777" w:rsidR="00143CBB" w:rsidRDefault="00143CBB" w:rsidP="00143CBB">
      <w:pPr>
        <w:pStyle w:val="BodyA"/>
        <w:spacing w:line="360" w:lineRule="auto"/>
        <w:jc w:val="both"/>
        <w:rPr>
          <w:rStyle w:val="None"/>
          <w:rFonts w:ascii="Times New Roman" w:eastAsia="Times New Roman" w:hAnsi="Times New Roman" w:cs="Times New Roman"/>
          <w:sz w:val="24"/>
          <w:szCs w:val="24"/>
          <w:shd w:val="clear" w:color="auto" w:fill="FFFFFF"/>
        </w:rPr>
      </w:pPr>
    </w:p>
    <w:p w14:paraId="52CB87ED" w14:textId="77777777" w:rsidR="00143CBB" w:rsidRDefault="00143CBB" w:rsidP="00143CBB">
      <w:pPr>
        <w:pStyle w:val="BodyA"/>
        <w:spacing w:line="360" w:lineRule="auto"/>
        <w:jc w:val="both"/>
        <w:rPr>
          <w:rStyle w:val="None"/>
          <w:rFonts w:ascii="Times New Roman" w:eastAsia="Times New Roman" w:hAnsi="Times New Roman" w:cs="Times New Roman"/>
          <w:b/>
          <w:bCs/>
          <w:i/>
          <w:iCs/>
          <w:sz w:val="24"/>
          <w:szCs w:val="24"/>
          <w:shd w:val="clear" w:color="auto" w:fill="FFFFFF"/>
        </w:rPr>
      </w:pPr>
      <w:r>
        <w:rPr>
          <w:rStyle w:val="None"/>
          <w:rFonts w:ascii="Times New Roman" w:hAnsi="Times New Roman"/>
          <w:b/>
          <w:bCs/>
          <w:i/>
          <w:iCs/>
          <w:sz w:val="24"/>
          <w:szCs w:val="24"/>
          <w:shd w:val="clear" w:color="auto" w:fill="FFFFFF"/>
        </w:rPr>
        <w:t xml:space="preserve">Article 1 Use of Terms </w:t>
      </w:r>
    </w:p>
    <w:p w14:paraId="06EF73F4" w14:textId="77777777" w:rsidR="00143CBB" w:rsidRDefault="00143CBB" w:rsidP="00143CBB">
      <w:pPr>
        <w:pStyle w:val="BodyA"/>
        <w:spacing w:line="360" w:lineRule="auto"/>
        <w:jc w:val="both"/>
        <w:rPr>
          <w:rStyle w:val="None"/>
          <w:rFonts w:ascii="Times New Roman" w:eastAsia="Times New Roman" w:hAnsi="Times New Roman" w:cs="Times New Roman"/>
          <w:sz w:val="24"/>
          <w:szCs w:val="24"/>
          <w:shd w:val="clear" w:color="auto" w:fill="FFFFFF"/>
        </w:rPr>
      </w:pPr>
    </w:p>
    <w:p w14:paraId="2B400845" w14:textId="77777777" w:rsidR="00143CBB" w:rsidRDefault="00143CBB" w:rsidP="00143CBB">
      <w:pPr>
        <w:pStyle w:val="BodyA"/>
        <w:spacing w:line="360" w:lineRule="auto"/>
        <w:jc w:val="both"/>
        <w:rPr>
          <w:rStyle w:val="None"/>
          <w:rFonts w:ascii="Times New Roman" w:eastAsia="Times New Roman" w:hAnsi="Times New Roman" w:cs="Times New Roman"/>
          <w:b/>
          <w:bCs/>
          <w:i/>
          <w:iCs/>
          <w:sz w:val="24"/>
          <w:szCs w:val="24"/>
          <w:shd w:val="clear" w:color="auto" w:fill="FFFFFF"/>
        </w:rPr>
      </w:pPr>
      <w:r>
        <w:rPr>
          <w:rStyle w:val="None"/>
          <w:rFonts w:ascii="Times New Roman" w:hAnsi="Times New Roman"/>
          <w:b/>
          <w:bCs/>
          <w:i/>
          <w:iCs/>
          <w:sz w:val="24"/>
          <w:szCs w:val="24"/>
          <w:shd w:val="clear" w:color="auto" w:fill="FFFFFF"/>
        </w:rPr>
        <w:t xml:space="preserve">Article 2 Obligations </w:t>
      </w:r>
    </w:p>
    <w:p w14:paraId="4B82FB7B" w14:textId="77777777" w:rsidR="00143CBB" w:rsidRDefault="00143CBB" w:rsidP="00143CBB">
      <w:pPr>
        <w:pStyle w:val="BodyA"/>
        <w:spacing w:line="360" w:lineRule="auto"/>
        <w:jc w:val="both"/>
        <w:rPr>
          <w:rStyle w:val="None"/>
          <w:rFonts w:ascii="Times New Roman" w:eastAsia="Times New Roman" w:hAnsi="Times New Roman" w:cs="Times New Roman"/>
          <w:sz w:val="24"/>
          <w:szCs w:val="24"/>
          <w:shd w:val="clear" w:color="auto" w:fill="FFFFFF"/>
        </w:rPr>
      </w:pPr>
    </w:p>
    <w:p w14:paraId="7AF67C2A" w14:textId="77777777" w:rsidR="00143CBB" w:rsidRDefault="00143CBB" w:rsidP="00143CBB">
      <w:pPr>
        <w:pStyle w:val="BodyA"/>
        <w:spacing w:line="360" w:lineRule="auto"/>
        <w:jc w:val="both"/>
        <w:rPr>
          <w:rStyle w:val="None"/>
          <w:rFonts w:ascii="Times New Roman" w:eastAsia="Times New Roman" w:hAnsi="Times New Roman" w:cs="Times New Roman"/>
          <w:b/>
          <w:bCs/>
          <w:i/>
          <w:iCs/>
          <w:sz w:val="24"/>
          <w:szCs w:val="24"/>
          <w:shd w:val="clear" w:color="auto" w:fill="FFFFFF"/>
        </w:rPr>
      </w:pPr>
      <w:r>
        <w:rPr>
          <w:rStyle w:val="None"/>
          <w:rFonts w:ascii="Times New Roman" w:hAnsi="Times New Roman"/>
          <w:b/>
          <w:bCs/>
          <w:i/>
          <w:iCs/>
          <w:sz w:val="24"/>
          <w:szCs w:val="24"/>
          <w:shd w:val="clear" w:color="auto" w:fill="FFFFFF"/>
        </w:rPr>
        <w:t xml:space="preserve">Article 3 Obligation to Accountability </w:t>
      </w:r>
    </w:p>
    <w:p w14:paraId="624BADC9" w14:textId="77777777" w:rsidR="00143CBB" w:rsidRDefault="00143CBB" w:rsidP="00143CBB">
      <w:pPr>
        <w:pStyle w:val="BodyA"/>
        <w:spacing w:line="360" w:lineRule="auto"/>
        <w:jc w:val="both"/>
        <w:rPr>
          <w:rStyle w:val="None"/>
          <w:rFonts w:ascii="Times New Roman" w:eastAsia="Times New Roman" w:hAnsi="Times New Roman" w:cs="Times New Roman"/>
          <w:sz w:val="24"/>
          <w:szCs w:val="24"/>
          <w:shd w:val="clear" w:color="auto" w:fill="FFFFFF"/>
        </w:rPr>
      </w:pPr>
    </w:p>
    <w:p w14:paraId="0C56F5FA" w14:textId="77777777" w:rsidR="00143CBB" w:rsidRDefault="00143CBB" w:rsidP="00143CBB">
      <w:pPr>
        <w:pStyle w:val="BodyA"/>
        <w:spacing w:line="360" w:lineRule="auto"/>
        <w:jc w:val="both"/>
        <w:rPr>
          <w:rStyle w:val="None"/>
          <w:rFonts w:ascii="Times New Roman" w:eastAsia="Times New Roman" w:hAnsi="Times New Roman" w:cs="Times New Roman"/>
          <w:b/>
          <w:bCs/>
          <w:i/>
          <w:iCs/>
          <w:sz w:val="24"/>
          <w:szCs w:val="24"/>
          <w:shd w:val="clear" w:color="auto" w:fill="FFFFFF"/>
        </w:rPr>
      </w:pPr>
      <w:r>
        <w:rPr>
          <w:rStyle w:val="None"/>
          <w:rFonts w:ascii="Times New Roman" w:hAnsi="Times New Roman"/>
          <w:b/>
          <w:bCs/>
          <w:i/>
          <w:iCs/>
          <w:sz w:val="24"/>
          <w:szCs w:val="24"/>
          <w:shd w:val="clear" w:color="auto" w:fill="FFFFFF"/>
        </w:rPr>
        <w:t xml:space="preserve">Article 4 Obligation to Protect </w:t>
      </w:r>
    </w:p>
    <w:p w14:paraId="65D636B4" w14:textId="77777777" w:rsidR="00143CBB" w:rsidRDefault="00143CBB" w:rsidP="00143CBB">
      <w:pPr>
        <w:pStyle w:val="BodyA"/>
        <w:spacing w:line="360" w:lineRule="auto"/>
        <w:jc w:val="both"/>
        <w:rPr>
          <w:rStyle w:val="None"/>
          <w:rFonts w:ascii="Times New Roman" w:eastAsia="Times New Roman" w:hAnsi="Times New Roman" w:cs="Times New Roman"/>
          <w:sz w:val="24"/>
          <w:szCs w:val="24"/>
          <w:shd w:val="clear" w:color="auto" w:fill="FFFFFF"/>
        </w:rPr>
      </w:pPr>
    </w:p>
    <w:p w14:paraId="65FD8708" w14:textId="77777777" w:rsidR="00143CBB" w:rsidRDefault="00143CBB" w:rsidP="00143CBB">
      <w:pPr>
        <w:pStyle w:val="BodyA"/>
        <w:spacing w:line="360" w:lineRule="auto"/>
        <w:jc w:val="both"/>
        <w:rPr>
          <w:rStyle w:val="None"/>
          <w:rFonts w:ascii="Times New Roman" w:eastAsia="Times New Roman" w:hAnsi="Times New Roman" w:cs="Times New Roman"/>
          <w:b/>
          <w:bCs/>
          <w:i/>
          <w:iCs/>
          <w:sz w:val="24"/>
          <w:szCs w:val="24"/>
          <w:shd w:val="clear" w:color="auto" w:fill="FFFFFF"/>
        </w:rPr>
      </w:pPr>
      <w:r>
        <w:rPr>
          <w:rStyle w:val="None"/>
          <w:rFonts w:ascii="Times New Roman" w:hAnsi="Times New Roman"/>
          <w:b/>
          <w:bCs/>
          <w:i/>
          <w:iCs/>
          <w:sz w:val="24"/>
          <w:szCs w:val="24"/>
          <w:shd w:val="clear" w:color="auto" w:fill="FFFFFF"/>
        </w:rPr>
        <w:t xml:space="preserve">Article 5 Monitoring </w:t>
      </w:r>
    </w:p>
    <w:p w14:paraId="2BF6B4C2" w14:textId="77777777" w:rsidR="00143CBB" w:rsidRDefault="00143CBB" w:rsidP="00143CBB">
      <w:pPr>
        <w:pStyle w:val="BodyA"/>
        <w:spacing w:line="360" w:lineRule="auto"/>
        <w:jc w:val="both"/>
        <w:rPr>
          <w:rStyle w:val="None"/>
          <w:rFonts w:ascii="Times New Roman" w:eastAsia="Times New Roman" w:hAnsi="Times New Roman" w:cs="Times New Roman"/>
          <w:sz w:val="24"/>
          <w:szCs w:val="24"/>
          <w:shd w:val="clear" w:color="auto" w:fill="FFFFFF"/>
        </w:rPr>
      </w:pPr>
    </w:p>
    <w:p w14:paraId="5F1F2564" w14:textId="77777777" w:rsidR="00143CBB" w:rsidRPr="006A43BB" w:rsidRDefault="00143CBB">
      <w:pPr>
        <w:pStyle w:val="BodyA"/>
        <w:jc w:val="both"/>
        <w:rPr>
          <w:rFonts w:ascii="Times New Roman" w:hAnsi="Times New Roman" w:cs="Times New Roman"/>
          <w:sz w:val="24"/>
          <w:szCs w:val="24"/>
        </w:rPr>
      </w:pPr>
    </w:p>
    <w:sectPr w:rsidR="00143CBB" w:rsidRPr="006A43BB" w:rsidSect="00DF1BAC">
      <w:footerReference w:type="default" r:id="rId15"/>
      <w:pgSz w:w="11900" w:h="16840"/>
      <w:pgMar w:top="1440" w:right="1440" w:bottom="1440" w:left="1440" w:header="720" w:footer="720" w:gutter="0"/>
      <w:pgNumType w:start="6"/>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088C00" w14:textId="77777777" w:rsidR="002B1B5D" w:rsidRDefault="002B1B5D">
      <w:r>
        <w:separator/>
      </w:r>
    </w:p>
  </w:endnote>
  <w:endnote w:type="continuationSeparator" w:id="0">
    <w:p w14:paraId="18CECBDF" w14:textId="77777777" w:rsidR="002B1B5D" w:rsidRDefault="002B1B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Helvetica Neue">
    <w:altName w:val="Arial"/>
    <w:charset w:val="00"/>
    <w:family w:val="roman"/>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F84E09" w14:textId="261DFB8D" w:rsidR="00D845CA" w:rsidRDefault="00D845CA">
    <w:pPr>
      <w:pStyle w:val="Footer"/>
      <w:jc w:val="center"/>
    </w:pPr>
  </w:p>
  <w:p w14:paraId="73291B59" w14:textId="445D2F9C" w:rsidR="003B207D" w:rsidRDefault="003B207D">
    <w:pPr>
      <w:pStyle w:val="Body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1280069"/>
      <w:docPartObj>
        <w:docPartGallery w:val="Page Numbers (Bottom of Page)"/>
        <w:docPartUnique/>
      </w:docPartObj>
    </w:sdtPr>
    <w:sdtEndPr>
      <w:rPr>
        <w:noProof/>
      </w:rPr>
    </w:sdtEndPr>
    <w:sdtContent>
      <w:p w14:paraId="2EBC661A" w14:textId="77777777" w:rsidR="00DF1BAC" w:rsidRDefault="00DF1BA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CA5AD12" w14:textId="77777777" w:rsidR="00DF1BAC" w:rsidRDefault="00DF1BAC">
    <w:pPr>
      <w:pStyle w:val="Body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5E98D7" w14:textId="77777777" w:rsidR="002B1B5D" w:rsidRDefault="002B1B5D">
      <w:r>
        <w:separator/>
      </w:r>
    </w:p>
  </w:footnote>
  <w:footnote w:type="continuationSeparator" w:id="0">
    <w:p w14:paraId="72FD47C2" w14:textId="77777777" w:rsidR="002B1B5D" w:rsidRDefault="002B1B5D">
      <w:r>
        <w:continuationSeparator/>
      </w:r>
    </w:p>
  </w:footnote>
  <w:footnote w:type="continuationNotice" w:id="1">
    <w:p w14:paraId="7612DD29" w14:textId="77777777" w:rsidR="002B1B5D" w:rsidRDefault="002B1B5D"/>
  </w:footnote>
  <w:footnote w:id="2">
    <w:p w14:paraId="73291B5A" w14:textId="77777777" w:rsidR="003B207D" w:rsidRPr="006A43BB" w:rsidRDefault="00C96635" w:rsidP="006A43BB">
      <w:pPr>
        <w:pStyle w:val="FootnoteText"/>
        <w:jc w:val="both"/>
        <w:rPr>
          <w:sz w:val="18"/>
          <w:szCs w:val="18"/>
        </w:rPr>
      </w:pPr>
      <w:r w:rsidRPr="006A43BB">
        <w:rPr>
          <w:rStyle w:val="FootnoteReference"/>
          <w:sz w:val="18"/>
          <w:szCs w:val="18"/>
        </w:rPr>
        <w:footnoteRef/>
      </w:r>
      <w:r w:rsidRPr="00FD57B4">
        <w:rPr>
          <w:rFonts w:eastAsia="Arial Unicode MS" w:cs="Arial Unicode MS"/>
          <w:sz w:val="18"/>
          <w:szCs w:val="18"/>
        </w:rPr>
        <w:t xml:space="preserve"> Winston Churchill, House of Commons, February 1906, vol 152 </w:t>
      </w:r>
    </w:p>
  </w:footnote>
  <w:footnote w:id="3">
    <w:p w14:paraId="73291B5B" w14:textId="77777777" w:rsidR="003B207D" w:rsidRPr="006A43BB" w:rsidRDefault="00C96635" w:rsidP="006A43BB">
      <w:pPr>
        <w:pStyle w:val="Body"/>
        <w:jc w:val="both"/>
        <w:rPr>
          <w:sz w:val="18"/>
          <w:szCs w:val="18"/>
        </w:rPr>
      </w:pPr>
      <w:r w:rsidRPr="006A43BB">
        <w:rPr>
          <w:rStyle w:val="FootnoteReference"/>
          <w:sz w:val="18"/>
          <w:szCs w:val="18"/>
        </w:rPr>
        <w:footnoteRef/>
      </w:r>
      <w:r w:rsidRPr="00FD57B4">
        <w:rPr>
          <w:sz w:val="18"/>
          <w:szCs w:val="18"/>
          <w:lang w:val="en-US"/>
        </w:rPr>
        <w:t xml:space="preserve"> John </w:t>
      </w:r>
      <w:proofErr w:type="spellStart"/>
      <w:r w:rsidRPr="00FD57B4">
        <w:rPr>
          <w:sz w:val="18"/>
          <w:szCs w:val="18"/>
          <w:lang w:val="en-US"/>
        </w:rPr>
        <w:t>Ruggie</w:t>
      </w:r>
      <w:proofErr w:type="spellEnd"/>
      <w:r w:rsidRPr="00FD57B4">
        <w:rPr>
          <w:sz w:val="18"/>
          <w:szCs w:val="18"/>
          <w:lang w:val="en-US"/>
        </w:rPr>
        <w:t>, Just Business Multinational Corporations And Human Rights (Amnesty International Global Ethics Series 2013)</w:t>
      </w:r>
    </w:p>
  </w:footnote>
  <w:footnote w:id="4">
    <w:p w14:paraId="73291B5C" w14:textId="77777777" w:rsidR="003B207D" w:rsidRPr="006A43BB" w:rsidRDefault="00C96635" w:rsidP="006A43BB">
      <w:pPr>
        <w:pStyle w:val="Body"/>
        <w:jc w:val="both"/>
        <w:rPr>
          <w:sz w:val="18"/>
          <w:szCs w:val="18"/>
        </w:rPr>
      </w:pPr>
      <w:r w:rsidRPr="006A43BB">
        <w:rPr>
          <w:rStyle w:val="FootnoteReference"/>
          <w:sz w:val="18"/>
          <w:szCs w:val="18"/>
        </w:rPr>
        <w:footnoteRef/>
      </w:r>
      <w:r w:rsidRPr="00FD57B4">
        <w:rPr>
          <w:sz w:val="18"/>
          <w:szCs w:val="18"/>
          <w:lang w:val="da-DK"/>
        </w:rPr>
        <w:t xml:space="preserve"> </w:t>
      </w:r>
      <w:r w:rsidRPr="00FD57B4">
        <w:rPr>
          <w:sz w:val="18"/>
          <w:szCs w:val="18"/>
          <w:lang w:val="da-DK"/>
        </w:rPr>
        <w:t>Ibid.</w:t>
      </w:r>
      <w:r w:rsidRPr="006A43BB">
        <w:rPr>
          <w:sz w:val="18"/>
          <w:szCs w:val="18"/>
        </w:rPr>
        <w:t xml:space="preserve"> </w:t>
      </w:r>
    </w:p>
  </w:footnote>
  <w:footnote w:id="5">
    <w:p w14:paraId="73291B5D" w14:textId="77777777" w:rsidR="003B207D" w:rsidRPr="006A43BB" w:rsidRDefault="00C96635" w:rsidP="006A43BB">
      <w:pPr>
        <w:pStyle w:val="Body"/>
        <w:jc w:val="both"/>
        <w:rPr>
          <w:sz w:val="18"/>
          <w:szCs w:val="18"/>
        </w:rPr>
      </w:pPr>
      <w:r w:rsidRPr="006A43BB">
        <w:rPr>
          <w:rStyle w:val="FootnoteReference"/>
          <w:sz w:val="18"/>
          <w:szCs w:val="18"/>
        </w:rPr>
        <w:footnoteRef/>
      </w:r>
      <w:r w:rsidRPr="00FD57B4">
        <w:rPr>
          <w:sz w:val="18"/>
          <w:szCs w:val="18"/>
          <w:lang w:val="en-US"/>
        </w:rPr>
        <w:t xml:space="preserve"> Surya Deva, Regulating Corporate Human Rights Violations (Routledge, Taylor &amp; Francis Group 2014) 3</w:t>
      </w:r>
    </w:p>
  </w:footnote>
  <w:footnote w:id="6">
    <w:p w14:paraId="73291B5E" w14:textId="77777777" w:rsidR="003B207D" w:rsidRPr="006A43BB" w:rsidRDefault="00C96635" w:rsidP="006A43BB">
      <w:pPr>
        <w:pStyle w:val="Body"/>
        <w:jc w:val="both"/>
        <w:rPr>
          <w:sz w:val="18"/>
          <w:szCs w:val="18"/>
        </w:rPr>
      </w:pPr>
      <w:r w:rsidRPr="006A43BB">
        <w:rPr>
          <w:rStyle w:val="FootnoteReference"/>
          <w:sz w:val="18"/>
          <w:szCs w:val="18"/>
        </w:rPr>
        <w:footnoteRef/>
      </w:r>
      <w:r w:rsidRPr="00FD57B4">
        <w:rPr>
          <w:sz w:val="18"/>
          <w:szCs w:val="18"/>
          <w:lang w:val="en-US"/>
        </w:rPr>
        <w:t xml:space="preserve"> Olivier </w:t>
      </w:r>
      <w:proofErr w:type="spellStart"/>
      <w:r w:rsidRPr="00FD57B4">
        <w:rPr>
          <w:sz w:val="18"/>
          <w:szCs w:val="18"/>
          <w:lang w:val="en-US"/>
        </w:rPr>
        <w:t>DeSchutter</w:t>
      </w:r>
      <w:proofErr w:type="spellEnd"/>
      <w:r w:rsidRPr="00FD57B4">
        <w:rPr>
          <w:sz w:val="18"/>
          <w:szCs w:val="18"/>
          <w:lang w:val="en-US"/>
        </w:rPr>
        <w:t>, Transnational Corporations And Human Rights (Hart Publishing Limited 2006).</w:t>
      </w:r>
    </w:p>
  </w:footnote>
  <w:footnote w:id="7">
    <w:p w14:paraId="73291B5F" w14:textId="32628F3D" w:rsidR="003B207D" w:rsidRPr="006A43BB" w:rsidRDefault="00C96635" w:rsidP="006A43BB">
      <w:pPr>
        <w:pStyle w:val="Body"/>
        <w:jc w:val="both"/>
        <w:rPr>
          <w:sz w:val="18"/>
          <w:szCs w:val="18"/>
        </w:rPr>
      </w:pPr>
      <w:r w:rsidRPr="006A43BB">
        <w:rPr>
          <w:rStyle w:val="FootnoteReference"/>
          <w:sz w:val="18"/>
          <w:szCs w:val="18"/>
        </w:rPr>
        <w:footnoteRef/>
      </w:r>
      <w:r w:rsidRPr="006A43BB">
        <w:rPr>
          <w:rStyle w:val="NoneA"/>
          <w:sz w:val="18"/>
          <w:szCs w:val="18"/>
        </w:rPr>
        <w:t xml:space="preserve"> </w:t>
      </w:r>
      <w:proofErr w:type="spellStart"/>
      <w:r w:rsidRPr="00FD57B4">
        <w:rPr>
          <w:sz w:val="18"/>
          <w:szCs w:val="18"/>
        </w:rPr>
        <w:t>Ruggie</w:t>
      </w:r>
      <w:proofErr w:type="spellEnd"/>
      <w:r w:rsidRPr="00FD57B4">
        <w:rPr>
          <w:sz w:val="18"/>
          <w:szCs w:val="18"/>
        </w:rPr>
        <w:t xml:space="preserve"> (n </w:t>
      </w:r>
      <w:r w:rsidR="00D22823">
        <w:rPr>
          <w:sz w:val="18"/>
          <w:szCs w:val="18"/>
        </w:rPr>
        <w:t>2</w:t>
      </w:r>
      <w:r w:rsidRPr="00FD57B4">
        <w:rPr>
          <w:sz w:val="18"/>
          <w:szCs w:val="18"/>
        </w:rPr>
        <w:t xml:space="preserve">) 39. </w:t>
      </w:r>
    </w:p>
  </w:footnote>
  <w:footnote w:id="8">
    <w:p w14:paraId="73291B60" w14:textId="77777777" w:rsidR="003B207D" w:rsidRPr="006A43BB" w:rsidRDefault="00C96635" w:rsidP="006A43BB">
      <w:pPr>
        <w:pStyle w:val="Body"/>
        <w:jc w:val="both"/>
        <w:rPr>
          <w:sz w:val="18"/>
          <w:szCs w:val="18"/>
        </w:rPr>
      </w:pPr>
      <w:r w:rsidRPr="006A43BB">
        <w:rPr>
          <w:rStyle w:val="FootnoteReference"/>
          <w:sz w:val="18"/>
          <w:szCs w:val="18"/>
        </w:rPr>
        <w:footnoteRef/>
      </w:r>
      <w:r w:rsidRPr="00FD57B4">
        <w:rPr>
          <w:sz w:val="18"/>
          <w:szCs w:val="18"/>
          <w:lang w:val="en-US"/>
        </w:rPr>
        <w:t xml:space="preserve"> Cristina Baez, 'Multinational Enterprises And Human Rights' (2000) 183 Miami Int'l &amp; Comp Law Rev.</w:t>
      </w:r>
    </w:p>
  </w:footnote>
  <w:footnote w:id="9">
    <w:p w14:paraId="73291B61" w14:textId="77777777" w:rsidR="003B207D" w:rsidRPr="006A43BB" w:rsidRDefault="00C96635" w:rsidP="006A43BB">
      <w:pPr>
        <w:pStyle w:val="Body"/>
        <w:jc w:val="both"/>
        <w:rPr>
          <w:sz w:val="18"/>
          <w:szCs w:val="18"/>
        </w:rPr>
      </w:pPr>
      <w:r w:rsidRPr="006A43BB">
        <w:rPr>
          <w:rStyle w:val="FootnoteReference"/>
          <w:sz w:val="18"/>
          <w:szCs w:val="18"/>
        </w:rPr>
        <w:footnoteRef/>
      </w:r>
      <w:r w:rsidRPr="00FD57B4">
        <w:rPr>
          <w:sz w:val="18"/>
          <w:szCs w:val="18"/>
          <w:lang w:val="da-DK"/>
        </w:rPr>
        <w:t xml:space="preserve"> </w:t>
      </w:r>
      <w:r w:rsidRPr="00FD57B4">
        <w:rPr>
          <w:sz w:val="18"/>
          <w:szCs w:val="18"/>
          <w:lang w:val="da-DK"/>
        </w:rPr>
        <w:t>Ibid.</w:t>
      </w:r>
      <w:r w:rsidRPr="006A43BB">
        <w:rPr>
          <w:sz w:val="18"/>
          <w:szCs w:val="18"/>
        </w:rPr>
        <w:t xml:space="preserve"> </w:t>
      </w:r>
    </w:p>
  </w:footnote>
  <w:footnote w:id="10">
    <w:p w14:paraId="73291B62" w14:textId="77777777" w:rsidR="003B207D" w:rsidRPr="006A43BB" w:rsidRDefault="00C96635" w:rsidP="006A43BB">
      <w:pPr>
        <w:pStyle w:val="Body"/>
        <w:jc w:val="both"/>
        <w:rPr>
          <w:sz w:val="18"/>
          <w:szCs w:val="18"/>
        </w:rPr>
      </w:pPr>
      <w:r w:rsidRPr="006A43BB">
        <w:rPr>
          <w:rStyle w:val="FootnoteReference"/>
          <w:sz w:val="18"/>
          <w:szCs w:val="18"/>
        </w:rPr>
        <w:footnoteRef/>
      </w:r>
      <w:r w:rsidRPr="00FD57B4">
        <w:rPr>
          <w:sz w:val="18"/>
          <w:szCs w:val="18"/>
          <w:lang w:val="en-US"/>
        </w:rPr>
        <w:t xml:space="preserve"> Marek St. </w:t>
      </w:r>
      <w:proofErr w:type="spellStart"/>
      <w:r w:rsidRPr="00FD57B4">
        <w:rPr>
          <w:sz w:val="18"/>
          <w:szCs w:val="18"/>
          <w:lang w:val="en-US"/>
        </w:rPr>
        <w:t>Korowicz</w:t>
      </w:r>
      <w:proofErr w:type="spellEnd"/>
      <w:r w:rsidRPr="00FD57B4">
        <w:rPr>
          <w:sz w:val="18"/>
          <w:szCs w:val="18"/>
          <w:lang w:val="en-US"/>
        </w:rPr>
        <w:t xml:space="preserve">, 'The Problem Of The International Personality Of Individuals' (1956) 50 American Journal of International Law. </w:t>
      </w:r>
    </w:p>
  </w:footnote>
  <w:footnote w:id="11">
    <w:p w14:paraId="73291B63" w14:textId="77777777" w:rsidR="003B207D" w:rsidRPr="006A43BB" w:rsidRDefault="00C96635" w:rsidP="006A43BB">
      <w:pPr>
        <w:pStyle w:val="Body"/>
        <w:jc w:val="both"/>
        <w:rPr>
          <w:sz w:val="18"/>
          <w:szCs w:val="18"/>
        </w:rPr>
      </w:pPr>
      <w:r w:rsidRPr="006A43BB">
        <w:rPr>
          <w:rStyle w:val="FootnoteReference"/>
          <w:sz w:val="18"/>
          <w:szCs w:val="18"/>
        </w:rPr>
        <w:footnoteRef/>
      </w:r>
      <w:r w:rsidRPr="006A43BB">
        <w:rPr>
          <w:sz w:val="18"/>
          <w:szCs w:val="18"/>
        </w:rPr>
        <w:t xml:space="preserve"> Nicola </w:t>
      </w:r>
      <w:bookmarkStart w:id="3" w:name="_Hlk73200317"/>
      <w:proofErr w:type="spellStart"/>
      <w:r w:rsidRPr="006A43BB">
        <w:rPr>
          <w:sz w:val="18"/>
          <w:szCs w:val="18"/>
        </w:rPr>
        <w:t>J</w:t>
      </w:r>
      <w:r w:rsidRPr="00FD57B4">
        <w:rPr>
          <w:sz w:val="18"/>
          <w:szCs w:val="18"/>
        </w:rPr>
        <w:t>ä</w:t>
      </w:r>
      <w:r w:rsidRPr="00FD57B4">
        <w:rPr>
          <w:sz w:val="18"/>
          <w:szCs w:val="18"/>
          <w:lang w:val="en-US"/>
        </w:rPr>
        <w:t>gers</w:t>
      </w:r>
      <w:bookmarkEnd w:id="3"/>
      <w:proofErr w:type="spellEnd"/>
      <w:r w:rsidRPr="00FD57B4">
        <w:rPr>
          <w:sz w:val="18"/>
          <w:szCs w:val="18"/>
          <w:lang w:val="en-US"/>
        </w:rPr>
        <w:t>, Corporate Human Rights Obligations: In Search Of Accountability (</w:t>
      </w:r>
      <w:proofErr w:type="spellStart"/>
      <w:r w:rsidRPr="00FD57B4">
        <w:rPr>
          <w:sz w:val="18"/>
          <w:szCs w:val="18"/>
          <w:lang w:val="en-US"/>
        </w:rPr>
        <w:t>Intersentia</w:t>
      </w:r>
      <w:proofErr w:type="spellEnd"/>
      <w:r w:rsidRPr="00FD57B4">
        <w:rPr>
          <w:sz w:val="18"/>
          <w:szCs w:val="18"/>
          <w:lang w:val="en-US"/>
        </w:rPr>
        <w:t xml:space="preserve"> 2002)</w:t>
      </w:r>
    </w:p>
  </w:footnote>
  <w:footnote w:id="12">
    <w:p w14:paraId="73291B64" w14:textId="118AB579" w:rsidR="003B207D" w:rsidRDefault="00C96635" w:rsidP="006A43BB">
      <w:pPr>
        <w:pStyle w:val="Body"/>
        <w:jc w:val="both"/>
      </w:pPr>
      <w:r w:rsidRPr="006A43BB">
        <w:rPr>
          <w:rStyle w:val="FootnoteReference"/>
          <w:sz w:val="18"/>
          <w:szCs w:val="18"/>
        </w:rPr>
        <w:footnoteRef/>
      </w:r>
      <w:r w:rsidRPr="00FD57B4">
        <w:rPr>
          <w:sz w:val="18"/>
          <w:szCs w:val="18"/>
          <w:lang w:val="en-US"/>
        </w:rPr>
        <w:t xml:space="preserve"> </w:t>
      </w:r>
      <w:r w:rsidR="00A32BF4">
        <w:rPr>
          <w:sz w:val="18"/>
          <w:szCs w:val="18"/>
          <w:lang w:val="en-US"/>
        </w:rPr>
        <w:t xml:space="preserve">Ibid. </w:t>
      </w:r>
    </w:p>
  </w:footnote>
  <w:footnote w:id="13">
    <w:p w14:paraId="73291B65" w14:textId="1160A9D8" w:rsidR="003B207D" w:rsidRPr="006A43BB" w:rsidRDefault="00C96635" w:rsidP="006A43BB">
      <w:pPr>
        <w:pStyle w:val="Body"/>
        <w:jc w:val="both"/>
        <w:rPr>
          <w:rFonts w:cs="Times New Roman"/>
          <w:sz w:val="18"/>
          <w:szCs w:val="18"/>
        </w:rPr>
      </w:pPr>
      <w:r w:rsidRPr="006A43BB">
        <w:rPr>
          <w:rStyle w:val="FootnoteReference"/>
          <w:rFonts w:cs="Times New Roman"/>
          <w:sz w:val="18"/>
          <w:szCs w:val="18"/>
        </w:rPr>
        <w:footnoteRef/>
      </w:r>
      <w:r w:rsidRPr="006A43BB">
        <w:rPr>
          <w:rFonts w:cs="Times New Roman"/>
          <w:sz w:val="18"/>
          <w:szCs w:val="18"/>
          <w:lang w:val="en-US"/>
        </w:rPr>
        <w:t xml:space="preserve"> </w:t>
      </w:r>
      <w:proofErr w:type="spellStart"/>
      <w:r w:rsidR="00A32BF4" w:rsidRPr="006A43BB">
        <w:rPr>
          <w:rFonts w:cs="Times New Roman"/>
          <w:sz w:val="18"/>
          <w:szCs w:val="18"/>
          <w:lang w:val="en-US"/>
        </w:rPr>
        <w:t>Jägers</w:t>
      </w:r>
      <w:proofErr w:type="spellEnd"/>
      <w:r w:rsidR="00A32BF4" w:rsidRPr="006A43BB" w:rsidDel="00A32BF4">
        <w:rPr>
          <w:rFonts w:cs="Times New Roman"/>
          <w:sz w:val="18"/>
          <w:szCs w:val="18"/>
          <w:lang w:val="en-US"/>
        </w:rPr>
        <w:t xml:space="preserve"> </w:t>
      </w:r>
      <w:r w:rsidR="00A32BF4" w:rsidRPr="006A43BB">
        <w:rPr>
          <w:rFonts w:cs="Times New Roman"/>
          <w:sz w:val="18"/>
          <w:szCs w:val="18"/>
          <w:lang w:val="en-US"/>
        </w:rPr>
        <w:t xml:space="preserve"> (n 10)</w:t>
      </w:r>
      <w:r w:rsidR="00BE7DAE" w:rsidRPr="006A43BB">
        <w:rPr>
          <w:rFonts w:cs="Times New Roman"/>
          <w:sz w:val="18"/>
          <w:szCs w:val="18"/>
          <w:lang w:val="en-US"/>
        </w:rPr>
        <w:t>.</w:t>
      </w:r>
    </w:p>
  </w:footnote>
  <w:footnote w:id="14">
    <w:p w14:paraId="73291B66" w14:textId="44607080" w:rsidR="003B207D" w:rsidRPr="006A43BB" w:rsidRDefault="00C96635" w:rsidP="006A43BB">
      <w:pPr>
        <w:pStyle w:val="Body"/>
        <w:jc w:val="both"/>
        <w:rPr>
          <w:rFonts w:cs="Times New Roman"/>
          <w:sz w:val="18"/>
          <w:szCs w:val="18"/>
        </w:rPr>
      </w:pPr>
      <w:r w:rsidRPr="006A43BB">
        <w:rPr>
          <w:rStyle w:val="FootnoteReference"/>
          <w:rFonts w:cs="Times New Roman"/>
          <w:sz w:val="18"/>
          <w:szCs w:val="18"/>
        </w:rPr>
        <w:footnoteRef/>
      </w:r>
      <w:r w:rsidRPr="006A43BB">
        <w:rPr>
          <w:rFonts w:cs="Times New Roman"/>
          <w:sz w:val="18"/>
          <w:szCs w:val="18"/>
          <w:lang w:val="en-US"/>
        </w:rPr>
        <w:t xml:space="preserve"> Deva (n </w:t>
      </w:r>
      <w:r w:rsidR="00BE7DAE" w:rsidRPr="006A43BB">
        <w:rPr>
          <w:rFonts w:cs="Times New Roman"/>
          <w:sz w:val="18"/>
          <w:szCs w:val="18"/>
          <w:lang w:val="en-US"/>
        </w:rPr>
        <w:t>4</w:t>
      </w:r>
      <w:r w:rsidRPr="006A43BB">
        <w:rPr>
          <w:rFonts w:cs="Times New Roman"/>
          <w:sz w:val="18"/>
          <w:szCs w:val="18"/>
          <w:lang w:val="en-US"/>
        </w:rPr>
        <w:t>) 3-4.</w:t>
      </w:r>
    </w:p>
  </w:footnote>
  <w:footnote w:id="15">
    <w:p w14:paraId="73291B67" w14:textId="77777777" w:rsidR="003B207D" w:rsidRPr="006A43BB" w:rsidRDefault="00C96635" w:rsidP="006A43BB">
      <w:pPr>
        <w:pStyle w:val="Body"/>
        <w:jc w:val="both"/>
        <w:rPr>
          <w:rFonts w:cs="Times New Roman"/>
          <w:sz w:val="18"/>
          <w:szCs w:val="18"/>
        </w:rPr>
      </w:pPr>
      <w:r w:rsidRPr="006A43BB">
        <w:rPr>
          <w:rStyle w:val="FootnoteReference"/>
          <w:rFonts w:cs="Times New Roman"/>
          <w:sz w:val="18"/>
          <w:szCs w:val="18"/>
        </w:rPr>
        <w:footnoteRef/>
      </w:r>
      <w:r w:rsidRPr="006A43BB">
        <w:rPr>
          <w:rFonts w:cs="Times New Roman"/>
          <w:sz w:val="18"/>
          <w:szCs w:val="18"/>
          <w:lang w:val="da-DK"/>
        </w:rPr>
        <w:t xml:space="preserve"> </w:t>
      </w:r>
      <w:r w:rsidRPr="006A43BB">
        <w:rPr>
          <w:rFonts w:cs="Times New Roman"/>
          <w:sz w:val="18"/>
          <w:szCs w:val="18"/>
          <w:lang w:val="da-DK"/>
        </w:rPr>
        <w:t>Ibid 180.</w:t>
      </w:r>
      <w:r w:rsidRPr="006A43BB">
        <w:rPr>
          <w:rFonts w:cs="Times New Roman"/>
          <w:sz w:val="18"/>
          <w:szCs w:val="18"/>
        </w:rPr>
        <w:t xml:space="preserve"> </w:t>
      </w:r>
    </w:p>
  </w:footnote>
  <w:footnote w:id="16">
    <w:p w14:paraId="73291B68" w14:textId="77777777" w:rsidR="003B207D" w:rsidRPr="006A43BB" w:rsidRDefault="00C96635" w:rsidP="006A43BB">
      <w:pPr>
        <w:pStyle w:val="Body"/>
        <w:jc w:val="both"/>
        <w:rPr>
          <w:rFonts w:cs="Times New Roman"/>
          <w:sz w:val="18"/>
          <w:szCs w:val="18"/>
        </w:rPr>
      </w:pPr>
      <w:r w:rsidRPr="006A43BB">
        <w:rPr>
          <w:rStyle w:val="FootnoteReference"/>
          <w:rFonts w:cs="Times New Roman"/>
          <w:sz w:val="18"/>
          <w:szCs w:val="18"/>
        </w:rPr>
        <w:footnoteRef/>
      </w:r>
      <w:r w:rsidRPr="006A43BB">
        <w:rPr>
          <w:rFonts w:cs="Times New Roman"/>
          <w:sz w:val="18"/>
          <w:szCs w:val="18"/>
          <w:lang w:val="en-US"/>
        </w:rPr>
        <w:t xml:space="preserve"> </w:t>
      </w:r>
      <w:proofErr w:type="spellStart"/>
      <w:r w:rsidRPr="006A43BB">
        <w:rPr>
          <w:rFonts w:cs="Times New Roman"/>
          <w:sz w:val="18"/>
          <w:szCs w:val="18"/>
          <w:lang w:val="en-US"/>
        </w:rPr>
        <w:t>Radmilla</w:t>
      </w:r>
      <w:proofErr w:type="spellEnd"/>
      <w:r w:rsidRPr="006A43BB">
        <w:rPr>
          <w:rFonts w:cs="Times New Roman"/>
          <w:sz w:val="18"/>
          <w:szCs w:val="18"/>
          <w:lang w:val="en-US"/>
        </w:rPr>
        <w:t xml:space="preserve"> </w:t>
      </w:r>
      <w:proofErr w:type="spellStart"/>
      <w:r w:rsidRPr="006A43BB">
        <w:rPr>
          <w:rFonts w:cs="Times New Roman"/>
          <w:sz w:val="18"/>
          <w:szCs w:val="18"/>
          <w:lang w:val="en-US"/>
        </w:rPr>
        <w:t>Suleymanova</w:t>
      </w:r>
      <w:proofErr w:type="spellEnd"/>
      <w:r w:rsidRPr="006A43BB">
        <w:rPr>
          <w:rFonts w:cs="Times New Roman"/>
          <w:sz w:val="18"/>
          <w:szCs w:val="18"/>
          <w:lang w:val="en-US"/>
        </w:rPr>
        <w:t>, 'Corporate Giants Are Falling Down On Human Rights, Says Study' (Aljazeera.com, 2021) &lt;https://www.aljazeera.com/economy/2020/11/19/big-global-firms-falling-short-on-human-rights-despite-pressure&gt; accessed 13 March 2021.</w:t>
      </w:r>
    </w:p>
  </w:footnote>
  <w:footnote w:id="17">
    <w:p w14:paraId="73291B69" w14:textId="42C8BEB5" w:rsidR="003B207D" w:rsidRPr="006A43BB" w:rsidRDefault="00C96635" w:rsidP="006A43BB">
      <w:pPr>
        <w:pStyle w:val="Body"/>
        <w:jc w:val="both"/>
        <w:rPr>
          <w:rFonts w:cs="Times New Roman"/>
          <w:sz w:val="18"/>
          <w:szCs w:val="18"/>
        </w:rPr>
      </w:pPr>
      <w:r w:rsidRPr="006A43BB">
        <w:rPr>
          <w:rStyle w:val="FootnoteReference"/>
          <w:rFonts w:cs="Times New Roman"/>
          <w:sz w:val="18"/>
          <w:szCs w:val="18"/>
        </w:rPr>
        <w:footnoteRef/>
      </w:r>
      <w:r w:rsidRPr="006A43BB">
        <w:rPr>
          <w:rFonts w:cs="Times New Roman"/>
          <w:sz w:val="18"/>
          <w:szCs w:val="18"/>
        </w:rPr>
        <w:t xml:space="preserve"> </w:t>
      </w:r>
      <w:proofErr w:type="spellStart"/>
      <w:r w:rsidRPr="006A43BB">
        <w:rPr>
          <w:rFonts w:cs="Times New Roman"/>
          <w:sz w:val="18"/>
          <w:szCs w:val="18"/>
        </w:rPr>
        <w:t>Ruggie</w:t>
      </w:r>
      <w:proofErr w:type="spellEnd"/>
      <w:r w:rsidRPr="006A43BB">
        <w:rPr>
          <w:rFonts w:cs="Times New Roman"/>
          <w:sz w:val="18"/>
          <w:szCs w:val="18"/>
        </w:rPr>
        <w:t xml:space="preserve"> (n </w:t>
      </w:r>
      <w:r w:rsidR="00BE7DAE" w:rsidRPr="006A43BB">
        <w:rPr>
          <w:rFonts w:cs="Times New Roman"/>
          <w:sz w:val="18"/>
          <w:szCs w:val="18"/>
        </w:rPr>
        <w:t>2</w:t>
      </w:r>
      <w:r w:rsidRPr="006A43BB">
        <w:rPr>
          <w:rFonts w:cs="Times New Roman"/>
          <w:sz w:val="18"/>
          <w:szCs w:val="18"/>
        </w:rPr>
        <w:t>).</w:t>
      </w:r>
    </w:p>
  </w:footnote>
  <w:footnote w:id="18">
    <w:p w14:paraId="73291B6A" w14:textId="77777777" w:rsidR="003B207D" w:rsidRPr="006A43BB" w:rsidRDefault="00C96635">
      <w:pPr>
        <w:pStyle w:val="Body"/>
        <w:jc w:val="both"/>
        <w:rPr>
          <w:rFonts w:cs="Times New Roman"/>
          <w:sz w:val="18"/>
          <w:szCs w:val="18"/>
        </w:rPr>
      </w:pPr>
      <w:r w:rsidRPr="006A43BB">
        <w:rPr>
          <w:rStyle w:val="FootnoteReference"/>
          <w:rFonts w:cs="Times New Roman"/>
          <w:sz w:val="18"/>
          <w:szCs w:val="18"/>
        </w:rPr>
        <w:footnoteRef/>
      </w:r>
      <w:r w:rsidRPr="006A43BB">
        <w:rPr>
          <w:rFonts w:cs="Times New Roman"/>
          <w:sz w:val="18"/>
          <w:szCs w:val="18"/>
        </w:rPr>
        <w:t xml:space="preserve"> </w:t>
      </w:r>
      <w:r w:rsidRPr="006A43BB">
        <w:rPr>
          <w:rFonts w:cs="Times New Roman"/>
          <w:sz w:val="18"/>
          <w:szCs w:val="18"/>
          <w:lang w:val="en-US"/>
        </w:rPr>
        <w:t xml:space="preserve">UN Human Rights Council, </w:t>
      </w:r>
      <w:r w:rsidRPr="00914855">
        <w:rPr>
          <w:rFonts w:cs="Times New Roman"/>
          <w:sz w:val="18"/>
          <w:szCs w:val="18"/>
          <w:rtl/>
        </w:rPr>
        <w:t>‘</w:t>
      </w:r>
      <w:r w:rsidRPr="006A43BB">
        <w:rPr>
          <w:rFonts w:cs="Times New Roman"/>
          <w:i/>
          <w:iCs/>
          <w:sz w:val="18"/>
          <w:szCs w:val="18"/>
          <w:lang w:val="en-US"/>
        </w:rPr>
        <w:t>Elaboration of an internationally legally binding instrument on transnational corporations and other business enterprises with respect to human rights</w:t>
      </w:r>
      <w:r w:rsidRPr="006A43BB">
        <w:rPr>
          <w:rFonts w:cs="Times New Roman"/>
          <w:i/>
          <w:iCs/>
          <w:sz w:val="18"/>
          <w:szCs w:val="18"/>
        </w:rPr>
        <w:t xml:space="preserve">” </w:t>
      </w:r>
      <w:r w:rsidRPr="006A43BB">
        <w:rPr>
          <w:rFonts w:cs="Times New Roman"/>
          <w:sz w:val="18"/>
          <w:szCs w:val="18"/>
          <w:lang w:val="en-US"/>
        </w:rPr>
        <w:t xml:space="preserve"> A/HRC/26/L.22/Rev.1 [25 June 2014].</w:t>
      </w:r>
    </w:p>
  </w:footnote>
  <w:footnote w:id="19">
    <w:p w14:paraId="73291B6B" w14:textId="77777777" w:rsidR="003B207D" w:rsidRPr="006A43BB" w:rsidRDefault="00C96635" w:rsidP="006A43BB">
      <w:pPr>
        <w:pStyle w:val="Body"/>
        <w:jc w:val="both"/>
        <w:rPr>
          <w:rFonts w:cs="Times New Roman"/>
          <w:sz w:val="18"/>
          <w:szCs w:val="18"/>
        </w:rPr>
      </w:pPr>
      <w:r w:rsidRPr="006A43BB">
        <w:rPr>
          <w:rStyle w:val="FootnoteReference"/>
          <w:rFonts w:cs="Times New Roman"/>
          <w:sz w:val="18"/>
          <w:szCs w:val="18"/>
        </w:rPr>
        <w:footnoteRef/>
      </w:r>
      <w:r w:rsidRPr="006A43BB">
        <w:rPr>
          <w:rFonts w:cs="Times New Roman"/>
          <w:sz w:val="18"/>
          <w:szCs w:val="18"/>
          <w:lang w:val="en-US"/>
        </w:rPr>
        <w:t xml:space="preserve"> Nadia </w:t>
      </w:r>
      <w:proofErr w:type="spellStart"/>
      <w:r w:rsidRPr="006A43BB">
        <w:rPr>
          <w:rFonts w:cs="Times New Roman"/>
          <w:sz w:val="18"/>
          <w:szCs w:val="18"/>
          <w:lang w:val="en-US"/>
        </w:rPr>
        <w:t>Bernaz</w:t>
      </w:r>
      <w:proofErr w:type="spellEnd"/>
      <w:r w:rsidRPr="006A43BB">
        <w:rPr>
          <w:rFonts w:cs="Times New Roman"/>
          <w:sz w:val="18"/>
          <w:szCs w:val="18"/>
          <w:lang w:val="en-US"/>
        </w:rPr>
        <w:t>, 'Conceptualizing Corporate Accountability In International Law: Models For A Business And Human Rights Treaty' (2020) 22 Human Rights Review.</w:t>
      </w:r>
    </w:p>
  </w:footnote>
  <w:footnote w:id="20">
    <w:p w14:paraId="73291B6C" w14:textId="2A490849" w:rsidR="003B207D" w:rsidRPr="006A43BB" w:rsidRDefault="00C96635" w:rsidP="006A43BB">
      <w:pPr>
        <w:pStyle w:val="Body"/>
        <w:jc w:val="both"/>
        <w:rPr>
          <w:sz w:val="18"/>
          <w:szCs w:val="18"/>
        </w:rPr>
      </w:pPr>
      <w:r w:rsidRPr="006A43BB">
        <w:rPr>
          <w:rStyle w:val="FootnoteReference"/>
          <w:rFonts w:cs="Times New Roman"/>
          <w:sz w:val="18"/>
          <w:szCs w:val="18"/>
        </w:rPr>
        <w:footnoteRef/>
      </w:r>
      <w:r w:rsidRPr="006A43BB">
        <w:rPr>
          <w:rFonts w:cs="Times New Roman"/>
          <w:sz w:val="18"/>
          <w:szCs w:val="18"/>
        </w:rPr>
        <w:t xml:space="preserve"> </w:t>
      </w:r>
      <w:bookmarkStart w:id="4" w:name="_Hlk73200385"/>
      <w:proofErr w:type="spellStart"/>
      <w:r w:rsidRPr="006A43BB">
        <w:rPr>
          <w:rFonts w:cs="Times New Roman"/>
          <w:sz w:val="18"/>
          <w:szCs w:val="18"/>
        </w:rPr>
        <w:t>Ruggie</w:t>
      </w:r>
      <w:proofErr w:type="spellEnd"/>
      <w:r w:rsidRPr="006A43BB">
        <w:rPr>
          <w:rFonts w:cs="Times New Roman"/>
          <w:sz w:val="18"/>
          <w:szCs w:val="18"/>
        </w:rPr>
        <w:t xml:space="preserve"> (n </w:t>
      </w:r>
      <w:r w:rsidR="00BE7DAE" w:rsidRPr="006A43BB">
        <w:rPr>
          <w:rFonts w:cs="Times New Roman"/>
          <w:sz w:val="18"/>
          <w:szCs w:val="18"/>
        </w:rPr>
        <w:t>2</w:t>
      </w:r>
      <w:r w:rsidRPr="006A43BB">
        <w:rPr>
          <w:rFonts w:cs="Times New Roman"/>
          <w:sz w:val="18"/>
          <w:szCs w:val="18"/>
        </w:rPr>
        <w:t>).</w:t>
      </w:r>
      <w:bookmarkEnd w:id="4"/>
    </w:p>
  </w:footnote>
  <w:footnote w:id="21">
    <w:p w14:paraId="73291B6D" w14:textId="3E4A85F2" w:rsidR="003B207D" w:rsidRDefault="00C96635">
      <w:pPr>
        <w:pStyle w:val="Body"/>
      </w:pPr>
      <w:r w:rsidRPr="006A43BB">
        <w:rPr>
          <w:rStyle w:val="FootnoteReference"/>
          <w:sz w:val="18"/>
          <w:szCs w:val="18"/>
        </w:rPr>
        <w:footnoteRef/>
      </w:r>
      <w:r w:rsidRPr="00914855">
        <w:rPr>
          <w:sz w:val="18"/>
          <w:szCs w:val="18"/>
          <w:lang w:val="da-DK"/>
        </w:rPr>
        <w:t xml:space="preserve"> </w:t>
      </w:r>
      <w:r w:rsidR="00914855" w:rsidRPr="00914855">
        <w:rPr>
          <w:sz w:val="18"/>
          <w:szCs w:val="18"/>
          <w:lang w:val="da-DK"/>
        </w:rPr>
        <w:t>Ibid.</w:t>
      </w:r>
    </w:p>
  </w:footnote>
  <w:footnote w:id="22">
    <w:p w14:paraId="73291B70" w14:textId="77777777" w:rsidR="003B207D" w:rsidRPr="006A43BB" w:rsidRDefault="00C96635" w:rsidP="006A43BB">
      <w:pPr>
        <w:pStyle w:val="BodyA"/>
        <w:spacing w:line="240" w:lineRule="auto"/>
        <w:jc w:val="both"/>
        <w:rPr>
          <w:rFonts w:ascii="Times New Roman" w:hAnsi="Times New Roman" w:cs="Times New Roman"/>
          <w:sz w:val="18"/>
          <w:szCs w:val="18"/>
        </w:rPr>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Lassa Oppenheim, International Law: A Treatise (2nd </w:t>
      </w:r>
      <w:proofErr w:type="spellStart"/>
      <w:r w:rsidRPr="006A43BB">
        <w:rPr>
          <w:rFonts w:ascii="Times New Roman" w:hAnsi="Times New Roman" w:cs="Times New Roman"/>
          <w:sz w:val="18"/>
          <w:szCs w:val="18"/>
        </w:rPr>
        <w:t>edn</w:t>
      </w:r>
      <w:proofErr w:type="spellEnd"/>
      <w:r w:rsidRPr="006A43BB">
        <w:rPr>
          <w:rFonts w:ascii="Times New Roman" w:hAnsi="Times New Roman" w:cs="Times New Roman"/>
          <w:sz w:val="18"/>
          <w:szCs w:val="18"/>
        </w:rPr>
        <w:t>, 1905).</w:t>
      </w:r>
    </w:p>
  </w:footnote>
  <w:footnote w:id="23">
    <w:p w14:paraId="73291B71" w14:textId="77777777" w:rsidR="003B207D" w:rsidRPr="006A43BB" w:rsidRDefault="00C96635">
      <w:pPr>
        <w:pStyle w:val="BodyA"/>
        <w:spacing w:line="240" w:lineRule="auto"/>
        <w:jc w:val="both"/>
        <w:rPr>
          <w:rFonts w:ascii="Times New Roman" w:hAnsi="Times New Roman" w:cs="Times New Roman"/>
          <w:sz w:val="18"/>
          <w:szCs w:val="18"/>
        </w:rPr>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M </w:t>
      </w:r>
      <w:proofErr w:type="spellStart"/>
      <w:r w:rsidRPr="006A43BB">
        <w:rPr>
          <w:rFonts w:ascii="Times New Roman" w:hAnsi="Times New Roman" w:cs="Times New Roman"/>
          <w:sz w:val="18"/>
          <w:szCs w:val="18"/>
        </w:rPr>
        <w:t>Sornarajah</w:t>
      </w:r>
      <w:proofErr w:type="spellEnd"/>
      <w:r w:rsidRPr="006A43BB">
        <w:rPr>
          <w:rFonts w:ascii="Times New Roman" w:hAnsi="Times New Roman" w:cs="Times New Roman"/>
          <w:sz w:val="18"/>
          <w:szCs w:val="18"/>
        </w:rPr>
        <w:t>, Resistance And Change In The International Law On Foreign Investment. In Resistance And Change In The International Law On Foreign Investment (Cambridge University Press 2015).</w:t>
      </w:r>
    </w:p>
  </w:footnote>
  <w:footnote w:id="24">
    <w:p w14:paraId="4FD4F4CC" w14:textId="247D22F7" w:rsidR="00954C9C" w:rsidRPr="006A43BB" w:rsidRDefault="00954C9C">
      <w:pPr>
        <w:pStyle w:val="FootnoteText"/>
        <w:rPr>
          <w:sz w:val="18"/>
          <w:szCs w:val="18"/>
        </w:rPr>
      </w:pPr>
      <w:r w:rsidRPr="006A43BB">
        <w:rPr>
          <w:rStyle w:val="FootnoteReference"/>
          <w:sz w:val="18"/>
          <w:szCs w:val="18"/>
        </w:rPr>
        <w:footnoteRef/>
      </w:r>
      <w:r w:rsidRPr="006A43BB">
        <w:rPr>
          <w:sz w:val="18"/>
          <w:szCs w:val="18"/>
        </w:rPr>
        <w:t xml:space="preserve"> Steven R. Ratner, 'Corporations And Human Rights: A Theory Of Legal Responsibility' (2001) 111 The Yale Law Journal 454.</w:t>
      </w:r>
    </w:p>
  </w:footnote>
  <w:footnote w:id="25">
    <w:p w14:paraId="73291B73" w14:textId="4C016FE0" w:rsidR="003B207D" w:rsidRPr="006A43BB" w:rsidRDefault="00C96635" w:rsidP="006A43BB">
      <w:pPr>
        <w:pStyle w:val="BodyA"/>
        <w:spacing w:line="240" w:lineRule="auto"/>
        <w:jc w:val="both"/>
        <w:rPr>
          <w:rFonts w:ascii="Times New Roman" w:hAnsi="Times New Roman" w:cs="Times New Roman"/>
          <w:sz w:val="18"/>
          <w:szCs w:val="18"/>
        </w:rPr>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w:t>
      </w:r>
      <w:r w:rsidRPr="006A43BB">
        <w:rPr>
          <w:rFonts w:ascii="Times New Roman" w:hAnsi="Times New Roman" w:cs="Times New Roman"/>
          <w:sz w:val="18"/>
          <w:szCs w:val="18"/>
          <w:lang w:val="pt-PT"/>
        </w:rPr>
        <w:t>Ibid</w:t>
      </w:r>
      <w:r w:rsidR="00222B03" w:rsidRPr="006A43BB">
        <w:rPr>
          <w:rFonts w:ascii="Times New Roman" w:hAnsi="Times New Roman" w:cs="Times New Roman"/>
          <w:sz w:val="18"/>
          <w:szCs w:val="18"/>
          <w:lang w:val="pt-PT"/>
        </w:rPr>
        <w:t xml:space="preserve"> 455. </w:t>
      </w:r>
    </w:p>
  </w:footnote>
  <w:footnote w:id="26">
    <w:p w14:paraId="73291B74" w14:textId="77777777" w:rsidR="003B207D" w:rsidRPr="006A43BB" w:rsidRDefault="00C96635" w:rsidP="006A43BB">
      <w:pPr>
        <w:pStyle w:val="BodyA"/>
        <w:spacing w:line="240" w:lineRule="auto"/>
        <w:jc w:val="both"/>
        <w:rPr>
          <w:rFonts w:ascii="Times New Roman" w:hAnsi="Times New Roman" w:cs="Times New Roman"/>
          <w:sz w:val="18"/>
          <w:szCs w:val="18"/>
        </w:rPr>
      </w:pPr>
      <w:r w:rsidRPr="006A43BB">
        <w:rPr>
          <w:rFonts w:ascii="Times New Roman" w:hAnsi="Times New Roman" w:cs="Times New Roman"/>
          <w:sz w:val="18"/>
          <w:szCs w:val="18"/>
          <w:vertAlign w:val="superscript"/>
          <w:lang w:val="da-DK"/>
        </w:rPr>
        <w:footnoteRef/>
      </w:r>
      <w:r w:rsidRPr="006A43BB">
        <w:rPr>
          <w:rFonts w:ascii="Times New Roman" w:hAnsi="Times New Roman" w:cs="Times New Roman"/>
          <w:sz w:val="18"/>
          <w:szCs w:val="18"/>
          <w:lang w:val="da-DK"/>
        </w:rPr>
        <w:t xml:space="preserve"> </w:t>
      </w:r>
      <w:r w:rsidRPr="006A43BB">
        <w:rPr>
          <w:rFonts w:ascii="Times New Roman" w:hAnsi="Times New Roman" w:cs="Times New Roman"/>
          <w:sz w:val="18"/>
          <w:szCs w:val="18"/>
          <w:lang w:val="da-DK"/>
        </w:rPr>
        <w:t>Ibid.</w:t>
      </w:r>
    </w:p>
  </w:footnote>
  <w:footnote w:id="27">
    <w:p w14:paraId="73291B75" w14:textId="77777777" w:rsidR="003B207D" w:rsidRPr="00914855" w:rsidRDefault="00C96635">
      <w:pPr>
        <w:pStyle w:val="BodyA"/>
        <w:spacing w:line="240" w:lineRule="auto"/>
        <w:jc w:val="both"/>
        <w:rPr>
          <w:rFonts w:ascii="Times New Roman" w:eastAsia="Times New Roman" w:hAnsi="Times New Roman" w:cs="Times New Roman"/>
          <w:sz w:val="18"/>
          <w:szCs w:val="18"/>
        </w:rPr>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UN GA, ‘Declaration on Principles of International Law Concerning Friendly</w:t>
      </w:r>
    </w:p>
    <w:p w14:paraId="73291B76" w14:textId="77777777" w:rsidR="003B207D" w:rsidRPr="006A43BB" w:rsidRDefault="00C96635">
      <w:pPr>
        <w:pStyle w:val="BodyA"/>
        <w:spacing w:line="240" w:lineRule="auto"/>
        <w:jc w:val="both"/>
        <w:rPr>
          <w:rFonts w:ascii="Times New Roman" w:hAnsi="Times New Roman" w:cs="Times New Roman"/>
          <w:sz w:val="18"/>
          <w:szCs w:val="18"/>
        </w:rPr>
      </w:pPr>
      <w:r w:rsidRPr="006A43BB">
        <w:rPr>
          <w:rFonts w:ascii="Times New Roman" w:hAnsi="Times New Roman" w:cs="Times New Roman"/>
          <w:sz w:val="18"/>
          <w:szCs w:val="18"/>
        </w:rPr>
        <w:t xml:space="preserve">Relations and Co-operation Among States in Accordance with the Charter of the United Nations’ 24 October 1970, A/8028 </w:t>
      </w:r>
    </w:p>
  </w:footnote>
  <w:footnote w:id="28">
    <w:p w14:paraId="73291B77" w14:textId="77777777" w:rsidR="003B207D" w:rsidRPr="006A43BB" w:rsidRDefault="00C96635">
      <w:pPr>
        <w:pStyle w:val="BodyA"/>
        <w:spacing w:line="240" w:lineRule="auto"/>
        <w:jc w:val="both"/>
        <w:rPr>
          <w:rFonts w:ascii="Times New Roman" w:hAnsi="Times New Roman" w:cs="Times New Roman"/>
          <w:sz w:val="18"/>
          <w:szCs w:val="18"/>
        </w:rPr>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United Nations, Charter of the United Nations, 24 October 1945, 1 UNTS XVI</w:t>
      </w:r>
    </w:p>
  </w:footnote>
  <w:footnote w:id="29">
    <w:p w14:paraId="73291B78" w14:textId="77777777" w:rsidR="003B207D" w:rsidRPr="006A43BB" w:rsidRDefault="00C96635">
      <w:pPr>
        <w:pStyle w:val="BodyA"/>
        <w:spacing w:line="240" w:lineRule="auto"/>
        <w:jc w:val="both"/>
        <w:rPr>
          <w:rFonts w:ascii="Times New Roman" w:hAnsi="Times New Roman" w:cs="Times New Roman"/>
          <w:sz w:val="18"/>
          <w:szCs w:val="18"/>
        </w:rPr>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w:t>
      </w:r>
      <w:bookmarkStart w:id="5" w:name="_Hlk73266041"/>
      <w:r w:rsidRPr="006A43BB">
        <w:rPr>
          <w:rFonts w:ascii="Times New Roman" w:hAnsi="Times New Roman" w:cs="Times New Roman"/>
          <w:sz w:val="18"/>
          <w:szCs w:val="18"/>
        </w:rPr>
        <w:t>Universal Declaration of Human Rights</w:t>
      </w:r>
      <w:bookmarkEnd w:id="5"/>
      <w:r w:rsidRPr="006A43BB">
        <w:rPr>
          <w:rFonts w:ascii="Times New Roman" w:hAnsi="Times New Roman" w:cs="Times New Roman"/>
          <w:sz w:val="18"/>
          <w:szCs w:val="18"/>
        </w:rPr>
        <w:t>, 10 December 1948, 217 A (III)</w:t>
      </w:r>
    </w:p>
  </w:footnote>
  <w:footnote w:id="30">
    <w:p w14:paraId="73291B79" w14:textId="77777777" w:rsidR="003B207D" w:rsidRPr="006A43BB" w:rsidRDefault="00C96635">
      <w:pPr>
        <w:pStyle w:val="BodyA"/>
        <w:spacing w:line="240" w:lineRule="auto"/>
        <w:jc w:val="both"/>
        <w:rPr>
          <w:rFonts w:ascii="Times New Roman" w:hAnsi="Times New Roman" w:cs="Times New Roman"/>
          <w:sz w:val="18"/>
          <w:szCs w:val="18"/>
        </w:rPr>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International Covenant on Economic, Social and Cultural Rights (adopted 16 December 1966, entered into force 3 January 1976) 993 UNTS 3 (ICESCR).</w:t>
      </w:r>
    </w:p>
  </w:footnote>
  <w:footnote w:id="31">
    <w:p w14:paraId="73291B7A" w14:textId="77777777" w:rsidR="003B207D" w:rsidRPr="006A43BB" w:rsidRDefault="00C96635" w:rsidP="006A43BB">
      <w:pPr>
        <w:pStyle w:val="BodyA"/>
        <w:spacing w:line="240" w:lineRule="auto"/>
        <w:jc w:val="both"/>
        <w:rPr>
          <w:rFonts w:ascii="Times New Roman" w:hAnsi="Times New Roman" w:cs="Times New Roman"/>
          <w:sz w:val="18"/>
          <w:szCs w:val="18"/>
        </w:rPr>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International Covenant on Civil and Political Rights (adopted 16 December 1966, entered into force 23 March 1976) 999 UNTS 171 (ICCPR) </w:t>
      </w:r>
    </w:p>
  </w:footnote>
  <w:footnote w:id="32">
    <w:p w14:paraId="73291B7B" w14:textId="6E2DD1D8" w:rsidR="003B207D" w:rsidRPr="006A43BB" w:rsidRDefault="00C96635" w:rsidP="006A43BB">
      <w:pPr>
        <w:pStyle w:val="FootnoteText"/>
        <w:jc w:val="both"/>
        <w:rPr>
          <w:sz w:val="18"/>
          <w:szCs w:val="18"/>
        </w:rPr>
      </w:pPr>
      <w:r w:rsidRPr="006A43BB">
        <w:rPr>
          <w:sz w:val="18"/>
          <w:szCs w:val="18"/>
          <w:vertAlign w:val="superscript"/>
          <w14:textOutline w14:w="12700" w14:cap="flat" w14:cmpd="sng" w14:algn="ctr">
            <w14:noFill/>
            <w14:prstDash w14:val="solid"/>
            <w14:miter w14:lim="400000"/>
          </w14:textOutline>
        </w:rPr>
        <w:footnoteRef/>
      </w:r>
      <w:r w:rsidRPr="006A43BB">
        <w:rPr>
          <w:rStyle w:val="NoneA"/>
          <w:rFonts w:eastAsia="Arial Unicode MS"/>
          <w:sz w:val="18"/>
          <w:szCs w:val="18"/>
        </w:rPr>
        <w:t xml:space="preserve"> Ratner (n</w:t>
      </w:r>
      <w:r w:rsidR="00E27C13" w:rsidRPr="006A43BB">
        <w:rPr>
          <w:rStyle w:val="NoneA"/>
          <w:rFonts w:eastAsia="Arial Unicode MS"/>
          <w:sz w:val="18"/>
          <w:szCs w:val="18"/>
        </w:rPr>
        <w:t xml:space="preserve"> 25</w:t>
      </w:r>
      <w:r w:rsidRPr="006A43BB">
        <w:rPr>
          <w:rStyle w:val="NoneA"/>
          <w:rFonts w:eastAsia="Arial Unicode MS"/>
          <w:sz w:val="18"/>
          <w:szCs w:val="18"/>
        </w:rPr>
        <w:t>).</w:t>
      </w:r>
    </w:p>
  </w:footnote>
  <w:footnote w:id="33">
    <w:p w14:paraId="73291B7C" w14:textId="6ED833C4" w:rsidR="003B207D" w:rsidRPr="006A43BB" w:rsidRDefault="00C96635" w:rsidP="006A43BB">
      <w:pPr>
        <w:pStyle w:val="BodyA"/>
        <w:spacing w:line="240" w:lineRule="auto"/>
        <w:jc w:val="both"/>
        <w:rPr>
          <w:rFonts w:ascii="Times New Roman" w:hAnsi="Times New Roman" w:cs="Times New Roman"/>
          <w:sz w:val="18"/>
          <w:szCs w:val="18"/>
        </w:rPr>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w:t>
      </w:r>
      <w:r w:rsidR="00E27C13" w:rsidRPr="006A43BB">
        <w:rPr>
          <w:rFonts w:ascii="Times New Roman" w:hAnsi="Times New Roman" w:cs="Times New Roman"/>
          <w:sz w:val="18"/>
          <w:szCs w:val="18"/>
        </w:rPr>
        <w:t xml:space="preserve">Ibid </w:t>
      </w:r>
      <w:r w:rsidRPr="006A43BB">
        <w:rPr>
          <w:rFonts w:ascii="Times New Roman" w:hAnsi="Times New Roman" w:cs="Times New Roman"/>
          <w:sz w:val="18"/>
          <w:szCs w:val="18"/>
        </w:rPr>
        <w:t>456</w:t>
      </w:r>
      <w:r w:rsidR="00E27C13" w:rsidRPr="006A43BB">
        <w:rPr>
          <w:rFonts w:ascii="Times New Roman" w:hAnsi="Times New Roman" w:cs="Times New Roman"/>
          <w:sz w:val="18"/>
          <w:szCs w:val="18"/>
        </w:rPr>
        <w:t>.</w:t>
      </w:r>
    </w:p>
  </w:footnote>
  <w:footnote w:id="34">
    <w:p w14:paraId="73291B7D" w14:textId="77777777" w:rsidR="003B207D" w:rsidRPr="006A43BB" w:rsidRDefault="00C96635">
      <w:pPr>
        <w:pStyle w:val="BodyA"/>
        <w:spacing w:line="240" w:lineRule="auto"/>
        <w:jc w:val="both"/>
        <w:rPr>
          <w:rFonts w:ascii="Times New Roman" w:hAnsi="Times New Roman" w:cs="Times New Roman"/>
          <w:sz w:val="18"/>
          <w:szCs w:val="18"/>
        </w:rPr>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Mana </w:t>
      </w:r>
      <w:proofErr w:type="spellStart"/>
      <w:r w:rsidRPr="006A43BB">
        <w:rPr>
          <w:rFonts w:ascii="Times New Roman" w:hAnsi="Times New Roman" w:cs="Times New Roman"/>
          <w:sz w:val="18"/>
          <w:szCs w:val="18"/>
        </w:rPr>
        <w:t>Saced</w:t>
      </w:r>
      <w:proofErr w:type="spellEnd"/>
      <w:r w:rsidRPr="006A43BB">
        <w:rPr>
          <w:rFonts w:ascii="Times New Roman" w:hAnsi="Times New Roman" w:cs="Times New Roman"/>
          <w:sz w:val="18"/>
          <w:szCs w:val="18"/>
        </w:rPr>
        <w:t xml:space="preserve"> and Al </w:t>
      </w:r>
      <w:proofErr w:type="spellStart"/>
      <w:r w:rsidRPr="006A43BB">
        <w:rPr>
          <w:rFonts w:ascii="Times New Roman" w:hAnsi="Times New Roman" w:cs="Times New Roman"/>
          <w:sz w:val="18"/>
          <w:szCs w:val="18"/>
        </w:rPr>
        <w:t>Otaiba</w:t>
      </w:r>
      <w:proofErr w:type="spellEnd"/>
      <w:r w:rsidRPr="006A43BB">
        <w:rPr>
          <w:rFonts w:ascii="Times New Roman" w:hAnsi="Times New Roman" w:cs="Times New Roman"/>
          <w:sz w:val="18"/>
          <w:szCs w:val="18"/>
        </w:rPr>
        <w:t>, The Petroleum Concession Agreements Of The United Arab Emirates, 1939-1981 (Abu Dhabi) (1982).</w:t>
      </w:r>
    </w:p>
  </w:footnote>
  <w:footnote w:id="35">
    <w:p w14:paraId="73291B7E" w14:textId="77777777" w:rsidR="003B207D" w:rsidRPr="006A43BB" w:rsidRDefault="00C96635">
      <w:pPr>
        <w:pStyle w:val="BodyA"/>
        <w:spacing w:line="240" w:lineRule="auto"/>
        <w:rPr>
          <w:rFonts w:ascii="Times New Roman" w:hAnsi="Times New Roman" w:cs="Times New Roman"/>
          <w:sz w:val="18"/>
          <w:szCs w:val="18"/>
        </w:rPr>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UN ESCOR ‘Development and International Economic Co-operation: Transnational Corporations’ 1990, E/1990/94</w:t>
      </w:r>
    </w:p>
  </w:footnote>
  <w:footnote w:id="36">
    <w:p w14:paraId="73291B7F" w14:textId="7746E068" w:rsidR="003B207D" w:rsidRPr="006A43BB" w:rsidRDefault="00C96635">
      <w:pPr>
        <w:pStyle w:val="BodyA"/>
        <w:spacing w:line="240" w:lineRule="auto"/>
        <w:rPr>
          <w:rFonts w:ascii="Times New Roman" w:hAnsi="Times New Roman" w:cs="Times New Roman"/>
          <w:sz w:val="18"/>
          <w:szCs w:val="18"/>
        </w:rPr>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Ratner (n </w:t>
      </w:r>
      <w:r w:rsidR="008E3D2C" w:rsidRPr="006A43BB">
        <w:rPr>
          <w:rFonts w:ascii="Times New Roman" w:hAnsi="Times New Roman" w:cs="Times New Roman"/>
          <w:sz w:val="18"/>
          <w:szCs w:val="18"/>
        </w:rPr>
        <w:t>25</w:t>
      </w:r>
      <w:r w:rsidRPr="006A43BB">
        <w:rPr>
          <w:rFonts w:ascii="Times New Roman" w:hAnsi="Times New Roman" w:cs="Times New Roman"/>
          <w:sz w:val="18"/>
          <w:szCs w:val="18"/>
        </w:rPr>
        <w:t>) 458</w:t>
      </w:r>
    </w:p>
  </w:footnote>
  <w:footnote w:id="37">
    <w:p w14:paraId="73291B80" w14:textId="77777777" w:rsidR="003B207D" w:rsidRPr="006A43BB" w:rsidRDefault="00C96635">
      <w:pPr>
        <w:pStyle w:val="BodyA"/>
        <w:spacing w:line="240" w:lineRule="auto"/>
        <w:rPr>
          <w:rFonts w:ascii="Times New Roman" w:hAnsi="Times New Roman" w:cs="Times New Roman"/>
          <w:sz w:val="18"/>
          <w:szCs w:val="18"/>
        </w:rPr>
      </w:pPr>
      <w:r w:rsidRPr="006A43BB">
        <w:rPr>
          <w:rFonts w:ascii="Times New Roman" w:hAnsi="Times New Roman" w:cs="Times New Roman"/>
          <w:sz w:val="18"/>
          <w:szCs w:val="18"/>
          <w:vertAlign w:val="superscript"/>
          <w:lang w:val="da-DK"/>
        </w:rPr>
        <w:footnoteRef/>
      </w:r>
      <w:r w:rsidRPr="006A43BB">
        <w:rPr>
          <w:rFonts w:ascii="Times New Roman" w:hAnsi="Times New Roman" w:cs="Times New Roman"/>
          <w:sz w:val="18"/>
          <w:szCs w:val="18"/>
          <w:lang w:val="da-DK"/>
        </w:rPr>
        <w:t xml:space="preserve"> </w:t>
      </w:r>
      <w:r w:rsidRPr="006A43BB">
        <w:rPr>
          <w:rFonts w:ascii="Times New Roman" w:hAnsi="Times New Roman" w:cs="Times New Roman"/>
          <w:sz w:val="18"/>
          <w:szCs w:val="18"/>
          <w:lang w:val="da-DK"/>
        </w:rPr>
        <w:t>Ibid.</w:t>
      </w:r>
    </w:p>
  </w:footnote>
  <w:footnote w:id="38">
    <w:p w14:paraId="73291B81" w14:textId="77777777" w:rsidR="003B207D" w:rsidRPr="006A43BB" w:rsidRDefault="00C96635">
      <w:pPr>
        <w:pStyle w:val="FootnoteText"/>
        <w:rPr>
          <w:sz w:val="18"/>
          <w:szCs w:val="18"/>
        </w:rPr>
      </w:pPr>
      <w:r w:rsidRPr="006A43BB">
        <w:rPr>
          <w:sz w:val="18"/>
          <w:szCs w:val="18"/>
          <w:vertAlign w:val="superscript"/>
          <w14:textOutline w14:w="12700" w14:cap="flat" w14:cmpd="sng" w14:algn="ctr">
            <w14:noFill/>
            <w14:prstDash w14:val="solid"/>
            <w14:miter w14:lim="400000"/>
          </w14:textOutline>
        </w:rPr>
        <w:footnoteRef/>
      </w:r>
      <w:r w:rsidRPr="006A43BB">
        <w:rPr>
          <w:rFonts w:eastAsia="Arial Unicode MS"/>
          <w:sz w:val="18"/>
          <w:szCs w:val="18"/>
        </w:rPr>
        <w:t xml:space="preserve"> Roland Burke, '"The Compelling Dialogue Of Freedom": Human Rights At The Bandung Conference' (2006) 28 Human Rights Quarterly.</w:t>
      </w:r>
    </w:p>
  </w:footnote>
  <w:footnote w:id="39">
    <w:p w14:paraId="054FD19B" w14:textId="4E4D8FE5" w:rsidR="008E3D2C" w:rsidRDefault="008E3D2C">
      <w:pPr>
        <w:pStyle w:val="FootnoteText"/>
      </w:pPr>
      <w:r w:rsidRPr="006A43BB">
        <w:rPr>
          <w:rStyle w:val="FootnoteReference"/>
          <w:sz w:val="18"/>
          <w:szCs w:val="18"/>
        </w:rPr>
        <w:footnoteRef/>
      </w:r>
      <w:r w:rsidRPr="006A43BB">
        <w:rPr>
          <w:sz w:val="18"/>
          <w:szCs w:val="18"/>
        </w:rPr>
        <w:t xml:space="preserve"> UN  GA ‘Declaration on the Establishment of a new International Economic Order’ 1 May 1974,  A/Res/3201</w:t>
      </w:r>
    </w:p>
  </w:footnote>
  <w:footnote w:id="40">
    <w:p w14:paraId="73291B83" w14:textId="77777777" w:rsidR="003B207D" w:rsidRPr="006A43BB" w:rsidRDefault="00C96635">
      <w:pPr>
        <w:pStyle w:val="FootnoteText"/>
        <w:rPr>
          <w:sz w:val="18"/>
          <w:szCs w:val="18"/>
        </w:rPr>
      </w:pPr>
      <w:r w:rsidRPr="006A43BB">
        <w:rPr>
          <w:sz w:val="18"/>
          <w:szCs w:val="18"/>
          <w:vertAlign w:val="superscript"/>
          <w14:textOutline w14:w="12700" w14:cap="flat" w14:cmpd="sng" w14:algn="ctr">
            <w14:noFill/>
            <w14:prstDash w14:val="solid"/>
            <w14:miter w14:lim="400000"/>
          </w14:textOutline>
        </w:rPr>
        <w:footnoteRef/>
      </w:r>
      <w:r w:rsidRPr="006A43BB">
        <w:rPr>
          <w:rFonts w:eastAsia="Arial Unicode MS"/>
          <w:sz w:val="18"/>
          <w:szCs w:val="18"/>
        </w:rPr>
        <w:t xml:space="preserve"> Bret Benjamin, 'Bookend To Bandung: The New International Economic Order And The Antinomies Of The Bandung Era' (2015) 6 Humanity: An International Journal of Human Rights, Humanitarianism, and Development.</w:t>
      </w:r>
    </w:p>
  </w:footnote>
  <w:footnote w:id="41">
    <w:p w14:paraId="73291B84" w14:textId="77777777" w:rsidR="003B207D" w:rsidRPr="006A43BB" w:rsidRDefault="00C96635">
      <w:pPr>
        <w:pStyle w:val="FootnoteText"/>
        <w:jc w:val="both"/>
        <w:rPr>
          <w:sz w:val="18"/>
          <w:szCs w:val="18"/>
        </w:rPr>
      </w:pPr>
      <w:r w:rsidRPr="006A43BB">
        <w:rPr>
          <w:sz w:val="18"/>
          <w:szCs w:val="18"/>
          <w:vertAlign w:val="superscript"/>
          <w14:textOutline w14:w="12700" w14:cap="flat" w14:cmpd="sng" w14:algn="ctr">
            <w14:noFill/>
            <w14:prstDash w14:val="solid"/>
            <w14:miter w14:lim="400000"/>
          </w14:textOutline>
        </w:rPr>
        <w:footnoteRef/>
      </w:r>
      <w:r w:rsidRPr="002D32BA">
        <w:rPr>
          <w:sz w:val="18"/>
          <w:szCs w:val="18"/>
        </w:rPr>
        <w:t xml:space="preserve"> Ibid.</w:t>
      </w:r>
    </w:p>
  </w:footnote>
  <w:footnote w:id="42">
    <w:p w14:paraId="73291B85" w14:textId="751BFFDF" w:rsidR="003B207D" w:rsidRPr="006A43BB" w:rsidRDefault="00C96635">
      <w:pPr>
        <w:pStyle w:val="FootnoteText"/>
        <w:jc w:val="both"/>
        <w:rPr>
          <w:sz w:val="18"/>
          <w:szCs w:val="18"/>
        </w:rPr>
      </w:pPr>
      <w:r w:rsidRPr="006A43BB">
        <w:rPr>
          <w:sz w:val="18"/>
          <w:szCs w:val="18"/>
          <w:vertAlign w:val="superscript"/>
          <w14:textOutline w14:w="12700" w14:cap="flat" w14:cmpd="sng" w14:algn="ctr">
            <w14:noFill/>
            <w14:prstDash w14:val="solid"/>
            <w14:miter w14:lim="400000"/>
          </w14:textOutline>
        </w:rPr>
        <w:footnoteRef/>
      </w:r>
      <w:r w:rsidRPr="002D32BA">
        <w:rPr>
          <w:sz w:val="18"/>
          <w:szCs w:val="18"/>
        </w:rPr>
        <w:t xml:space="preserve"> Burke (n </w:t>
      </w:r>
      <w:r w:rsidR="00E17B98" w:rsidRPr="002D32BA">
        <w:rPr>
          <w:sz w:val="18"/>
          <w:szCs w:val="18"/>
        </w:rPr>
        <w:t>40</w:t>
      </w:r>
      <w:r w:rsidRPr="002D32BA">
        <w:rPr>
          <w:sz w:val="18"/>
          <w:szCs w:val="18"/>
        </w:rPr>
        <w:t>) 965.</w:t>
      </w:r>
    </w:p>
  </w:footnote>
  <w:footnote w:id="43">
    <w:p w14:paraId="73291B86" w14:textId="77777777" w:rsidR="003B207D" w:rsidRPr="006A43BB" w:rsidRDefault="00C96635">
      <w:pPr>
        <w:pStyle w:val="BodyA"/>
        <w:spacing w:line="240" w:lineRule="auto"/>
        <w:jc w:val="both"/>
        <w:rPr>
          <w:rFonts w:ascii="Times New Roman" w:hAnsi="Times New Roman" w:cs="Times New Roman"/>
          <w:sz w:val="18"/>
          <w:szCs w:val="18"/>
        </w:rPr>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Lisbeth </w:t>
      </w:r>
      <w:proofErr w:type="spellStart"/>
      <w:r w:rsidRPr="006A43BB">
        <w:rPr>
          <w:rFonts w:ascii="Times New Roman" w:hAnsi="Times New Roman" w:cs="Times New Roman"/>
          <w:sz w:val="18"/>
          <w:szCs w:val="18"/>
        </w:rPr>
        <w:t>Segerlund</w:t>
      </w:r>
      <w:proofErr w:type="spellEnd"/>
      <w:r w:rsidRPr="006A43BB">
        <w:rPr>
          <w:rFonts w:ascii="Times New Roman" w:hAnsi="Times New Roman" w:cs="Times New Roman"/>
          <w:sz w:val="18"/>
          <w:szCs w:val="18"/>
        </w:rPr>
        <w:t>, 'Thirty Years Of Corporate Social Responsibility Within The UN: From Codes Of Conduct To Norms' [2008] Paper presented at the 6th Pan-European Conference on International Relations.</w:t>
      </w:r>
    </w:p>
  </w:footnote>
  <w:footnote w:id="44">
    <w:p w14:paraId="73291B87" w14:textId="77777777" w:rsidR="003B207D" w:rsidRPr="006A43BB" w:rsidRDefault="00C96635">
      <w:pPr>
        <w:pStyle w:val="BodyA"/>
        <w:spacing w:line="240" w:lineRule="auto"/>
        <w:jc w:val="both"/>
        <w:rPr>
          <w:rFonts w:ascii="Times New Roman" w:hAnsi="Times New Roman" w:cs="Times New Roman"/>
          <w:sz w:val="18"/>
          <w:szCs w:val="18"/>
        </w:rPr>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Stefanie Khoury and David Whyte, Corporate Human Rights Violations Global Prospects For Legal Action (Routledge 2017).</w:t>
      </w:r>
    </w:p>
  </w:footnote>
  <w:footnote w:id="45">
    <w:p w14:paraId="73291B88" w14:textId="77777777" w:rsidR="003B207D" w:rsidRPr="006A43BB" w:rsidRDefault="00C96635">
      <w:pPr>
        <w:pStyle w:val="BodyA"/>
        <w:spacing w:line="240" w:lineRule="auto"/>
        <w:rPr>
          <w:rFonts w:ascii="Times New Roman" w:hAnsi="Times New Roman" w:cs="Times New Roman"/>
          <w:sz w:val="18"/>
          <w:szCs w:val="18"/>
        </w:rPr>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UN GA ‘Measures against corrupt practices of transnational and other corporations, their intermediaries and others involved’ 15 December 1975, A/RES/3514</w:t>
      </w:r>
    </w:p>
  </w:footnote>
  <w:footnote w:id="46">
    <w:p w14:paraId="73291B89" w14:textId="77777777" w:rsidR="003B207D" w:rsidRPr="006A43BB" w:rsidRDefault="00C96635">
      <w:pPr>
        <w:pStyle w:val="BodyA"/>
        <w:spacing w:line="240" w:lineRule="auto"/>
        <w:rPr>
          <w:rFonts w:ascii="Times New Roman" w:hAnsi="Times New Roman" w:cs="Times New Roman"/>
          <w:sz w:val="18"/>
          <w:szCs w:val="18"/>
        </w:rPr>
      </w:pPr>
      <w:r w:rsidRPr="006A43BB">
        <w:rPr>
          <w:rFonts w:ascii="Times New Roman" w:hAnsi="Times New Roman" w:cs="Times New Roman"/>
          <w:sz w:val="18"/>
          <w:szCs w:val="18"/>
          <w:vertAlign w:val="superscript"/>
          <w:lang w:val="da-DK"/>
        </w:rPr>
        <w:footnoteRef/>
      </w:r>
      <w:r w:rsidRPr="006A43BB">
        <w:rPr>
          <w:rFonts w:ascii="Times New Roman" w:hAnsi="Times New Roman" w:cs="Times New Roman"/>
          <w:sz w:val="18"/>
          <w:szCs w:val="18"/>
          <w:lang w:val="da-DK"/>
        </w:rPr>
        <w:t xml:space="preserve"> </w:t>
      </w:r>
      <w:r w:rsidRPr="006A43BB">
        <w:rPr>
          <w:rFonts w:ascii="Times New Roman" w:hAnsi="Times New Roman" w:cs="Times New Roman"/>
          <w:sz w:val="18"/>
          <w:szCs w:val="18"/>
          <w:lang w:val="da-DK"/>
        </w:rPr>
        <w:t xml:space="preserve">Ibid. </w:t>
      </w:r>
    </w:p>
  </w:footnote>
  <w:footnote w:id="47">
    <w:p w14:paraId="73291B8A" w14:textId="77777777" w:rsidR="003B207D" w:rsidRPr="006A43BB" w:rsidRDefault="00C96635">
      <w:pPr>
        <w:pStyle w:val="BodyA"/>
        <w:spacing w:line="240" w:lineRule="auto"/>
        <w:rPr>
          <w:rFonts w:ascii="Times New Roman" w:hAnsi="Times New Roman" w:cs="Times New Roman"/>
          <w:sz w:val="18"/>
          <w:szCs w:val="18"/>
        </w:rPr>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UN ESC ‘Code of Conduct on Transnational Corporations’ 28 May 1987,  E/RES/1987/57</w:t>
      </w:r>
    </w:p>
  </w:footnote>
  <w:footnote w:id="48">
    <w:p w14:paraId="73291B8B" w14:textId="3CB9353F" w:rsidR="003B207D" w:rsidRDefault="00C96635">
      <w:pPr>
        <w:pStyle w:val="BodyA"/>
        <w:spacing w:line="240" w:lineRule="auto"/>
      </w:pPr>
      <w:r w:rsidRPr="006A43BB">
        <w:rPr>
          <w:rFonts w:ascii="Times New Roman" w:hAnsi="Times New Roman" w:cs="Times New Roman"/>
          <w:sz w:val="18"/>
          <w:szCs w:val="18"/>
          <w:vertAlign w:val="superscript"/>
        </w:rPr>
        <w:footnoteRef/>
      </w:r>
      <w:r w:rsidRPr="006A43BB">
        <w:rPr>
          <w:rFonts w:ascii="Times New Roman" w:hAnsi="Times New Roman" w:cs="Times New Roman"/>
          <w:sz w:val="18"/>
          <w:szCs w:val="18"/>
        </w:rPr>
        <w:t xml:space="preserve"> </w:t>
      </w:r>
      <w:r w:rsidR="002D32BA">
        <w:rPr>
          <w:rFonts w:ascii="Times New Roman" w:hAnsi="Times New Roman" w:cs="Times New Roman"/>
          <w:sz w:val="18"/>
          <w:szCs w:val="18"/>
        </w:rPr>
        <w:t xml:space="preserve">Ibid. </w:t>
      </w:r>
    </w:p>
  </w:footnote>
  <w:footnote w:id="49">
    <w:p w14:paraId="73291B8C" w14:textId="77777777" w:rsidR="003B207D" w:rsidRPr="00866978" w:rsidRDefault="00C96635">
      <w:pPr>
        <w:pStyle w:val="BodyA"/>
        <w:spacing w:line="240" w:lineRule="auto"/>
        <w:rPr>
          <w:rFonts w:ascii="Times New Roman" w:hAnsi="Times New Roman" w:cs="Times New Roman"/>
          <w:color w:val="000000" w:themeColor="text1"/>
          <w:sz w:val="18"/>
          <w:szCs w:val="18"/>
        </w:rPr>
      </w:pPr>
      <w:r w:rsidRPr="00866978">
        <w:rPr>
          <w:rFonts w:ascii="Times New Roman" w:hAnsi="Times New Roman" w:cs="Times New Roman"/>
          <w:color w:val="000000" w:themeColor="text1"/>
          <w:sz w:val="18"/>
          <w:szCs w:val="18"/>
          <w:vertAlign w:val="superscript"/>
        </w:rPr>
        <w:footnoteRef/>
      </w:r>
      <w:r w:rsidRPr="00866978">
        <w:rPr>
          <w:rFonts w:ascii="Times New Roman" w:hAnsi="Times New Roman" w:cs="Times New Roman"/>
          <w:color w:val="000000" w:themeColor="text1"/>
          <w:sz w:val="18"/>
          <w:szCs w:val="18"/>
        </w:rPr>
        <w:t xml:space="preserve"> UN ‘Final report on human rights and extreme poverty’ submitted by the Special Rapporteur, Leandro </w:t>
      </w:r>
      <w:proofErr w:type="spellStart"/>
      <w:r w:rsidRPr="00866978">
        <w:rPr>
          <w:rFonts w:ascii="Times New Roman" w:hAnsi="Times New Roman" w:cs="Times New Roman"/>
          <w:color w:val="000000" w:themeColor="text1"/>
          <w:sz w:val="18"/>
          <w:szCs w:val="18"/>
        </w:rPr>
        <w:t>Despouy</w:t>
      </w:r>
      <w:proofErr w:type="spellEnd"/>
      <w:r w:rsidRPr="00866978">
        <w:rPr>
          <w:rFonts w:ascii="Times New Roman" w:hAnsi="Times New Roman" w:cs="Times New Roman"/>
          <w:color w:val="000000" w:themeColor="text1"/>
          <w:sz w:val="18"/>
          <w:szCs w:val="18"/>
        </w:rPr>
        <w:t>, 28 June 1996, E/CN.4/Sub.2/1996/13, para 61-62</w:t>
      </w:r>
    </w:p>
  </w:footnote>
  <w:footnote w:id="50">
    <w:p w14:paraId="73291B8D" w14:textId="3510FC85" w:rsidR="003B207D" w:rsidRPr="00866978" w:rsidRDefault="00C96635">
      <w:pPr>
        <w:pStyle w:val="BodyA"/>
        <w:spacing w:line="240" w:lineRule="auto"/>
        <w:rPr>
          <w:rFonts w:ascii="Times New Roman" w:hAnsi="Times New Roman" w:cs="Times New Roman"/>
          <w:color w:val="000000" w:themeColor="text1"/>
          <w:sz w:val="18"/>
          <w:szCs w:val="18"/>
        </w:rPr>
      </w:pPr>
      <w:r w:rsidRPr="00866978">
        <w:rPr>
          <w:rFonts w:ascii="Times New Roman" w:hAnsi="Times New Roman" w:cs="Times New Roman"/>
          <w:color w:val="000000" w:themeColor="text1"/>
          <w:sz w:val="18"/>
          <w:szCs w:val="18"/>
          <w:vertAlign w:val="superscript"/>
        </w:rPr>
        <w:footnoteRef/>
      </w:r>
      <w:r w:rsidRPr="00866978">
        <w:rPr>
          <w:rFonts w:ascii="Times New Roman" w:hAnsi="Times New Roman" w:cs="Times New Roman"/>
          <w:color w:val="000000" w:themeColor="text1"/>
          <w:sz w:val="18"/>
          <w:szCs w:val="18"/>
        </w:rPr>
        <w:t xml:space="preserve"> </w:t>
      </w:r>
      <w:proofErr w:type="spellStart"/>
      <w:r w:rsidRPr="00866978">
        <w:rPr>
          <w:rFonts w:ascii="Times New Roman" w:hAnsi="Times New Roman" w:cs="Times New Roman"/>
          <w:color w:val="000000" w:themeColor="text1"/>
          <w:sz w:val="18"/>
          <w:szCs w:val="18"/>
        </w:rPr>
        <w:t>DeSchutter</w:t>
      </w:r>
      <w:proofErr w:type="spellEnd"/>
      <w:r w:rsidR="00AA504A" w:rsidRPr="00866978">
        <w:rPr>
          <w:rFonts w:ascii="Times New Roman" w:hAnsi="Times New Roman" w:cs="Times New Roman"/>
          <w:color w:val="000000" w:themeColor="text1"/>
          <w:sz w:val="18"/>
          <w:szCs w:val="18"/>
        </w:rPr>
        <w:t xml:space="preserve"> (n 5). </w:t>
      </w:r>
    </w:p>
  </w:footnote>
  <w:footnote w:id="51">
    <w:p w14:paraId="73291B8E" w14:textId="77777777" w:rsidR="003B207D" w:rsidRPr="00866978" w:rsidRDefault="00C96635">
      <w:pPr>
        <w:pStyle w:val="BodyA"/>
        <w:spacing w:line="240" w:lineRule="auto"/>
        <w:jc w:val="both"/>
        <w:rPr>
          <w:rFonts w:ascii="Times New Roman" w:hAnsi="Times New Roman" w:cs="Times New Roman"/>
          <w:color w:val="000000" w:themeColor="text1"/>
          <w:sz w:val="18"/>
          <w:szCs w:val="18"/>
        </w:rPr>
      </w:pPr>
      <w:r w:rsidRPr="00866978">
        <w:rPr>
          <w:rFonts w:ascii="Times New Roman" w:hAnsi="Times New Roman" w:cs="Times New Roman"/>
          <w:color w:val="000000" w:themeColor="text1"/>
          <w:sz w:val="18"/>
          <w:szCs w:val="18"/>
          <w:vertAlign w:val="superscript"/>
        </w:rPr>
        <w:footnoteRef/>
      </w:r>
      <w:r w:rsidRPr="00866978">
        <w:rPr>
          <w:rFonts w:ascii="Times New Roman" w:hAnsi="Times New Roman" w:cs="Times New Roman"/>
          <w:color w:val="000000" w:themeColor="text1"/>
          <w:sz w:val="18"/>
          <w:szCs w:val="18"/>
        </w:rPr>
        <w:t xml:space="preserve"> </w:t>
      </w:r>
      <w:proofErr w:type="spellStart"/>
      <w:r w:rsidRPr="00866978">
        <w:rPr>
          <w:rFonts w:ascii="Times New Roman" w:hAnsi="Times New Roman" w:cs="Times New Roman"/>
          <w:color w:val="000000" w:themeColor="text1"/>
          <w:sz w:val="18"/>
          <w:szCs w:val="18"/>
        </w:rPr>
        <w:t>Organisation</w:t>
      </w:r>
      <w:proofErr w:type="spellEnd"/>
      <w:r w:rsidRPr="00866978">
        <w:rPr>
          <w:rFonts w:ascii="Times New Roman" w:hAnsi="Times New Roman" w:cs="Times New Roman"/>
          <w:color w:val="000000" w:themeColor="text1"/>
          <w:sz w:val="18"/>
          <w:szCs w:val="18"/>
        </w:rPr>
        <w:t xml:space="preserve"> for Economic Cooperation and Development (OECD), OECD Guidelines for Multinational Enterprises, 27 June 2000, available at: https://www.refworld.org/docid/425bd34c4.html [accessed 20 March 2021]</w:t>
      </w:r>
    </w:p>
  </w:footnote>
  <w:footnote w:id="52">
    <w:p w14:paraId="73291B8F" w14:textId="77777777" w:rsidR="003B207D" w:rsidRPr="00866978" w:rsidRDefault="00C96635">
      <w:pPr>
        <w:pStyle w:val="BodyA"/>
        <w:spacing w:line="240" w:lineRule="auto"/>
        <w:jc w:val="both"/>
        <w:rPr>
          <w:rFonts w:ascii="Times New Roman" w:hAnsi="Times New Roman" w:cs="Times New Roman"/>
          <w:color w:val="000000" w:themeColor="text1"/>
          <w:sz w:val="18"/>
          <w:szCs w:val="18"/>
        </w:rPr>
      </w:pPr>
      <w:r w:rsidRPr="00866978">
        <w:rPr>
          <w:rFonts w:ascii="Times New Roman" w:hAnsi="Times New Roman" w:cs="Times New Roman"/>
          <w:color w:val="000000" w:themeColor="text1"/>
          <w:sz w:val="18"/>
          <w:szCs w:val="18"/>
          <w:vertAlign w:val="superscript"/>
        </w:rPr>
        <w:footnoteRef/>
      </w:r>
      <w:r w:rsidRPr="00866978">
        <w:rPr>
          <w:rFonts w:ascii="Times New Roman" w:hAnsi="Times New Roman" w:cs="Times New Roman"/>
          <w:color w:val="000000" w:themeColor="text1"/>
          <w:sz w:val="18"/>
          <w:szCs w:val="18"/>
          <w:shd w:val="clear" w:color="auto" w:fill="FFFFFF"/>
        </w:rPr>
        <w:t xml:space="preserve"> Tripartite Declaration of Principles Concerning Multinational Enterprises and Social Policy, Geneva : International </w:t>
      </w:r>
      <w:proofErr w:type="spellStart"/>
      <w:r w:rsidRPr="00866978">
        <w:rPr>
          <w:rFonts w:ascii="Times New Roman" w:hAnsi="Times New Roman" w:cs="Times New Roman"/>
          <w:color w:val="000000" w:themeColor="text1"/>
          <w:sz w:val="18"/>
          <w:szCs w:val="18"/>
          <w:shd w:val="clear" w:color="auto" w:fill="FFFFFF"/>
        </w:rPr>
        <w:t>Labour</w:t>
      </w:r>
      <w:proofErr w:type="spellEnd"/>
      <w:r w:rsidRPr="00866978">
        <w:rPr>
          <w:rFonts w:ascii="Times New Roman" w:hAnsi="Times New Roman" w:cs="Times New Roman"/>
          <w:color w:val="000000" w:themeColor="text1"/>
          <w:sz w:val="18"/>
          <w:szCs w:val="18"/>
          <w:shd w:val="clear" w:color="auto" w:fill="FFFFFF"/>
        </w:rPr>
        <w:t xml:space="preserve"> Office, 1977, </w:t>
      </w:r>
      <w:proofErr w:type="spellStart"/>
      <w:r w:rsidRPr="00866978">
        <w:rPr>
          <w:rFonts w:ascii="Times New Roman" w:hAnsi="Times New Roman" w:cs="Times New Roman"/>
          <w:color w:val="000000" w:themeColor="text1"/>
          <w:sz w:val="18"/>
          <w:szCs w:val="18"/>
          <w:shd w:val="clear" w:color="auto" w:fill="FFFFFF"/>
        </w:rPr>
        <w:t>availab</w:t>
      </w:r>
      <w:proofErr w:type="spellEnd"/>
      <w:r w:rsidRPr="00866978">
        <w:rPr>
          <w:rFonts w:ascii="Times New Roman" w:hAnsi="Times New Roman" w:cs="Times New Roman"/>
          <w:color w:val="000000" w:themeColor="text1"/>
          <w:sz w:val="18"/>
          <w:szCs w:val="18"/>
          <w:shd w:val="clear" w:color="auto" w:fill="FFFFFF"/>
          <w:lang w:val="da-DK"/>
        </w:rPr>
        <w:t xml:space="preserve">le at </w:t>
      </w:r>
      <w:r w:rsidR="00866978" w:rsidRPr="00866978">
        <w:rPr>
          <w:color w:val="000000" w:themeColor="text1"/>
        </w:rPr>
        <w:fldChar w:fldCharType="begin"/>
      </w:r>
      <w:r w:rsidR="00866978" w:rsidRPr="00866978">
        <w:rPr>
          <w:color w:val="000000" w:themeColor="text1"/>
        </w:rPr>
        <w:instrText xml:space="preserve"> HYPERLINK "https://digitallibrary.un.org/record/475?ln=en" </w:instrText>
      </w:r>
      <w:r w:rsidR="00866978" w:rsidRPr="00866978">
        <w:rPr>
          <w:color w:val="000000" w:themeColor="text1"/>
        </w:rPr>
        <w:fldChar w:fldCharType="separate"/>
      </w:r>
      <w:r w:rsidRPr="00866978">
        <w:rPr>
          <w:rStyle w:val="Hyperlink0"/>
          <w:rFonts w:eastAsia="Arial Unicode MS"/>
          <w:color w:val="000000" w:themeColor="text1"/>
        </w:rPr>
        <w:t>https://digitallibrary.un.org/record/475?ln=en</w:t>
      </w:r>
      <w:r w:rsidR="00866978" w:rsidRPr="00866978">
        <w:rPr>
          <w:rStyle w:val="Hyperlink0"/>
          <w:rFonts w:eastAsia="Arial Unicode MS"/>
          <w:color w:val="000000" w:themeColor="text1"/>
        </w:rPr>
        <w:fldChar w:fldCharType="end"/>
      </w:r>
      <w:r w:rsidRPr="00866978">
        <w:rPr>
          <w:rStyle w:val="None"/>
          <w:rFonts w:ascii="Times New Roman" w:hAnsi="Times New Roman" w:cs="Times New Roman"/>
          <w:color w:val="000000" w:themeColor="text1"/>
          <w:sz w:val="18"/>
          <w:szCs w:val="18"/>
          <w:lang w:val="pt-PT"/>
        </w:rPr>
        <w:t xml:space="preserve"> [a</w:t>
      </w:r>
      <w:proofErr w:type="spellStart"/>
      <w:r w:rsidRPr="00866978">
        <w:rPr>
          <w:rStyle w:val="None"/>
          <w:rFonts w:ascii="Times New Roman" w:hAnsi="Times New Roman" w:cs="Times New Roman"/>
          <w:color w:val="000000" w:themeColor="text1"/>
          <w:sz w:val="18"/>
          <w:szCs w:val="18"/>
        </w:rPr>
        <w:t>ccessed</w:t>
      </w:r>
      <w:proofErr w:type="spellEnd"/>
      <w:r w:rsidRPr="00866978">
        <w:rPr>
          <w:rStyle w:val="None"/>
          <w:rFonts w:ascii="Times New Roman" w:hAnsi="Times New Roman" w:cs="Times New Roman"/>
          <w:color w:val="000000" w:themeColor="text1"/>
          <w:sz w:val="18"/>
          <w:szCs w:val="18"/>
        </w:rPr>
        <w:t xml:space="preserve"> 20 March 2021]</w:t>
      </w:r>
    </w:p>
  </w:footnote>
  <w:footnote w:id="53">
    <w:p w14:paraId="73291B90" w14:textId="77777777" w:rsidR="003B207D" w:rsidRPr="00866978" w:rsidRDefault="00C96635">
      <w:pPr>
        <w:pStyle w:val="BodyA"/>
        <w:spacing w:line="240" w:lineRule="auto"/>
        <w:rPr>
          <w:rFonts w:ascii="Times New Roman" w:hAnsi="Times New Roman" w:cs="Times New Roman"/>
          <w:color w:val="000000" w:themeColor="text1"/>
          <w:sz w:val="18"/>
          <w:szCs w:val="18"/>
        </w:rPr>
      </w:pPr>
      <w:r w:rsidRPr="00866978">
        <w:rPr>
          <w:rStyle w:val="None"/>
          <w:rFonts w:ascii="Times New Roman" w:hAnsi="Times New Roman" w:cs="Times New Roman"/>
          <w:color w:val="000000" w:themeColor="text1"/>
          <w:sz w:val="18"/>
          <w:szCs w:val="18"/>
          <w:shd w:val="clear" w:color="auto" w:fill="FFFFFF"/>
          <w:vertAlign w:val="superscript"/>
        </w:rPr>
        <w:footnoteRef/>
      </w:r>
      <w:r w:rsidRPr="00866978">
        <w:rPr>
          <w:rStyle w:val="None"/>
          <w:rFonts w:ascii="Times New Roman" w:hAnsi="Times New Roman" w:cs="Times New Roman"/>
          <w:color w:val="000000" w:themeColor="text1"/>
          <w:sz w:val="18"/>
          <w:szCs w:val="18"/>
          <w:lang w:val="da-DK"/>
        </w:rPr>
        <w:t xml:space="preserve"> </w:t>
      </w:r>
      <w:r w:rsidRPr="00866978">
        <w:rPr>
          <w:rStyle w:val="None"/>
          <w:rFonts w:ascii="Times New Roman" w:hAnsi="Times New Roman" w:cs="Times New Roman"/>
          <w:color w:val="000000" w:themeColor="text1"/>
          <w:sz w:val="18"/>
          <w:szCs w:val="18"/>
          <w:lang w:val="da-DK"/>
        </w:rPr>
        <w:t>Ibid</w:t>
      </w:r>
      <w:r w:rsidRPr="00866978">
        <w:rPr>
          <w:rStyle w:val="None"/>
          <w:rFonts w:ascii="Times New Roman" w:hAnsi="Times New Roman" w:cs="Times New Roman"/>
          <w:color w:val="000000" w:themeColor="text1"/>
          <w:sz w:val="18"/>
          <w:szCs w:val="18"/>
        </w:rPr>
        <w:t xml:space="preserve">. </w:t>
      </w:r>
    </w:p>
  </w:footnote>
  <w:footnote w:id="54">
    <w:p w14:paraId="73291B91" w14:textId="77777777" w:rsidR="003B207D" w:rsidRPr="00866978" w:rsidRDefault="00C96635">
      <w:pPr>
        <w:pStyle w:val="BodyA"/>
        <w:spacing w:line="240" w:lineRule="auto"/>
        <w:rPr>
          <w:rFonts w:ascii="Times New Roman" w:hAnsi="Times New Roman" w:cs="Times New Roman"/>
          <w:color w:val="000000" w:themeColor="text1"/>
          <w:sz w:val="18"/>
          <w:szCs w:val="18"/>
        </w:rPr>
      </w:pPr>
      <w:r w:rsidRPr="00866978">
        <w:rPr>
          <w:rStyle w:val="None"/>
          <w:rFonts w:ascii="Times New Roman" w:hAnsi="Times New Roman" w:cs="Times New Roman"/>
          <w:color w:val="000000" w:themeColor="text1"/>
          <w:sz w:val="18"/>
          <w:szCs w:val="18"/>
          <w:shd w:val="clear" w:color="auto" w:fill="FFFFFF"/>
          <w:vertAlign w:val="superscript"/>
          <w:lang w:val="da-DK"/>
        </w:rPr>
        <w:footnoteRef/>
      </w:r>
      <w:r w:rsidRPr="00866978">
        <w:rPr>
          <w:rStyle w:val="None"/>
          <w:rFonts w:ascii="Times New Roman" w:hAnsi="Times New Roman" w:cs="Times New Roman"/>
          <w:color w:val="000000" w:themeColor="text1"/>
          <w:sz w:val="18"/>
          <w:szCs w:val="18"/>
          <w:lang w:val="da-DK"/>
        </w:rPr>
        <w:t xml:space="preserve"> </w:t>
      </w:r>
      <w:r w:rsidRPr="00866978">
        <w:rPr>
          <w:rStyle w:val="None"/>
          <w:rFonts w:ascii="Times New Roman" w:hAnsi="Times New Roman" w:cs="Times New Roman"/>
          <w:color w:val="000000" w:themeColor="text1"/>
          <w:sz w:val="18"/>
          <w:szCs w:val="18"/>
          <w:lang w:val="da-DK"/>
        </w:rPr>
        <w:t xml:space="preserve">Ibid. </w:t>
      </w:r>
    </w:p>
  </w:footnote>
  <w:footnote w:id="55">
    <w:p w14:paraId="73291B92" w14:textId="77777777" w:rsidR="003B207D" w:rsidRDefault="00C96635">
      <w:pPr>
        <w:pStyle w:val="BodyA"/>
        <w:spacing w:line="240" w:lineRule="auto"/>
      </w:pPr>
      <w:r w:rsidRPr="00866978">
        <w:rPr>
          <w:rStyle w:val="None"/>
          <w:rFonts w:ascii="Times New Roman" w:hAnsi="Times New Roman" w:cs="Times New Roman"/>
          <w:color w:val="000000" w:themeColor="text1"/>
          <w:sz w:val="18"/>
          <w:szCs w:val="18"/>
          <w:shd w:val="clear" w:color="auto" w:fill="FFFFFF"/>
          <w:vertAlign w:val="superscript"/>
          <w:lang w:val="da-DK"/>
        </w:rPr>
        <w:footnoteRef/>
      </w:r>
      <w:r w:rsidRPr="00866978">
        <w:rPr>
          <w:rStyle w:val="None"/>
          <w:rFonts w:ascii="Times New Roman" w:hAnsi="Times New Roman" w:cs="Times New Roman"/>
          <w:color w:val="000000" w:themeColor="text1"/>
          <w:sz w:val="18"/>
          <w:szCs w:val="18"/>
          <w:lang w:val="da-DK"/>
        </w:rPr>
        <w:t xml:space="preserve"> Ibid.</w:t>
      </w:r>
      <w:r w:rsidRPr="00866978">
        <w:rPr>
          <w:rStyle w:val="None"/>
          <w:color w:val="000000" w:themeColor="text1"/>
          <w:sz w:val="20"/>
          <w:szCs w:val="20"/>
          <w:lang w:val="da-DK"/>
        </w:rPr>
        <w:t xml:space="preserve"> </w:t>
      </w:r>
    </w:p>
  </w:footnote>
  <w:footnote w:id="56">
    <w:p w14:paraId="73291B93" w14:textId="67B44BFC" w:rsidR="003B207D" w:rsidRPr="006A43BB" w:rsidRDefault="00C96635" w:rsidP="006A43BB">
      <w:pPr>
        <w:pStyle w:val="BodyA"/>
        <w:spacing w:line="240" w:lineRule="auto"/>
        <w:jc w:val="both"/>
        <w:rPr>
          <w:rFonts w:ascii="Times New Roman" w:hAnsi="Times New Roman" w:cs="Times New Roman"/>
          <w:sz w:val="18"/>
          <w:szCs w:val="18"/>
        </w:rPr>
      </w:pPr>
      <w:r w:rsidRPr="006A43BB">
        <w:rPr>
          <w:rStyle w:val="None"/>
          <w:rFonts w:ascii="Times New Roman" w:hAnsi="Times New Roman" w:cs="Times New Roman"/>
          <w:sz w:val="18"/>
          <w:szCs w:val="18"/>
          <w:shd w:val="clear" w:color="auto" w:fill="FFFFFF"/>
          <w:vertAlign w:val="superscript"/>
        </w:rPr>
        <w:footnoteRef/>
      </w:r>
      <w:r w:rsidRPr="006A43BB">
        <w:rPr>
          <w:rStyle w:val="None"/>
          <w:rFonts w:ascii="Times New Roman" w:hAnsi="Times New Roman" w:cs="Times New Roman"/>
          <w:sz w:val="18"/>
          <w:szCs w:val="18"/>
        </w:rPr>
        <w:t xml:space="preserve"> </w:t>
      </w:r>
      <w:proofErr w:type="spellStart"/>
      <w:r w:rsidRPr="006A43BB">
        <w:rPr>
          <w:rStyle w:val="None"/>
          <w:rFonts w:ascii="Times New Roman" w:hAnsi="Times New Roman" w:cs="Times New Roman"/>
          <w:sz w:val="18"/>
          <w:szCs w:val="18"/>
        </w:rPr>
        <w:t>DeSchutter</w:t>
      </w:r>
      <w:proofErr w:type="spellEnd"/>
      <w:r w:rsidRPr="006A43BB">
        <w:rPr>
          <w:rStyle w:val="None"/>
          <w:rFonts w:ascii="Times New Roman" w:hAnsi="Times New Roman" w:cs="Times New Roman"/>
          <w:sz w:val="18"/>
          <w:szCs w:val="18"/>
        </w:rPr>
        <w:t xml:space="preserve"> (n </w:t>
      </w:r>
      <w:r w:rsidR="00AA504A">
        <w:rPr>
          <w:rStyle w:val="None"/>
          <w:rFonts w:ascii="Times New Roman" w:hAnsi="Times New Roman" w:cs="Times New Roman"/>
          <w:sz w:val="18"/>
          <w:szCs w:val="18"/>
        </w:rPr>
        <w:t>5</w:t>
      </w:r>
      <w:r w:rsidRPr="006A43BB">
        <w:rPr>
          <w:rStyle w:val="None"/>
          <w:rFonts w:ascii="Times New Roman" w:hAnsi="Times New Roman" w:cs="Times New Roman"/>
          <w:sz w:val="18"/>
          <w:szCs w:val="18"/>
        </w:rPr>
        <w:t xml:space="preserve">) 7. </w:t>
      </w:r>
    </w:p>
  </w:footnote>
  <w:footnote w:id="57">
    <w:p w14:paraId="73291B94" w14:textId="77777777" w:rsidR="003B207D" w:rsidRPr="006A43BB" w:rsidRDefault="00C96635" w:rsidP="006A43BB">
      <w:pPr>
        <w:pStyle w:val="BodyA"/>
        <w:spacing w:line="240" w:lineRule="auto"/>
        <w:jc w:val="both"/>
        <w:rPr>
          <w:rFonts w:ascii="Times New Roman" w:hAnsi="Times New Roman" w:cs="Times New Roman"/>
          <w:sz w:val="18"/>
          <w:szCs w:val="18"/>
        </w:rPr>
      </w:pPr>
      <w:r w:rsidRPr="006A43BB">
        <w:rPr>
          <w:rStyle w:val="None"/>
          <w:rFonts w:ascii="Times New Roman" w:hAnsi="Times New Roman" w:cs="Times New Roman"/>
          <w:sz w:val="18"/>
          <w:szCs w:val="18"/>
          <w:shd w:val="clear" w:color="auto" w:fill="FFFFFF"/>
          <w:vertAlign w:val="superscript"/>
        </w:rPr>
        <w:footnoteRef/>
      </w:r>
      <w:r w:rsidRPr="006A43BB">
        <w:rPr>
          <w:rStyle w:val="None"/>
          <w:rFonts w:ascii="Times New Roman" w:hAnsi="Times New Roman" w:cs="Times New Roman"/>
          <w:sz w:val="18"/>
          <w:szCs w:val="18"/>
        </w:rPr>
        <w:t xml:space="preserve"> Bob </w:t>
      </w:r>
      <w:proofErr w:type="spellStart"/>
      <w:r w:rsidRPr="006A43BB">
        <w:rPr>
          <w:rStyle w:val="None"/>
          <w:rFonts w:ascii="Times New Roman" w:hAnsi="Times New Roman" w:cs="Times New Roman"/>
          <w:sz w:val="18"/>
          <w:szCs w:val="18"/>
        </w:rPr>
        <w:t>Hepple</w:t>
      </w:r>
      <w:proofErr w:type="spellEnd"/>
      <w:r w:rsidRPr="006A43BB">
        <w:rPr>
          <w:rStyle w:val="None"/>
          <w:rFonts w:ascii="Times New Roman" w:hAnsi="Times New Roman" w:cs="Times New Roman"/>
          <w:sz w:val="18"/>
          <w:szCs w:val="18"/>
        </w:rPr>
        <w:t xml:space="preserve">, </w:t>
      </w:r>
      <w:proofErr w:type="spellStart"/>
      <w:r w:rsidRPr="006A43BB">
        <w:rPr>
          <w:rStyle w:val="None"/>
          <w:rFonts w:ascii="Times New Roman" w:hAnsi="Times New Roman" w:cs="Times New Roman"/>
          <w:sz w:val="18"/>
          <w:szCs w:val="18"/>
        </w:rPr>
        <w:t>Labour</w:t>
      </w:r>
      <w:proofErr w:type="spellEnd"/>
      <w:r w:rsidRPr="006A43BB">
        <w:rPr>
          <w:rStyle w:val="None"/>
          <w:rFonts w:ascii="Times New Roman" w:hAnsi="Times New Roman" w:cs="Times New Roman"/>
          <w:sz w:val="18"/>
          <w:szCs w:val="18"/>
        </w:rPr>
        <w:t xml:space="preserve"> Laws And Global Trade (Hart Publishing 2005).</w:t>
      </w:r>
    </w:p>
  </w:footnote>
  <w:footnote w:id="58">
    <w:p w14:paraId="73291B95" w14:textId="0AD4024E" w:rsidR="003B207D" w:rsidRPr="006A43BB" w:rsidRDefault="00C96635" w:rsidP="006A43BB">
      <w:pPr>
        <w:pStyle w:val="BodyA"/>
        <w:spacing w:line="240" w:lineRule="auto"/>
        <w:jc w:val="both"/>
        <w:rPr>
          <w:rFonts w:ascii="Times New Roman" w:hAnsi="Times New Roman" w:cs="Times New Roman"/>
          <w:sz w:val="18"/>
          <w:szCs w:val="18"/>
          <w:lang w:val="de-DE"/>
        </w:rPr>
      </w:pPr>
      <w:r w:rsidRPr="006A43BB">
        <w:rPr>
          <w:rStyle w:val="None"/>
          <w:rFonts w:ascii="Times New Roman" w:hAnsi="Times New Roman" w:cs="Times New Roman"/>
          <w:sz w:val="18"/>
          <w:szCs w:val="18"/>
          <w:shd w:val="clear" w:color="auto" w:fill="FFFFFF"/>
          <w:vertAlign w:val="superscript"/>
        </w:rPr>
        <w:footnoteRef/>
      </w:r>
      <w:r w:rsidRPr="006A43BB">
        <w:rPr>
          <w:rStyle w:val="None"/>
          <w:rFonts w:ascii="Times New Roman" w:hAnsi="Times New Roman" w:cs="Times New Roman"/>
          <w:sz w:val="18"/>
          <w:szCs w:val="18"/>
          <w:lang w:val="de-DE"/>
        </w:rPr>
        <w:t xml:space="preserve"> </w:t>
      </w:r>
      <w:proofErr w:type="spellStart"/>
      <w:r w:rsidRPr="006A43BB">
        <w:rPr>
          <w:rStyle w:val="None"/>
          <w:rFonts w:ascii="Times New Roman" w:hAnsi="Times New Roman" w:cs="Times New Roman"/>
          <w:sz w:val="18"/>
          <w:szCs w:val="18"/>
          <w:lang w:val="de-DE"/>
        </w:rPr>
        <w:t>DeSchutter</w:t>
      </w:r>
      <w:proofErr w:type="spellEnd"/>
      <w:r w:rsidRPr="006A43BB">
        <w:rPr>
          <w:rStyle w:val="None"/>
          <w:rFonts w:ascii="Times New Roman" w:hAnsi="Times New Roman" w:cs="Times New Roman"/>
          <w:sz w:val="18"/>
          <w:szCs w:val="18"/>
          <w:lang w:val="de-DE"/>
        </w:rPr>
        <w:t xml:space="preserve"> (n </w:t>
      </w:r>
      <w:r w:rsidR="00AA504A" w:rsidRPr="006A43BB">
        <w:rPr>
          <w:rStyle w:val="None"/>
          <w:rFonts w:ascii="Times New Roman" w:hAnsi="Times New Roman" w:cs="Times New Roman"/>
          <w:sz w:val="18"/>
          <w:szCs w:val="18"/>
          <w:lang w:val="de-DE"/>
        </w:rPr>
        <w:t>5</w:t>
      </w:r>
      <w:r w:rsidRPr="006A43BB">
        <w:rPr>
          <w:rStyle w:val="None"/>
          <w:rFonts w:ascii="Times New Roman" w:hAnsi="Times New Roman" w:cs="Times New Roman"/>
          <w:sz w:val="18"/>
          <w:szCs w:val="18"/>
          <w:lang w:val="de-DE"/>
        </w:rPr>
        <w:t xml:space="preserve">) 9. </w:t>
      </w:r>
    </w:p>
  </w:footnote>
  <w:footnote w:id="59">
    <w:p w14:paraId="73291B96" w14:textId="5EED6822" w:rsidR="003B207D" w:rsidRPr="006A43BB" w:rsidRDefault="00C96635" w:rsidP="006A43BB">
      <w:pPr>
        <w:pStyle w:val="BodyA"/>
        <w:spacing w:line="240" w:lineRule="auto"/>
        <w:jc w:val="both"/>
        <w:rPr>
          <w:rFonts w:ascii="Times New Roman" w:hAnsi="Times New Roman" w:cs="Times New Roman"/>
          <w:sz w:val="18"/>
          <w:szCs w:val="18"/>
          <w:lang w:val="de-DE"/>
        </w:rPr>
      </w:pPr>
      <w:r w:rsidRPr="006A43BB">
        <w:rPr>
          <w:rStyle w:val="None"/>
          <w:rFonts w:ascii="Times New Roman" w:hAnsi="Times New Roman" w:cs="Times New Roman"/>
          <w:sz w:val="18"/>
          <w:szCs w:val="18"/>
          <w:shd w:val="clear" w:color="auto" w:fill="FFFFFF"/>
          <w:vertAlign w:val="superscript"/>
        </w:rPr>
        <w:footnoteRef/>
      </w:r>
      <w:r w:rsidRPr="006A43BB">
        <w:rPr>
          <w:rStyle w:val="None"/>
          <w:rFonts w:ascii="Times New Roman" w:hAnsi="Times New Roman" w:cs="Times New Roman"/>
          <w:sz w:val="18"/>
          <w:szCs w:val="18"/>
          <w:lang w:val="de-DE"/>
        </w:rPr>
        <w:t xml:space="preserve"> Deva</w:t>
      </w:r>
      <w:r w:rsidR="00AA504A" w:rsidRPr="006A43BB">
        <w:rPr>
          <w:rStyle w:val="None"/>
          <w:rFonts w:ascii="Times New Roman" w:hAnsi="Times New Roman" w:cs="Times New Roman"/>
          <w:sz w:val="18"/>
          <w:szCs w:val="18"/>
          <w:lang w:val="de-DE"/>
        </w:rPr>
        <w:t xml:space="preserve"> (n </w:t>
      </w:r>
      <w:r w:rsidR="00AA504A">
        <w:rPr>
          <w:rStyle w:val="None"/>
          <w:rFonts w:ascii="Times New Roman" w:hAnsi="Times New Roman" w:cs="Times New Roman"/>
          <w:sz w:val="18"/>
          <w:szCs w:val="18"/>
          <w:lang w:val="de-DE"/>
        </w:rPr>
        <w:t>4).</w:t>
      </w:r>
    </w:p>
  </w:footnote>
  <w:footnote w:id="60">
    <w:p w14:paraId="73291B97" w14:textId="54C0D83C" w:rsidR="003B207D" w:rsidRPr="006A43BB" w:rsidRDefault="00C96635" w:rsidP="006A43BB">
      <w:pPr>
        <w:pStyle w:val="BodyA"/>
        <w:spacing w:line="240" w:lineRule="auto"/>
        <w:jc w:val="both"/>
        <w:rPr>
          <w:rFonts w:ascii="Times New Roman" w:hAnsi="Times New Roman" w:cs="Times New Roman"/>
          <w:sz w:val="18"/>
          <w:szCs w:val="18"/>
          <w:lang w:val="de-DE"/>
        </w:rPr>
      </w:pPr>
      <w:r w:rsidRPr="006A43BB">
        <w:rPr>
          <w:rStyle w:val="None"/>
          <w:rFonts w:ascii="Times New Roman" w:hAnsi="Times New Roman" w:cs="Times New Roman"/>
          <w:sz w:val="18"/>
          <w:szCs w:val="18"/>
          <w:shd w:val="clear" w:color="auto" w:fill="FFFFFF"/>
          <w:vertAlign w:val="superscript"/>
        </w:rPr>
        <w:footnoteRef/>
      </w:r>
      <w:r w:rsidRPr="006A43BB">
        <w:rPr>
          <w:rStyle w:val="None"/>
          <w:rFonts w:ascii="Times New Roman" w:hAnsi="Times New Roman" w:cs="Times New Roman"/>
          <w:sz w:val="18"/>
          <w:szCs w:val="18"/>
          <w:lang w:val="de-DE"/>
        </w:rPr>
        <w:t xml:space="preserve"> </w:t>
      </w:r>
      <w:proofErr w:type="spellStart"/>
      <w:r w:rsidRPr="006A43BB">
        <w:rPr>
          <w:rStyle w:val="None"/>
          <w:rFonts w:ascii="Times New Roman" w:hAnsi="Times New Roman" w:cs="Times New Roman"/>
          <w:sz w:val="18"/>
          <w:szCs w:val="18"/>
          <w:lang w:val="de-DE"/>
        </w:rPr>
        <w:t>DeSchutter</w:t>
      </w:r>
      <w:proofErr w:type="spellEnd"/>
      <w:r w:rsidRPr="006A43BB">
        <w:rPr>
          <w:rStyle w:val="None"/>
          <w:rFonts w:ascii="Times New Roman" w:hAnsi="Times New Roman" w:cs="Times New Roman"/>
          <w:sz w:val="18"/>
          <w:szCs w:val="18"/>
          <w:lang w:val="de-DE"/>
        </w:rPr>
        <w:t xml:space="preserve"> (n </w:t>
      </w:r>
      <w:r w:rsidR="00AA504A">
        <w:rPr>
          <w:rStyle w:val="None"/>
          <w:rFonts w:ascii="Times New Roman" w:hAnsi="Times New Roman" w:cs="Times New Roman"/>
          <w:sz w:val="18"/>
          <w:szCs w:val="18"/>
          <w:lang w:val="de-DE"/>
        </w:rPr>
        <w:t>5</w:t>
      </w:r>
      <w:r w:rsidRPr="006A43BB">
        <w:rPr>
          <w:rStyle w:val="None"/>
          <w:rFonts w:ascii="Times New Roman" w:hAnsi="Times New Roman" w:cs="Times New Roman"/>
          <w:sz w:val="18"/>
          <w:szCs w:val="18"/>
          <w:lang w:val="de-DE"/>
        </w:rPr>
        <w:t>) 9.</w:t>
      </w:r>
    </w:p>
  </w:footnote>
  <w:footnote w:id="61">
    <w:p w14:paraId="73291B98" w14:textId="77777777" w:rsidR="003B207D" w:rsidRPr="006A43BB" w:rsidRDefault="00C96635" w:rsidP="006A43BB">
      <w:pPr>
        <w:pStyle w:val="BodyA"/>
        <w:spacing w:line="240" w:lineRule="auto"/>
        <w:jc w:val="both"/>
        <w:rPr>
          <w:rFonts w:ascii="Times New Roman" w:hAnsi="Times New Roman" w:cs="Times New Roman"/>
          <w:sz w:val="18"/>
          <w:szCs w:val="18"/>
        </w:rPr>
      </w:pPr>
      <w:r w:rsidRPr="006A43BB">
        <w:rPr>
          <w:rStyle w:val="None"/>
          <w:rFonts w:ascii="Times New Roman" w:hAnsi="Times New Roman" w:cs="Times New Roman"/>
          <w:sz w:val="18"/>
          <w:szCs w:val="18"/>
          <w:shd w:val="clear" w:color="auto" w:fill="FFFFFF"/>
          <w:vertAlign w:val="superscript"/>
        </w:rPr>
        <w:footnoteRef/>
      </w:r>
      <w:r w:rsidRPr="006A43BB">
        <w:rPr>
          <w:rStyle w:val="None"/>
          <w:rFonts w:ascii="Times New Roman" w:hAnsi="Times New Roman" w:cs="Times New Roman"/>
          <w:sz w:val="18"/>
          <w:szCs w:val="18"/>
        </w:rPr>
        <w:t xml:space="preserve"> Khoury and Whyte (n 18) 32.</w:t>
      </w:r>
    </w:p>
  </w:footnote>
  <w:footnote w:id="62">
    <w:p w14:paraId="73291B99" w14:textId="352762AC" w:rsidR="003B207D" w:rsidRPr="006A43BB" w:rsidRDefault="00C96635" w:rsidP="006A43BB">
      <w:pPr>
        <w:pStyle w:val="BodyA"/>
        <w:spacing w:line="240" w:lineRule="auto"/>
        <w:jc w:val="both"/>
        <w:rPr>
          <w:rFonts w:ascii="Times New Roman" w:hAnsi="Times New Roman" w:cs="Times New Roman"/>
          <w:sz w:val="18"/>
          <w:szCs w:val="18"/>
        </w:rPr>
      </w:pPr>
      <w:r w:rsidRPr="006A43BB">
        <w:rPr>
          <w:rStyle w:val="None"/>
          <w:rFonts w:ascii="Times New Roman" w:hAnsi="Times New Roman" w:cs="Times New Roman"/>
          <w:sz w:val="18"/>
          <w:szCs w:val="18"/>
          <w:shd w:val="clear" w:color="auto" w:fill="FFFFFF"/>
          <w:vertAlign w:val="superscript"/>
        </w:rPr>
        <w:footnoteRef/>
      </w:r>
      <w:r w:rsidR="00B77A13">
        <w:rPr>
          <w:rStyle w:val="None"/>
          <w:rFonts w:ascii="Times New Roman" w:hAnsi="Times New Roman" w:cs="Times New Roman"/>
          <w:sz w:val="18"/>
          <w:szCs w:val="18"/>
        </w:rPr>
        <w:t xml:space="preserve"> </w:t>
      </w:r>
      <w:r w:rsidR="00B77A13" w:rsidRPr="00B77A13">
        <w:rPr>
          <w:rStyle w:val="None"/>
          <w:rFonts w:ascii="Times New Roman" w:hAnsi="Times New Roman" w:cs="Times New Roman"/>
          <w:sz w:val="18"/>
          <w:szCs w:val="18"/>
        </w:rPr>
        <w:t>Jennifer</w:t>
      </w:r>
      <w:r w:rsidRPr="006A43BB">
        <w:rPr>
          <w:rStyle w:val="None"/>
          <w:rFonts w:ascii="Times New Roman" w:hAnsi="Times New Roman" w:cs="Times New Roman"/>
          <w:sz w:val="18"/>
          <w:szCs w:val="18"/>
        </w:rPr>
        <w:t xml:space="preserve"> </w:t>
      </w:r>
      <w:proofErr w:type="spellStart"/>
      <w:r w:rsidR="0098248E" w:rsidRPr="0098248E">
        <w:rPr>
          <w:rStyle w:val="None"/>
          <w:rFonts w:ascii="Times New Roman" w:hAnsi="Times New Roman" w:cs="Times New Roman"/>
          <w:sz w:val="18"/>
          <w:szCs w:val="18"/>
        </w:rPr>
        <w:t>Zerk</w:t>
      </w:r>
      <w:proofErr w:type="spellEnd"/>
      <w:r w:rsidR="0098248E" w:rsidRPr="0098248E">
        <w:rPr>
          <w:rStyle w:val="None"/>
          <w:rFonts w:ascii="Times New Roman" w:hAnsi="Times New Roman" w:cs="Times New Roman"/>
          <w:sz w:val="18"/>
          <w:szCs w:val="18"/>
        </w:rPr>
        <w:t>, Multinationals And Corporate Social Responsibility (Cambridge University Press 2011)</w:t>
      </w:r>
    </w:p>
  </w:footnote>
  <w:footnote w:id="63">
    <w:p w14:paraId="73291B9A" w14:textId="77777777" w:rsidR="003B207D" w:rsidRPr="006A43BB" w:rsidRDefault="00C96635">
      <w:pPr>
        <w:pStyle w:val="BodyA"/>
        <w:spacing w:line="240" w:lineRule="auto"/>
        <w:jc w:val="both"/>
        <w:rPr>
          <w:rFonts w:ascii="Times New Roman" w:hAnsi="Times New Roman" w:cs="Times New Roman"/>
          <w:sz w:val="18"/>
          <w:szCs w:val="18"/>
        </w:rPr>
      </w:pPr>
      <w:r w:rsidRPr="006A43BB">
        <w:rPr>
          <w:rStyle w:val="None"/>
          <w:rFonts w:ascii="Times New Roman" w:hAnsi="Times New Roman" w:cs="Times New Roman"/>
          <w:sz w:val="18"/>
          <w:szCs w:val="18"/>
          <w:shd w:val="clear" w:color="auto" w:fill="FFFFFF"/>
          <w:vertAlign w:val="superscript"/>
        </w:rPr>
        <w:footnoteRef/>
      </w:r>
      <w:r w:rsidRPr="006A43BB">
        <w:rPr>
          <w:rStyle w:val="None"/>
          <w:rFonts w:ascii="Times New Roman" w:hAnsi="Times New Roman" w:cs="Times New Roman"/>
          <w:sz w:val="18"/>
          <w:szCs w:val="18"/>
        </w:rPr>
        <w:t xml:space="preserve"> Alien Tort Claims Act". Encyclopedia Britannica, 17 Dec. 2015, https://www.britannica.com/topic/Alien-Tort-Claims-Act. Accessed 20 March 2021.</w:t>
      </w:r>
    </w:p>
  </w:footnote>
  <w:footnote w:id="64">
    <w:p w14:paraId="73291B9B" w14:textId="77777777" w:rsidR="003B207D" w:rsidRDefault="00C96635" w:rsidP="006A43BB">
      <w:pPr>
        <w:pStyle w:val="BodyA"/>
        <w:spacing w:line="240" w:lineRule="auto"/>
        <w:jc w:val="both"/>
      </w:pPr>
      <w:r w:rsidRPr="006A43BB">
        <w:rPr>
          <w:rStyle w:val="None"/>
          <w:rFonts w:ascii="Times New Roman" w:hAnsi="Times New Roman" w:cs="Times New Roman"/>
          <w:sz w:val="18"/>
          <w:szCs w:val="18"/>
          <w:shd w:val="clear" w:color="auto" w:fill="FFFFFF"/>
          <w:vertAlign w:val="superscript"/>
          <w:lang w:val="da-DK"/>
        </w:rPr>
        <w:footnoteRef/>
      </w:r>
      <w:r w:rsidRPr="006A43BB">
        <w:rPr>
          <w:rStyle w:val="None"/>
          <w:rFonts w:ascii="Times New Roman" w:hAnsi="Times New Roman" w:cs="Times New Roman"/>
          <w:sz w:val="18"/>
          <w:szCs w:val="18"/>
          <w:lang w:val="da-DK"/>
        </w:rPr>
        <w:t xml:space="preserve"> </w:t>
      </w:r>
      <w:r w:rsidRPr="006A43BB">
        <w:rPr>
          <w:rStyle w:val="None"/>
          <w:rFonts w:ascii="Times New Roman" w:hAnsi="Times New Roman" w:cs="Times New Roman"/>
          <w:sz w:val="18"/>
          <w:szCs w:val="18"/>
          <w:lang w:val="da-DK"/>
        </w:rPr>
        <w:t>Ibid.</w:t>
      </w:r>
      <w:r>
        <w:rPr>
          <w:rStyle w:val="None"/>
          <w:sz w:val="18"/>
          <w:szCs w:val="18"/>
          <w:lang w:val="da-DK"/>
        </w:rPr>
        <w:t xml:space="preserve"> </w:t>
      </w:r>
    </w:p>
  </w:footnote>
  <w:footnote w:id="65">
    <w:p w14:paraId="73291B9C" w14:textId="77777777" w:rsidR="003B207D" w:rsidRPr="006A43BB" w:rsidRDefault="00C96635" w:rsidP="00B1135E">
      <w:pPr>
        <w:pStyle w:val="BodyA"/>
        <w:spacing w:line="240" w:lineRule="auto"/>
        <w:jc w:val="both"/>
        <w:rPr>
          <w:rFonts w:ascii="Times New Roman" w:hAnsi="Times New Roman" w:cs="Times New Roman"/>
          <w:sz w:val="18"/>
          <w:szCs w:val="18"/>
        </w:rPr>
      </w:pPr>
      <w:r w:rsidRPr="006A43BB">
        <w:rPr>
          <w:rStyle w:val="None"/>
          <w:rFonts w:ascii="Times New Roman" w:hAnsi="Times New Roman" w:cs="Times New Roman"/>
          <w:sz w:val="18"/>
          <w:szCs w:val="18"/>
          <w:shd w:val="clear" w:color="auto" w:fill="FFFFFF"/>
          <w:vertAlign w:val="superscript"/>
        </w:rPr>
        <w:footnoteRef/>
      </w:r>
      <w:r w:rsidRPr="006A43BB">
        <w:rPr>
          <w:rStyle w:val="None"/>
          <w:rFonts w:ascii="Times New Roman" w:hAnsi="Times New Roman" w:cs="Times New Roman"/>
          <w:sz w:val="18"/>
          <w:szCs w:val="18"/>
        </w:rPr>
        <w:t xml:space="preserve"> Sarah Joseph, Corporations And Transnational Human Rights Litigation (Hart 2004).</w:t>
      </w:r>
    </w:p>
  </w:footnote>
  <w:footnote w:id="66">
    <w:p w14:paraId="73291B9D" w14:textId="77777777" w:rsidR="003B207D" w:rsidRPr="006A43BB" w:rsidRDefault="00C96635" w:rsidP="00B1135E">
      <w:pPr>
        <w:pStyle w:val="BodyA"/>
        <w:spacing w:line="240" w:lineRule="auto"/>
        <w:jc w:val="both"/>
        <w:rPr>
          <w:rFonts w:ascii="Times New Roman" w:hAnsi="Times New Roman" w:cs="Times New Roman"/>
          <w:sz w:val="18"/>
          <w:szCs w:val="18"/>
        </w:rPr>
      </w:pPr>
      <w:r w:rsidRPr="006A43BB">
        <w:rPr>
          <w:rStyle w:val="None"/>
          <w:rFonts w:ascii="Times New Roman" w:hAnsi="Times New Roman" w:cs="Times New Roman"/>
          <w:sz w:val="18"/>
          <w:szCs w:val="18"/>
          <w:shd w:val="clear" w:color="auto" w:fill="FFFFFF"/>
          <w:vertAlign w:val="superscript"/>
        </w:rPr>
        <w:footnoteRef/>
      </w:r>
      <w:r w:rsidRPr="006A43BB">
        <w:rPr>
          <w:rStyle w:val="None"/>
          <w:rFonts w:ascii="Times New Roman" w:hAnsi="Times New Roman" w:cs="Times New Roman"/>
          <w:sz w:val="18"/>
          <w:szCs w:val="18"/>
        </w:rPr>
        <w:t xml:space="preserve"> </w:t>
      </w:r>
      <w:bookmarkStart w:id="6" w:name="_Hlk73267109"/>
      <w:proofErr w:type="spellStart"/>
      <w:r w:rsidRPr="006A43BB">
        <w:rPr>
          <w:rStyle w:val="None"/>
          <w:rFonts w:ascii="Times New Roman" w:hAnsi="Times New Roman" w:cs="Times New Roman"/>
          <w:sz w:val="18"/>
          <w:szCs w:val="18"/>
        </w:rPr>
        <w:t>Kiobel</w:t>
      </w:r>
      <w:proofErr w:type="spellEnd"/>
      <w:r w:rsidRPr="006A43BB">
        <w:rPr>
          <w:rStyle w:val="None"/>
          <w:rFonts w:ascii="Times New Roman" w:hAnsi="Times New Roman" w:cs="Times New Roman"/>
          <w:sz w:val="18"/>
          <w:szCs w:val="18"/>
        </w:rPr>
        <w:t xml:space="preserve"> v Royal Dutch Petroleum Co and Shell Transport and Trading Company Plc</w:t>
      </w:r>
      <w:bookmarkEnd w:id="6"/>
      <w:r w:rsidRPr="006A43BB">
        <w:rPr>
          <w:rStyle w:val="None"/>
          <w:rFonts w:ascii="Times New Roman" w:hAnsi="Times New Roman" w:cs="Times New Roman"/>
          <w:sz w:val="18"/>
          <w:szCs w:val="18"/>
        </w:rPr>
        <w:t>, [17 September 2010] 133 S. Ct. 1659</w:t>
      </w:r>
    </w:p>
  </w:footnote>
  <w:footnote w:id="67">
    <w:p w14:paraId="73291B9E" w14:textId="77777777" w:rsidR="003B207D" w:rsidRPr="006A43BB" w:rsidRDefault="00C96635" w:rsidP="00B1135E">
      <w:pPr>
        <w:pStyle w:val="FootnoteText"/>
        <w:jc w:val="both"/>
        <w:rPr>
          <w:sz w:val="18"/>
          <w:szCs w:val="18"/>
        </w:rPr>
      </w:pPr>
      <w:r w:rsidRPr="006A43BB">
        <w:rPr>
          <w:rStyle w:val="None"/>
          <w:i/>
          <w:iCs/>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
          <w:rFonts w:eastAsia="Arial Unicode MS"/>
          <w:sz w:val="18"/>
          <w:szCs w:val="18"/>
        </w:rPr>
        <w:t xml:space="preserve"> Ibid.</w:t>
      </w:r>
    </w:p>
  </w:footnote>
  <w:footnote w:id="68">
    <w:p w14:paraId="73291B9F" w14:textId="77777777" w:rsidR="003B207D" w:rsidRPr="006A43BB" w:rsidRDefault="00C96635" w:rsidP="00B1135E">
      <w:pPr>
        <w:pStyle w:val="BodyA"/>
        <w:spacing w:line="240" w:lineRule="auto"/>
        <w:rPr>
          <w:rFonts w:ascii="Times New Roman" w:hAnsi="Times New Roman" w:cs="Times New Roman"/>
          <w:sz w:val="18"/>
          <w:szCs w:val="18"/>
        </w:rPr>
      </w:pPr>
      <w:r w:rsidRPr="006A43BB">
        <w:rPr>
          <w:rStyle w:val="None"/>
          <w:rFonts w:ascii="Times New Roman" w:hAnsi="Times New Roman" w:cs="Times New Roman"/>
          <w:sz w:val="18"/>
          <w:szCs w:val="18"/>
          <w:shd w:val="clear" w:color="auto" w:fill="FFFFFF"/>
          <w:vertAlign w:val="superscript"/>
        </w:rPr>
        <w:footnoteRef/>
      </w:r>
      <w:r w:rsidRPr="006A43BB">
        <w:rPr>
          <w:rStyle w:val="None"/>
          <w:rFonts w:ascii="Times New Roman" w:hAnsi="Times New Roman" w:cs="Times New Roman"/>
          <w:sz w:val="18"/>
          <w:szCs w:val="18"/>
        </w:rPr>
        <w:t xml:space="preserve"> 'The Ten Principles | UN Global Compact' (United Nations Global Compact, 2015) &lt;https://www.unglobalcompact.org/what-is-gc/mission/principles&gt; accessed 20 March 2021.</w:t>
      </w:r>
    </w:p>
  </w:footnote>
  <w:footnote w:id="69">
    <w:p w14:paraId="73291BA0" w14:textId="77777777" w:rsidR="003B207D" w:rsidRPr="006A43BB" w:rsidRDefault="00C96635" w:rsidP="00B1135E">
      <w:pPr>
        <w:pStyle w:val="BodyA"/>
        <w:spacing w:line="240" w:lineRule="auto"/>
        <w:jc w:val="both"/>
        <w:rPr>
          <w:rFonts w:ascii="Times New Roman" w:hAnsi="Times New Roman" w:cs="Times New Roman"/>
          <w:sz w:val="18"/>
          <w:szCs w:val="18"/>
        </w:rPr>
      </w:pPr>
      <w:r w:rsidRPr="006A43BB">
        <w:rPr>
          <w:rStyle w:val="None"/>
          <w:rFonts w:ascii="Times New Roman" w:hAnsi="Times New Roman" w:cs="Times New Roman"/>
          <w:sz w:val="18"/>
          <w:szCs w:val="18"/>
          <w:shd w:val="clear" w:color="auto" w:fill="FFFFFF"/>
          <w:vertAlign w:val="superscript"/>
          <w:lang w:val="da-DK"/>
        </w:rPr>
        <w:footnoteRef/>
      </w:r>
      <w:r w:rsidRPr="006A43BB">
        <w:rPr>
          <w:rStyle w:val="None"/>
          <w:rFonts w:ascii="Times New Roman" w:hAnsi="Times New Roman" w:cs="Times New Roman"/>
          <w:sz w:val="18"/>
          <w:szCs w:val="18"/>
          <w:lang w:val="da-DK"/>
        </w:rPr>
        <w:t xml:space="preserve"> </w:t>
      </w:r>
      <w:r w:rsidRPr="006A43BB">
        <w:rPr>
          <w:rStyle w:val="None"/>
          <w:rFonts w:ascii="Times New Roman" w:hAnsi="Times New Roman" w:cs="Times New Roman"/>
          <w:sz w:val="18"/>
          <w:szCs w:val="18"/>
          <w:lang w:val="da-DK"/>
        </w:rPr>
        <w:t xml:space="preserve">Ibid. </w:t>
      </w:r>
    </w:p>
  </w:footnote>
  <w:footnote w:id="70">
    <w:p w14:paraId="73291BA1" w14:textId="77777777" w:rsidR="003B207D" w:rsidRDefault="00C96635" w:rsidP="00B1135E">
      <w:pPr>
        <w:pStyle w:val="BodyA"/>
        <w:spacing w:line="240" w:lineRule="auto"/>
        <w:jc w:val="both"/>
      </w:pPr>
      <w:r w:rsidRPr="006A43BB">
        <w:rPr>
          <w:rStyle w:val="None"/>
          <w:rFonts w:ascii="Times New Roman" w:hAnsi="Times New Roman" w:cs="Times New Roman"/>
          <w:sz w:val="18"/>
          <w:szCs w:val="18"/>
          <w:shd w:val="clear" w:color="auto" w:fill="FFFFFF"/>
          <w:vertAlign w:val="superscript"/>
        </w:rPr>
        <w:footnoteRef/>
      </w:r>
      <w:r w:rsidRPr="006A43BB">
        <w:rPr>
          <w:rStyle w:val="None"/>
          <w:rFonts w:ascii="Times New Roman" w:hAnsi="Times New Roman" w:cs="Times New Roman"/>
          <w:sz w:val="18"/>
          <w:szCs w:val="18"/>
        </w:rPr>
        <w:t xml:space="preserve"> UN Economic and Social Council ‘Norms on the responsibilities of transnational corporations and other business enterprises with regard to human rights’ 26 August 2003, </w:t>
      </w:r>
      <w:bookmarkStart w:id="7" w:name="_Hlk73201240"/>
      <w:r w:rsidRPr="006A43BB">
        <w:rPr>
          <w:rStyle w:val="None"/>
          <w:rFonts w:ascii="Times New Roman" w:hAnsi="Times New Roman" w:cs="Times New Roman"/>
          <w:sz w:val="18"/>
          <w:szCs w:val="18"/>
        </w:rPr>
        <w:t>E/CN.4/Sub.2/2003/12/Rev.2</w:t>
      </w:r>
    </w:p>
    <w:bookmarkEnd w:id="7"/>
  </w:footnote>
  <w:footnote w:id="71">
    <w:p w14:paraId="73291BA2" w14:textId="43011DDA" w:rsidR="003B207D" w:rsidRPr="006A43BB" w:rsidRDefault="00C96635">
      <w:pPr>
        <w:pStyle w:val="BodyA"/>
        <w:spacing w:line="240" w:lineRule="auto"/>
        <w:rPr>
          <w:rFonts w:ascii="Times New Roman" w:hAnsi="Times New Roman" w:cs="Times New Roman"/>
          <w:sz w:val="18"/>
          <w:szCs w:val="18"/>
          <w:lang w:val="it-IT"/>
        </w:rPr>
      </w:pPr>
      <w:r w:rsidRPr="006A43BB">
        <w:rPr>
          <w:rStyle w:val="None"/>
          <w:rFonts w:ascii="Times New Roman" w:hAnsi="Times New Roman" w:cs="Times New Roman"/>
          <w:sz w:val="18"/>
          <w:szCs w:val="18"/>
          <w:shd w:val="clear" w:color="auto" w:fill="FFFFFF"/>
          <w:vertAlign w:val="superscript"/>
          <w:lang w:val="da-DK"/>
        </w:rPr>
        <w:footnoteRef/>
      </w:r>
      <w:r w:rsidRPr="006A43BB">
        <w:rPr>
          <w:rStyle w:val="None"/>
          <w:rFonts w:ascii="Times New Roman" w:hAnsi="Times New Roman" w:cs="Times New Roman"/>
          <w:sz w:val="18"/>
          <w:szCs w:val="18"/>
          <w:lang w:val="da-DK"/>
        </w:rPr>
        <w:t xml:space="preserve"> </w:t>
      </w:r>
      <w:r w:rsidR="00C6582E" w:rsidRPr="006A43BB">
        <w:rPr>
          <w:rStyle w:val="None"/>
          <w:rFonts w:ascii="Times New Roman" w:hAnsi="Times New Roman" w:cs="Times New Roman"/>
          <w:sz w:val="18"/>
          <w:szCs w:val="18"/>
          <w:lang w:val="da-DK"/>
        </w:rPr>
        <w:t>E/CN.4/Sub.2/2003/12/Rev.2 (n 73)</w:t>
      </w:r>
    </w:p>
  </w:footnote>
  <w:footnote w:id="72">
    <w:p w14:paraId="73291BA3" w14:textId="4C97C607" w:rsidR="003B207D" w:rsidRPr="006A43BB" w:rsidRDefault="00C96635">
      <w:pPr>
        <w:pStyle w:val="BodyA"/>
        <w:spacing w:line="240" w:lineRule="auto"/>
        <w:rPr>
          <w:rFonts w:ascii="Times New Roman" w:hAnsi="Times New Roman" w:cs="Times New Roman"/>
          <w:sz w:val="18"/>
          <w:szCs w:val="18"/>
        </w:rPr>
      </w:pPr>
      <w:r w:rsidRPr="006A43BB">
        <w:rPr>
          <w:rStyle w:val="None"/>
          <w:rFonts w:ascii="Times New Roman" w:hAnsi="Times New Roman" w:cs="Times New Roman"/>
          <w:sz w:val="18"/>
          <w:szCs w:val="18"/>
          <w:shd w:val="clear" w:color="auto" w:fill="FFFFFF"/>
          <w:vertAlign w:val="superscript"/>
        </w:rPr>
        <w:footnoteRef/>
      </w:r>
      <w:r w:rsidRPr="006A43BB">
        <w:rPr>
          <w:rStyle w:val="None"/>
          <w:rFonts w:ascii="Times New Roman" w:hAnsi="Times New Roman" w:cs="Times New Roman"/>
          <w:sz w:val="18"/>
          <w:szCs w:val="18"/>
        </w:rPr>
        <w:t xml:space="preserve"> </w:t>
      </w:r>
      <w:proofErr w:type="spellStart"/>
      <w:r w:rsidRPr="006A43BB">
        <w:rPr>
          <w:rStyle w:val="None"/>
          <w:rFonts w:ascii="Times New Roman" w:hAnsi="Times New Roman" w:cs="Times New Roman"/>
          <w:sz w:val="18"/>
          <w:szCs w:val="18"/>
        </w:rPr>
        <w:t>DeSchutter</w:t>
      </w:r>
      <w:proofErr w:type="spellEnd"/>
      <w:r w:rsidRPr="006A43BB">
        <w:rPr>
          <w:rStyle w:val="None"/>
          <w:rFonts w:ascii="Times New Roman" w:hAnsi="Times New Roman" w:cs="Times New Roman"/>
          <w:sz w:val="18"/>
          <w:szCs w:val="18"/>
        </w:rPr>
        <w:t xml:space="preserve"> (n </w:t>
      </w:r>
      <w:r w:rsidR="00C6582E" w:rsidRPr="006A43BB">
        <w:rPr>
          <w:rStyle w:val="None"/>
          <w:rFonts w:ascii="Times New Roman" w:hAnsi="Times New Roman" w:cs="Times New Roman"/>
          <w:sz w:val="18"/>
          <w:szCs w:val="18"/>
        </w:rPr>
        <w:t>5</w:t>
      </w:r>
      <w:r w:rsidRPr="006A43BB">
        <w:rPr>
          <w:rStyle w:val="None"/>
          <w:rFonts w:ascii="Times New Roman" w:hAnsi="Times New Roman" w:cs="Times New Roman"/>
          <w:sz w:val="18"/>
          <w:szCs w:val="18"/>
        </w:rPr>
        <w:t>) 17</w:t>
      </w:r>
      <w:r w:rsidR="00CE0516">
        <w:rPr>
          <w:rStyle w:val="None"/>
          <w:rFonts w:ascii="Times New Roman" w:hAnsi="Times New Roman" w:cs="Times New Roman"/>
          <w:sz w:val="18"/>
          <w:szCs w:val="18"/>
        </w:rPr>
        <w:t>.</w:t>
      </w:r>
    </w:p>
  </w:footnote>
  <w:footnote w:id="73">
    <w:p w14:paraId="73291BA4" w14:textId="77777777" w:rsidR="003B207D" w:rsidRPr="006A43BB" w:rsidRDefault="00C96635">
      <w:pPr>
        <w:pStyle w:val="BodyA"/>
        <w:spacing w:line="240" w:lineRule="auto"/>
        <w:jc w:val="both"/>
        <w:rPr>
          <w:rFonts w:ascii="Times New Roman" w:hAnsi="Times New Roman" w:cs="Times New Roman"/>
          <w:sz w:val="18"/>
          <w:szCs w:val="18"/>
        </w:rPr>
      </w:pPr>
      <w:r w:rsidRPr="006A43BB">
        <w:rPr>
          <w:rStyle w:val="None"/>
          <w:rFonts w:ascii="Times New Roman" w:hAnsi="Times New Roman" w:cs="Times New Roman"/>
          <w:sz w:val="18"/>
          <w:szCs w:val="18"/>
          <w:shd w:val="clear" w:color="auto" w:fill="FFFFFF"/>
          <w:vertAlign w:val="superscript"/>
        </w:rPr>
        <w:footnoteRef/>
      </w:r>
      <w:r w:rsidRPr="006A43BB">
        <w:rPr>
          <w:rStyle w:val="None"/>
          <w:rFonts w:ascii="Times New Roman" w:hAnsi="Times New Roman" w:cs="Times New Roman"/>
          <w:sz w:val="18"/>
          <w:szCs w:val="18"/>
        </w:rPr>
        <w:t xml:space="preserve"> UN High Commissioner for Human Rights ‘Report of the United Nations High Commissioner on Human Rights on the responsibilities of transnational corporations and related business enterprises with regard to human rights’ 15 Feb. 2005, E/CN.4/2005/91</w:t>
      </w:r>
    </w:p>
  </w:footnote>
  <w:footnote w:id="74">
    <w:p w14:paraId="73291BA5" w14:textId="77777777" w:rsidR="003B207D" w:rsidRPr="006A43BB" w:rsidRDefault="00C96635">
      <w:pPr>
        <w:pStyle w:val="BodyA"/>
        <w:spacing w:line="240" w:lineRule="auto"/>
        <w:rPr>
          <w:rFonts w:ascii="Times New Roman" w:hAnsi="Times New Roman" w:cs="Times New Roman"/>
          <w:sz w:val="18"/>
          <w:szCs w:val="18"/>
        </w:rPr>
      </w:pPr>
      <w:r w:rsidRPr="006A43BB">
        <w:rPr>
          <w:rStyle w:val="None"/>
          <w:rFonts w:ascii="Times New Roman" w:hAnsi="Times New Roman" w:cs="Times New Roman"/>
          <w:sz w:val="18"/>
          <w:szCs w:val="18"/>
          <w:shd w:val="clear" w:color="auto" w:fill="FFFFFF"/>
          <w:vertAlign w:val="superscript"/>
          <w:lang w:val="da-DK"/>
        </w:rPr>
        <w:footnoteRef/>
      </w:r>
      <w:r w:rsidRPr="006A43BB">
        <w:rPr>
          <w:rStyle w:val="None"/>
          <w:rFonts w:ascii="Times New Roman" w:hAnsi="Times New Roman" w:cs="Times New Roman"/>
          <w:sz w:val="18"/>
          <w:szCs w:val="18"/>
          <w:lang w:val="da-DK"/>
        </w:rPr>
        <w:t xml:space="preserve"> </w:t>
      </w:r>
      <w:r w:rsidRPr="006A43BB">
        <w:rPr>
          <w:rStyle w:val="None"/>
          <w:rFonts w:ascii="Times New Roman" w:hAnsi="Times New Roman" w:cs="Times New Roman"/>
          <w:sz w:val="18"/>
          <w:szCs w:val="18"/>
          <w:lang w:val="da-DK"/>
        </w:rPr>
        <w:t xml:space="preserve">Ibid 20. </w:t>
      </w:r>
    </w:p>
  </w:footnote>
  <w:footnote w:id="75">
    <w:p w14:paraId="73291BA6" w14:textId="77777777" w:rsidR="003B207D" w:rsidRPr="006A43BB" w:rsidRDefault="00C96635">
      <w:pPr>
        <w:pStyle w:val="BodyA"/>
        <w:spacing w:line="240" w:lineRule="auto"/>
        <w:rPr>
          <w:rFonts w:ascii="Times New Roman" w:hAnsi="Times New Roman" w:cs="Times New Roman"/>
          <w:sz w:val="18"/>
          <w:szCs w:val="18"/>
        </w:rPr>
      </w:pPr>
      <w:r w:rsidRPr="006A43BB">
        <w:rPr>
          <w:rStyle w:val="None"/>
          <w:rFonts w:ascii="Times New Roman" w:hAnsi="Times New Roman" w:cs="Times New Roman"/>
          <w:sz w:val="18"/>
          <w:szCs w:val="18"/>
          <w:shd w:val="clear" w:color="auto" w:fill="FFFFFF"/>
          <w:vertAlign w:val="superscript"/>
          <w:lang w:val="da-DK"/>
        </w:rPr>
        <w:footnoteRef/>
      </w:r>
      <w:r w:rsidRPr="006A43BB">
        <w:rPr>
          <w:rStyle w:val="None"/>
          <w:rFonts w:ascii="Times New Roman" w:hAnsi="Times New Roman" w:cs="Times New Roman"/>
          <w:sz w:val="18"/>
          <w:szCs w:val="18"/>
          <w:lang w:val="da-DK"/>
        </w:rPr>
        <w:t xml:space="preserve"> </w:t>
      </w:r>
      <w:r w:rsidRPr="006A43BB">
        <w:rPr>
          <w:rStyle w:val="None"/>
          <w:rFonts w:ascii="Times New Roman" w:hAnsi="Times New Roman" w:cs="Times New Roman"/>
          <w:sz w:val="18"/>
          <w:szCs w:val="18"/>
          <w:lang w:val="da-DK"/>
        </w:rPr>
        <w:t>Ibid 21.</w:t>
      </w:r>
    </w:p>
  </w:footnote>
  <w:footnote w:id="76">
    <w:p w14:paraId="73291BA7" w14:textId="77777777" w:rsidR="003B207D" w:rsidRPr="006A43BB" w:rsidRDefault="00C96635">
      <w:pPr>
        <w:pStyle w:val="BodyA"/>
        <w:spacing w:line="240" w:lineRule="auto"/>
        <w:rPr>
          <w:rFonts w:ascii="Times New Roman" w:hAnsi="Times New Roman" w:cs="Times New Roman"/>
          <w:sz w:val="18"/>
          <w:szCs w:val="18"/>
        </w:rPr>
      </w:pPr>
      <w:r w:rsidRPr="006A43BB">
        <w:rPr>
          <w:rStyle w:val="None"/>
          <w:rFonts w:ascii="Times New Roman" w:hAnsi="Times New Roman" w:cs="Times New Roman"/>
          <w:sz w:val="18"/>
          <w:szCs w:val="18"/>
          <w:shd w:val="clear" w:color="auto" w:fill="FFFFFF"/>
          <w:vertAlign w:val="superscript"/>
        </w:rPr>
        <w:footnoteRef/>
      </w:r>
      <w:r w:rsidRPr="006A43BB">
        <w:rPr>
          <w:rStyle w:val="None"/>
          <w:rFonts w:ascii="Times New Roman" w:hAnsi="Times New Roman" w:cs="Times New Roman"/>
          <w:sz w:val="18"/>
          <w:szCs w:val="18"/>
        </w:rPr>
        <w:t xml:space="preserve"> </w:t>
      </w:r>
      <w:bookmarkStart w:id="8" w:name="_Hlk73267076"/>
      <w:r w:rsidRPr="006A43BB">
        <w:rPr>
          <w:rStyle w:val="None"/>
          <w:rFonts w:ascii="Times New Roman" w:hAnsi="Times New Roman" w:cs="Times New Roman"/>
          <w:sz w:val="18"/>
          <w:szCs w:val="18"/>
        </w:rPr>
        <w:t>UN CHR ‘Human Rights and Transnational Corporations and Other Business Enterprises’</w:t>
      </w:r>
      <w:bookmarkEnd w:id="8"/>
      <w:r w:rsidRPr="006A43BB">
        <w:rPr>
          <w:rStyle w:val="None"/>
          <w:rFonts w:ascii="Times New Roman" w:hAnsi="Times New Roman" w:cs="Times New Roman"/>
          <w:sz w:val="18"/>
          <w:szCs w:val="18"/>
        </w:rPr>
        <w:t>, 20 April 2005, E/CN.4/RES/2005/69</w:t>
      </w:r>
    </w:p>
  </w:footnote>
  <w:footnote w:id="77">
    <w:p w14:paraId="73291BA8" w14:textId="77777777" w:rsidR="003B207D" w:rsidRDefault="00C96635">
      <w:pPr>
        <w:pStyle w:val="BodyA"/>
        <w:spacing w:line="240" w:lineRule="auto"/>
      </w:pPr>
      <w:r w:rsidRPr="006A43BB">
        <w:rPr>
          <w:rStyle w:val="None"/>
          <w:rFonts w:ascii="Times New Roman" w:hAnsi="Times New Roman" w:cs="Times New Roman"/>
          <w:sz w:val="18"/>
          <w:szCs w:val="18"/>
          <w:shd w:val="clear" w:color="auto" w:fill="FFFFFF"/>
          <w:vertAlign w:val="superscript"/>
          <w:lang w:val="da-DK"/>
        </w:rPr>
        <w:footnoteRef/>
      </w:r>
      <w:r w:rsidRPr="006A43BB">
        <w:rPr>
          <w:rStyle w:val="None"/>
          <w:rFonts w:ascii="Times New Roman" w:hAnsi="Times New Roman" w:cs="Times New Roman"/>
          <w:sz w:val="18"/>
          <w:szCs w:val="18"/>
          <w:lang w:val="da-DK"/>
        </w:rPr>
        <w:t xml:space="preserve"> </w:t>
      </w:r>
      <w:r w:rsidRPr="006A43BB">
        <w:rPr>
          <w:rStyle w:val="None"/>
          <w:rFonts w:ascii="Times New Roman" w:hAnsi="Times New Roman" w:cs="Times New Roman"/>
          <w:sz w:val="18"/>
          <w:szCs w:val="18"/>
          <w:lang w:val="da-DK"/>
        </w:rPr>
        <w:t>Ibid.</w:t>
      </w:r>
      <w:r>
        <w:rPr>
          <w:rStyle w:val="None"/>
          <w:sz w:val="18"/>
          <w:szCs w:val="18"/>
          <w:lang w:val="da-DK"/>
        </w:rPr>
        <w:t xml:space="preserve"> </w:t>
      </w:r>
    </w:p>
  </w:footnote>
  <w:footnote w:id="78">
    <w:p w14:paraId="73291BA9" w14:textId="4344E46F" w:rsidR="003B207D" w:rsidRPr="006A43BB" w:rsidRDefault="00C96635">
      <w:pPr>
        <w:pStyle w:val="FootnoteText"/>
        <w:rPr>
          <w:lang w:val="en-IE"/>
        </w:rPr>
      </w:pPr>
      <w:r>
        <w:rPr>
          <w:rStyle w:val="None"/>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lang w:val="en-IE"/>
        </w:rPr>
        <w:t xml:space="preserve"> </w:t>
      </w:r>
      <w:bookmarkStart w:id="9" w:name="_Hlk73201319"/>
      <w:r w:rsidRPr="006A43BB">
        <w:rPr>
          <w:rStyle w:val="NoneA"/>
          <w:rFonts w:eastAsia="Arial Unicode MS" w:cs="Arial Unicode MS"/>
          <w:lang w:val="en-IE"/>
        </w:rPr>
        <w:t>Deva</w:t>
      </w:r>
      <w:r w:rsidR="0026704E" w:rsidRPr="006A43BB">
        <w:rPr>
          <w:rStyle w:val="NoneA"/>
          <w:rFonts w:eastAsia="Arial Unicode MS" w:cs="Arial Unicode MS"/>
          <w:lang w:val="en-IE"/>
        </w:rPr>
        <w:t xml:space="preserve"> (n 4).</w:t>
      </w:r>
      <w:bookmarkEnd w:id="9"/>
    </w:p>
  </w:footnote>
  <w:footnote w:id="79">
    <w:p w14:paraId="73291BAA" w14:textId="77777777" w:rsidR="003B207D" w:rsidRPr="006A43BB" w:rsidRDefault="00C96635">
      <w:pPr>
        <w:pStyle w:val="FootnoteText"/>
        <w:rPr>
          <w:lang w:val="en-IE"/>
        </w:rPr>
      </w:pPr>
      <w:r>
        <w:rPr>
          <w:rStyle w:val="None"/>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lang w:val="en-IE"/>
        </w:rPr>
        <w:t xml:space="preserve"> Ibid.</w:t>
      </w:r>
    </w:p>
  </w:footnote>
  <w:footnote w:id="80">
    <w:p w14:paraId="73291BAB" w14:textId="44FC5F73" w:rsidR="003B207D" w:rsidRPr="006A43BB" w:rsidRDefault="00C96635">
      <w:pPr>
        <w:pStyle w:val="FootnoteText"/>
        <w:rPr>
          <w:sz w:val="18"/>
          <w:szCs w:val="18"/>
          <w:lang w:val="en-IE"/>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lang w:val="en-IE"/>
        </w:rPr>
        <w:t xml:space="preserve"> </w:t>
      </w:r>
      <w:r w:rsidR="0026704E" w:rsidRPr="006A43BB">
        <w:rPr>
          <w:rStyle w:val="NoneA"/>
          <w:rFonts w:eastAsia="Arial Unicode MS" w:cs="Arial Unicode MS"/>
          <w:sz w:val="18"/>
          <w:szCs w:val="18"/>
          <w:lang w:val="en-IE"/>
        </w:rPr>
        <w:t>Deva (n 4) 53.</w:t>
      </w:r>
    </w:p>
  </w:footnote>
  <w:footnote w:id="81">
    <w:p w14:paraId="73291BAC" w14:textId="77777777" w:rsidR="003B207D" w:rsidRPr="006A43BB" w:rsidRDefault="00C96635">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Ibid. </w:t>
      </w:r>
    </w:p>
  </w:footnote>
  <w:footnote w:id="82">
    <w:p w14:paraId="73291BAD" w14:textId="77777777" w:rsidR="003B207D" w:rsidRPr="006A43BB" w:rsidRDefault="00C96635">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Ibid 54.</w:t>
      </w:r>
    </w:p>
  </w:footnote>
  <w:footnote w:id="83">
    <w:p w14:paraId="73291BAE" w14:textId="77777777" w:rsidR="003B207D" w:rsidRPr="006A43BB" w:rsidRDefault="00C96635">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The Global Sullivan Principles 1977. </w:t>
      </w:r>
    </w:p>
  </w:footnote>
  <w:footnote w:id="84">
    <w:p w14:paraId="73291BAF" w14:textId="77777777" w:rsidR="003B207D" w:rsidRPr="006A43BB" w:rsidRDefault="00C96635">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'Clean Clothes Campaign' (Clean Clothes Campaign, 2021) &lt;https://cleanclothes.org/&gt; accessed 28 March 2021.</w:t>
      </w:r>
    </w:p>
  </w:footnote>
  <w:footnote w:id="85">
    <w:p w14:paraId="73291BB0" w14:textId="77777777" w:rsidR="003B207D" w:rsidRPr="006A43BB" w:rsidRDefault="00C96635">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Sustainability Guidelines Of The Global Reporting Initiative' (Globalreporting.org, 2021) &lt;https://www.globalreporting.org/standards/&gt; accessed 28 March 2021.</w:t>
      </w:r>
    </w:p>
  </w:footnote>
  <w:footnote w:id="86">
    <w:p w14:paraId="73291BB1" w14:textId="20E6928D" w:rsidR="003B207D" w:rsidRPr="006A43BB" w:rsidRDefault="00C96635">
      <w:pPr>
        <w:pStyle w:val="FootnoteText"/>
        <w:rPr>
          <w:sz w:val="18"/>
          <w:szCs w:val="18"/>
          <w:lang w:val="it-IT"/>
        </w:rPr>
      </w:pPr>
      <w:r w:rsidRPr="006A43BB">
        <w:rPr>
          <w:rStyle w:val="None"/>
          <w:sz w:val="18"/>
          <w:szCs w:val="18"/>
          <w:shd w:val="clear" w:color="auto" w:fill="FFFFFF"/>
          <w:vertAlign w:val="superscript"/>
          <w:lang w:val="it-IT"/>
          <w14:textOutline w14:w="12700" w14:cap="flat" w14:cmpd="sng" w14:algn="ctr">
            <w14:noFill/>
            <w14:prstDash w14:val="solid"/>
            <w14:miter w14:lim="400000"/>
          </w14:textOutline>
        </w:rPr>
        <w:footnoteRef/>
      </w:r>
      <w:r w:rsidRPr="006A43BB">
        <w:rPr>
          <w:rStyle w:val="None"/>
          <w:sz w:val="18"/>
          <w:szCs w:val="18"/>
          <w:lang w:val="it-IT"/>
        </w:rPr>
        <w:t xml:space="preserve"> Deva (n </w:t>
      </w:r>
      <w:r w:rsidR="0026704E">
        <w:rPr>
          <w:rStyle w:val="None"/>
          <w:sz w:val="18"/>
          <w:szCs w:val="18"/>
          <w:lang w:val="it-IT"/>
        </w:rPr>
        <w:t>4</w:t>
      </w:r>
      <w:r w:rsidRPr="006A43BB">
        <w:rPr>
          <w:rStyle w:val="None"/>
          <w:sz w:val="18"/>
          <w:szCs w:val="18"/>
          <w:lang w:val="it-IT"/>
        </w:rPr>
        <w:t>) 54.</w:t>
      </w:r>
    </w:p>
  </w:footnote>
  <w:footnote w:id="87">
    <w:p w14:paraId="73291BB2" w14:textId="77777777" w:rsidR="003B207D" w:rsidRPr="006A43BB" w:rsidRDefault="00C96635" w:rsidP="00CD0A00">
      <w:pPr>
        <w:pStyle w:val="FootnoteText"/>
        <w:rPr>
          <w:lang w:val="it-IT"/>
        </w:rPr>
      </w:pPr>
      <w:r w:rsidRPr="006A43BB">
        <w:rPr>
          <w:rStyle w:val="None"/>
          <w:sz w:val="18"/>
          <w:szCs w:val="18"/>
          <w:shd w:val="clear" w:color="auto" w:fill="FFFFFF"/>
          <w:vertAlign w:val="superscript"/>
          <w:lang w:val="it-IT"/>
          <w14:textOutline w14:w="12700" w14:cap="flat" w14:cmpd="sng" w14:algn="ctr">
            <w14:noFill/>
            <w14:prstDash w14:val="solid"/>
            <w14:miter w14:lim="400000"/>
          </w14:textOutline>
        </w:rPr>
        <w:footnoteRef/>
      </w:r>
      <w:r w:rsidRPr="006A43BB">
        <w:rPr>
          <w:rStyle w:val="None"/>
          <w:sz w:val="18"/>
          <w:szCs w:val="18"/>
          <w:lang w:val="it-IT"/>
        </w:rPr>
        <w:t xml:space="preserve"> </w:t>
      </w:r>
      <w:proofErr w:type="spellStart"/>
      <w:r w:rsidRPr="006A43BB">
        <w:rPr>
          <w:rStyle w:val="None"/>
          <w:sz w:val="18"/>
          <w:szCs w:val="18"/>
          <w:lang w:val="it-IT"/>
        </w:rPr>
        <w:t>Ibid</w:t>
      </w:r>
      <w:proofErr w:type="spellEnd"/>
      <w:r w:rsidRPr="006A43BB">
        <w:rPr>
          <w:rStyle w:val="None"/>
          <w:sz w:val="18"/>
          <w:szCs w:val="18"/>
          <w:lang w:val="it-IT"/>
        </w:rPr>
        <w:t xml:space="preserve"> 58-59.</w:t>
      </w:r>
    </w:p>
  </w:footnote>
  <w:footnote w:id="88">
    <w:p w14:paraId="73291BB3" w14:textId="4890E18C" w:rsidR="003B207D" w:rsidRPr="006A43BB" w:rsidRDefault="00C96635" w:rsidP="00CD0A00">
      <w:pPr>
        <w:pStyle w:val="FootnoteText"/>
        <w:rPr>
          <w:sz w:val="18"/>
          <w:szCs w:val="18"/>
          <w:lang w:val="it-IT"/>
        </w:rPr>
      </w:pPr>
      <w:r w:rsidRPr="006A43BB">
        <w:rPr>
          <w:rStyle w:val="None"/>
          <w:sz w:val="18"/>
          <w:szCs w:val="18"/>
          <w:shd w:val="clear" w:color="auto" w:fill="FFFFFF"/>
          <w:vertAlign w:val="superscript"/>
          <w:lang w:val="it-IT"/>
          <w14:textOutline w14:w="12700" w14:cap="flat" w14:cmpd="sng" w14:algn="ctr">
            <w14:noFill/>
            <w14:prstDash w14:val="solid"/>
            <w14:miter w14:lim="400000"/>
          </w14:textOutline>
        </w:rPr>
        <w:footnoteRef/>
      </w:r>
      <w:r w:rsidRPr="006A43BB">
        <w:rPr>
          <w:rStyle w:val="None"/>
          <w:sz w:val="18"/>
          <w:szCs w:val="18"/>
          <w:lang w:val="it-IT"/>
        </w:rPr>
        <w:t xml:space="preserve"> Deva (n </w:t>
      </w:r>
      <w:r w:rsidR="0026704E" w:rsidRPr="006A43BB">
        <w:rPr>
          <w:rStyle w:val="None"/>
          <w:sz w:val="18"/>
          <w:szCs w:val="18"/>
          <w:lang w:val="it-IT"/>
        </w:rPr>
        <w:t>4</w:t>
      </w:r>
      <w:r w:rsidRPr="006A43BB">
        <w:rPr>
          <w:rStyle w:val="None"/>
          <w:sz w:val="18"/>
          <w:szCs w:val="18"/>
          <w:lang w:val="it-IT"/>
        </w:rPr>
        <w:t>) 59.</w:t>
      </w:r>
    </w:p>
  </w:footnote>
  <w:footnote w:id="89">
    <w:p w14:paraId="73291BB4"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EU Commission Green Paper “Promoting a European framework for Corporate Social Responsibility”</w:t>
      </w:r>
    </w:p>
  </w:footnote>
  <w:footnote w:id="90">
    <w:p w14:paraId="73291BB5" w14:textId="792985C8"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Deva (n </w:t>
      </w:r>
      <w:r w:rsidR="00C20D36" w:rsidRPr="006A43BB">
        <w:rPr>
          <w:rStyle w:val="NoneA"/>
          <w:rFonts w:eastAsia="Arial Unicode MS" w:cs="Arial Unicode MS"/>
          <w:sz w:val="18"/>
          <w:szCs w:val="18"/>
        </w:rPr>
        <w:t>4</w:t>
      </w:r>
      <w:r w:rsidRPr="006A43BB">
        <w:rPr>
          <w:rStyle w:val="NoneA"/>
          <w:rFonts w:eastAsia="Arial Unicode MS" w:cs="Arial Unicode MS"/>
          <w:sz w:val="18"/>
          <w:szCs w:val="18"/>
        </w:rPr>
        <w:t>) 59-60.</w:t>
      </w:r>
    </w:p>
  </w:footnote>
  <w:footnote w:id="91">
    <w:p w14:paraId="73291BB6"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Ibid.</w:t>
      </w:r>
    </w:p>
  </w:footnote>
  <w:footnote w:id="92">
    <w:p w14:paraId="73291BB7" w14:textId="48FE4643"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The Alien Tort Claims Act  (n </w:t>
      </w:r>
      <w:r w:rsidR="001128BF" w:rsidRPr="006A43BB">
        <w:rPr>
          <w:rStyle w:val="NoneA"/>
          <w:rFonts w:eastAsia="Arial Unicode MS" w:cs="Arial Unicode MS"/>
          <w:sz w:val="18"/>
          <w:szCs w:val="18"/>
        </w:rPr>
        <w:t>66</w:t>
      </w:r>
      <w:r w:rsidRPr="006A43BB">
        <w:rPr>
          <w:rStyle w:val="NoneA"/>
          <w:rFonts w:eastAsia="Arial Unicode MS" w:cs="Arial Unicode MS"/>
          <w:sz w:val="18"/>
          <w:szCs w:val="18"/>
        </w:rPr>
        <w:t xml:space="preserve">) </w:t>
      </w:r>
    </w:p>
  </w:footnote>
  <w:footnote w:id="93">
    <w:p w14:paraId="73291BB8"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
          <w:rFonts w:eastAsia="Arial Unicode MS" w:cs="Arial Unicode MS"/>
          <w:i/>
          <w:iCs/>
          <w:sz w:val="18"/>
          <w:szCs w:val="18"/>
        </w:rPr>
        <w:t xml:space="preserve"> Flores v Southern Peru Popper</w:t>
      </w:r>
      <w:r w:rsidRPr="006A43BB">
        <w:rPr>
          <w:rStyle w:val="NoneA"/>
          <w:rFonts w:eastAsia="Arial Unicode MS" w:cs="Arial Unicode MS"/>
          <w:sz w:val="18"/>
          <w:szCs w:val="18"/>
        </w:rPr>
        <w:t xml:space="preserve"> [2002] 253 F. Supp. 510 </w:t>
      </w:r>
    </w:p>
  </w:footnote>
  <w:footnote w:id="94">
    <w:p w14:paraId="73291BB9"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r w:rsidRPr="006A43BB">
        <w:rPr>
          <w:rStyle w:val="None"/>
          <w:rFonts w:eastAsia="Arial Unicode MS" w:cs="Arial Unicode MS"/>
          <w:i/>
          <w:iCs/>
          <w:sz w:val="18"/>
          <w:szCs w:val="18"/>
        </w:rPr>
        <w:t>Doe v. Unocal</w:t>
      </w:r>
      <w:r w:rsidRPr="006A43BB">
        <w:rPr>
          <w:rStyle w:val="NoneA"/>
          <w:rFonts w:eastAsia="Arial Unicode MS" w:cs="Arial Unicode MS"/>
          <w:sz w:val="18"/>
          <w:szCs w:val="18"/>
        </w:rPr>
        <w:t xml:space="preserve"> [2002] 395 F.3d 932 </w:t>
      </w:r>
    </w:p>
  </w:footnote>
  <w:footnote w:id="95">
    <w:p w14:paraId="73291BBA" w14:textId="5DDA54E0" w:rsidR="003B207D" w:rsidRPr="002A5DE6" w:rsidRDefault="00C96635" w:rsidP="00CD0A00">
      <w:pPr>
        <w:pStyle w:val="FootnoteText"/>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Deva  (n </w:t>
      </w:r>
      <w:r w:rsidR="001128BF" w:rsidRPr="006A43BB">
        <w:rPr>
          <w:rStyle w:val="NoneA"/>
          <w:rFonts w:eastAsia="Arial Unicode MS" w:cs="Arial Unicode MS"/>
          <w:sz w:val="18"/>
          <w:szCs w:val="18"/>
        </w:rPr>
        <w:t>4</w:t>
      </w:r>
      <w:r w:rsidRPr="006A43BB">
        <w:rPr>
          <w:rStyle w:val="NoneA"/>
          <w:rFonts w:eastAsia="Arial Unicode MS" w:cs="Arial Unicode MS"/>
          <w:sz w:val="18"/>
          <w:szCs w:val="18"/>
        </w:rPr>
        <w:t>) 67</w:t>
      </w:r>
    </w:p>
  </w:footnote>
  <w:footnote w:id="96">
    <w:p w14:paraId="73291BBB" w14:textId="1BF6FBBB"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Deva (n </w:t>
      </w:r>
      <w:r w:rsidR="00ED4F6A" w:rsidRPr="006A43BB">
        <w:rPr>
          <w:rStyle w:val="NoneA"/>
          <w:rFonts w:eastAsia="Arial Unicode MS" w:cs="Arial Unicode MS"/>
          <w:sz w:val="18"/>
          <w:szCs w:val="18"/>
        </w:rPr>
        <w:t>4</w:t>
      </w:r>
      <w:r w:rsidRPr="006A43BB">
        <w:rPr>
          <w:rStyle w:val="NoneA"/>
          <w:rFonts w:eastAsia="Arial Unicode MS" w:cs="Arial Unicode MS"/>
          <w:sz w:val="18"/>
          <w:szCs w:val="18"/>
        </w:rPr>
        <w:t>) 68.</w:t>
      </w:r>
    </w:p>
  </w:footnote>
  <w:footnote w:id="97">
    <w:p w14:paraId="73291BBC" w14:textId="6D23ED0D"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Doe v. Unocal (n </w:t>
      </w:r>
      <w:r w:rsidR="00ED4F6A" w:rsidRPr="006A43BB">
        <w:rPr>
          <w:rStyle w:val="NoneA"/>
          <w:rFonts w:eastAsia="Arial Unicode MS" w:cs="Arial Unicode MS"/>
          <w:sz w:val="18"/>
          <w:szCs w:val="18"/>
        </w:rPr>
        <w:t>97</w:t>
      </w:r>
      <w:r w:rsidRPr="006A43BB">
        <w:rPr>
          <w:rStyle w:val="NoneA"/>
          <w:rFonts w:eastAsia="Arial Unicode MS" w:cs="Arial Unicode MS"/>
          <w:sz w:val="18"/>
          <w:szCs w:val="18"/>
        </w:rPr>
        <w:t xml:space="preserve">) </w:t>
      </w:r>
    </w:p>
  </w:footnote>
  <w:footnote w:id="98">
    <w:p w14:paraId="73291BBD" w14:textId="77777777"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The Presbyterian Church of Sudan v. Talisman Energy [2 October 2009] 582 F. 3d 244 </w:t>
      </w:r>
    </w:p>
  </w:footnote>
  <w:footnote w:id="99">
    <w:p w14:paraId="73291BBE" w14:textId="164A0DCD" w:rsidR="003B207D" w:rsidRPr="006A43BB" w:rsidRDefault="00C96635" w:rsidP="00CD0A00">
      <w:pPr>
        <w:pStyle w:val="FootnoteText"/>
        <w:jc w:val="both"/>
        <w:rPr>
          <w:sz w:val="18"/>
          <w:szCs w:val="18"/>
          <w:lang w:val="it-IT"/>
        </w:rPr>
      </w:pPr>
      <w:r w:rsidRPr="006A43BB">
        <w:rPr>
          <w:rStyle w:val="None"/>
          <w:sz w:val="18"/>
          <w:szCs w:val="18"/>
          <w:shd w:val="clear" w:color="auto" w:fill="FFFFFF"/>
          <w:vertAlign w:val="superscript"/>
          <w:lang w:val="it-IT"/>
          <w14:textOutline w14:w="12700" w14:cap="flat" w14:cmpd="sng" w14:algn="ctr">
            <w14:noFill/>
            <w14:prstDash w14:val="solid"/>
            <w14:miter w14:lim="400000"/>
          </w14:textOutline>
        </w:rPr>
        <w:footnoteRef/>
      </w:r>
      <w:r w:rsidRPr="006A43BB">
        <w:rPr>
          <w:rStyle w:val="None"/>
          <w:sz w:val="18"/>
          <w:szCs w:val="18"/>
          <w:lang w:val="it-IT"/>
        </w:rPr>
        <w:t xml:space="preserve"> Deva (n </w:t>
      </w:r>
      <w:r w:rsidR="00ED4F6A" w:rsidRPr="006A43BB">
        <w:rPr>
          <w:rStyle w:val="None"/>
          <w:sz w:val="18"/>
          <w:szCs w:val="18"/>
          <w:lang w:val="it-IT"/>
        </w:rPr>
        <w:t>4</w:t>
      </w:r>
      <w:r w:rsidRPr="006A43BB">
        <w:rPr>
          <w:rStyle w:val="None"/>
          <w:sz w:val="18"/>
          <w:szCs w:val="18"/>
          <w:lang w:val="it-IT"/>
        </w:rPr>
        <w:t>) 69.</w:t>
      </w:r>
    </w:p>
  </w:footnote>
  <w:footnote w:id="100">
    <w:p w14:paraId="73291BBF" w14:textId="77777777"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
          <w:sz w:val="18"/>
          <w:szCs w:val="18"/>
          <w:lang w:val="it-IT"/>
        </w:rPr>
        <w:t xml:space="preserve"> </w:t>
      </w:r>
      <w:proofErr w:type="spellStart"/>
      <w:r w:rsidRPr="006A43BB">
        <w:rPr>
          <w:rStyle w:val="None"/>
          <w:sz w:val="18"/>
          <w:szCs w:val="18"/>
          <w:lang w:val="it-IT"/>
        </w:rPr>
        <w:t>See</w:t>
      </w:r>
      <w:proofErr w:type="spellEnd"/>
      <w:r w:rsidRPr="006A43BB">
        <w:rPr>
          <w:rStyle w:val="None"/>
          <w:sz w:val="18"/>
          <w:szCs w:val="18"/>
          <w:lang w:val="it-IT"/>
        </w:rPr>
        <w:t xml:space="preserve"> </w:t>
      </w:r>
      <w:proofErr w:type="spellStart"/>
      <w:r w:rsidRPr="006A43BB">
        <w:rPr>
          <w:rStyle w:val="None"/>
          <w:i/>
          <w:iCs/>
          <w:sz w:val="18"/>
          <w:szCs w:val="18"/>
          <w:lang w:val="it-IT"/>
        </w:rPr>
        <w:t>Aguinda</w:t>
      </w:r>
      <w:proofErr w:type="spellEnd"/>
      <w:r w:rsidRPr="006A43BB">
        <w:rPr>
          <w:rStyle w:val="None"/>
          <w:i/>
          <w:iCs/>
          <w:sz w:val="18"/>
          <w:szCs w:val="18"/>
          <w:lang w:val="it-IT"/>
        </w:rPr>
        <w:t xml:space="preserve"> v. Texaco Inc</w:t>
      </w:r>
      <w:r w:rsidRPr="006A43BB">
        <w:rPr>
          <w:rStyle w:val="None"/>
          <w:sz w:val="18"/>
          <w:szCs w:val="18"/>
          <w:lang w:val="it-IT"/>
        </w:rPr>
        <w:t xml:space="preserve">. </w:t>
      </w:r>
      <w:r w:rsidRPr="006A43BB">
        <w:rPr>
          <w:rStyle w:val="NoneAA"/>
          <w:sz w:val="18"/>
          <w:szCs w:val="18"/>
        </w:rPr>
        <w:t xml:space="preserve">[1996] 945 F. Supp. 625 and </w:t>
      </w:r>
      <w:proofErr w:type="spellStart"/>
      <w:r w:rsidRPr="006A43BB">
        <w:rPr>
          <w:rStyle w:val="None"/>
          <w:i/>
          <w:iCs/>
          <w:sz w:val="18"/>
          <w:szCs w:val="18"/>
        </w:rPr>
        <w:t>Wiwa</w:t>
      </w:r>
      <w:proofErr w:type="spellEnd"/>
      <w:r w:rsidRPr="006A43BB">
        <w:rPr>
          <w:rStyle w:val="None"/>
          <w:i/>
          <w:iCs/>
          <w:sz w:val="18"/>
          <w:szCs w:val="18"/>
        </w:rPr>
        <w:t xml:space="preserve"> v. Royal Dutch Petroleum Co</w:t>
      </w:r>
      <w:r w:rsidRPr="006A43BB">
        <w:rPr>
          <w:rStyle w:val="NoneAA"/>
          <w:sz w:val="18"/>
          <w:szCs w:val="18"/>
        </w:rPr>
        <w:t xml:space="preserve"> [2000] 226 F.3d 88 </w:t>
      </w:r>
    </w:p>
  </w:footnote>
  <w:footnote w:id="101">
    <w:p w14:paraId="73291BC0" w14:textId="77777777" w:rsidR="003B207D" w:rsidRPr="006A43BB" w:rsidRDefault="00C96635" w:rsidP="00CD0A00">
      <w:pPr>
        <w:pStyle w:val="FootnoteText"/>
        <w:jc w:val="both"/>
        <w:rPr>
          <w:sz w:val="18"/>
          <w:szCs w:val="18"/>
          <w:lang w:val="it-IT"/>
        </w:rPr>
      </w:pPr>
      <w:r w:rsidRPr="006A43BB">
        <w:rPr>
          <w:rStyle w:val="None"/>
          <w:sz w:val="18"/>
          <w:szCs w:val="18"/>
          <w:shd w:val="clear" w:color="auto" w:fill="FFFFFF"/>
          <w:vertAlign w:val="superscript"/>
          <w:lang w:val="it-IT"/>
          <w14:textOutline w14:w="12700" w14:cap="flat" w14:cmpd="sng" w14:algn="ctr">
            <w14:noFill/>
            <w14:prstDash w14:val="solid"/>
            <w14:miter w14:lim="400000"/>
          </w14:textOutline>
        </w:rPr>
        <w:footnoteRef/>
      </w:r>
      <w:r w:rsidRPr="006A43BB">
        <w:rPr>
          <w:rStyle w:val="None"/>
          <w:sz w:val="18"/>
          <w:szCs w:val="18"/>
          <w:lang w:val="it-IT"/>
        </w:rPr>
        <w:t xml:space="preserve"> </w:t>
      </w:r>
      <w:proofErr w:type="spellStart"/>
      <w:r w:rsidRPr="006A43BB">
        <w:rPr>
          <w:rStyle w:val="None"/>
          <w:i/>
          <w:iCs/>
          <w:sz w:val="18"/>
          <w:szCs w:val="18"/>
          <w:lang w:val="it-IT"/>
        </w:rPr>
        <w:t>Sosa</w:t>
      </w:r>
      <w:proofErr w:type="spellEnd"/>
      <w:r w:rsidRPr="006A43BB">
        <w:rPr>
          <w:rStyle w:val="None"/>
          <w:i/>
          <w:iCs/>
          <w:sz w:val="18"/>
          <w:szCs w:val="18"/>
          <w:lang w:val="it-IT"/>
        </w:rPr>
        <w:t xml:space="preserve"> v. Alvarez-</w:t>
      </w:r>
      <w:proofErr w:type="spellStart"/>
      <w:r w:rsidRPr="006A43BB">
        <w:rPr>
          <w:rStyle w:val="None"/>
          <w:i/>
          <w:iCs/>
          <w:sz w:val="18"/>
          <w:szCs w:val="18"/>
          <w:lang w:val="it-IT"/>
        </w:rPr>
        <w:t>Machain</w:t>
      </w:r>
      <w:proofErr w:type="spellEnd"/>
      <w:r w:rsidRPr="006A43BB">
        <w:rPr>
          <w:rStyle w:val="None"/>
          <w:i/>
          <w:iCs/>
          <w:sz w:val="18"/>
          <w:szCs w:val="18"/>
          <w:lang w:val="it-IT"/>
        </w:rPr>
        <w:t xml:space="preserve"> [2004]</w:t>
      </w:r>
      <w:r w:rsidRPr="006A43BB">
        <w:rPr>
          <w:rStyle w:val="None"/>
          <w:sz w:val="18"/>
          <w:szCs w:val="18"/>
          <w:lang w:val="it-IT"/>
        </w:rPr>
        <w:t xml:space="preserve"> 542 U.S. 692 </w:t>
      </w:r>
    </w:p>
  </w:footnote>
  <w:footnote w:id="102">
    <w:p w14:paraId="73291BC1" w14:textId="3200318A" w:rsidR="003B207D" w:rsidRPr="006A43BB" w:rsidRDefault="00C96635" w:rsidP="00CD0A00">
      <w:pPr>
        <w:pStyle w:val="FootnoteText"/>
        <w:jc w:val="both"/>
        <w:rPr>
          <w:lang w:val="it-IT"/>
        </w:rPr>
      </w:pPr>
      <w:r w:rsidRPr="006A43BB">
        <w:rPr>
          <w:rStyle w:val="None"/>
          <w:sz w:val="18"/>
          <w:szCs w:val="18"/>
          <w:shd w:val="clear" w:color="auto" w:fill="FFFFFF"/>
          <w:vertAlign w:val="superscript"/>
          <w:lang w:val="it-IT"/>
          <w14:textOutline w14:w="12700" w14:cap="flat" w14:cmpd="sng" w14:algn="ctr">
            <w14:noFill/>
            <w14:prstDash w14:val="solid"/>
            <w14:miter w14:lim="400000"/>
          </w14:textOutline>
        </w:rPr>
        <w:footnoteRef/>
      </w:r>
      <w:r w:rsidRPr="006A43BB">
        <w:rPr>
          <w:rStyle w:val="None"/>
          <w:sz w:val="18"/>
          <w:szCs w:val="18"/>
          <w:lang w:val="it-IT"/>
        </w:rPr>
        <w:t xml:space="preserve"> Deva (n </w:t>
      </w:r>
      <w:r w:rsidR="00ED4F6A" w:rsidRPr="006A43BB">
        <w:rPr>
          <w:rStyle w:val="None"/>
          <w:sz w:val="18"/>
          <w:szCs w:val="18"/>
          <w:lang w:val="it-IT"/>
        </w:rPr>
        <w:t>4</w:t>
      </w:r>
      <w:r w:rsidRPr="006A43BB">
        <w:rPr>
          <w:rStyle w:val="None"/>
          <w:sz w:val="18"/>
          <w:szCs w:val="18"/>
          <w:lang w:val="it-IT"/>
        </w:rPr>
        <w:t>) 71.</w:t>
      </w:r>
      <w:r>
        <w:rPr>
          <w:rStyle w:val="None"/>
          <w:lang w:val="it-IT"/>
        </w:rPr>
        <w:t xml:space="preserve"> </w:t>
      </w:r>
    </w:p>
  </w:footnote>
  <w:footnote w:id="103">
    <w:p w14:paraId="73291BC2"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Kiobel</w:t>
      </w:r>
      <w:proofErr w:type="spellEnd"/>
      <w:r w:rsidRPr="006A43BB">
        <w:rPr>
          <w:rStyle w:val="NoneA"/>
          <w:rFonts w:eastAsia="Arial Unicode MS" w:cs="Arial Unicode MS"/>
          <w:sz w:val="18"/>
          <w:szCs w:val="18"/>
        </w:rPr>
        <w:t xml:space="preserve"> v. Royal Dutch Petroleum [2013]  569 U.S. 108 </w:t>
      </w:r>
    </w:p>
  </w:footnote>
  <w:footnote w:id="104">
    <w:p w14:paraId="73291BC3" w14:textId="4C793A39"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Deva (n </w:t>
      </w:r>
      <w:r w:rsidR="007F0818" w:rsidRPr="006A43BB">
        <w:rPr>
          <w:rStyle w:val="NoneA"/>
          <w:rFonts w:eastAsia="Arial Unicode MS" w:cs="Arial Unicode MS"/>
          <w:sz w:val="18"/>
          <w:szCs w:val="18"/>
        </w:rPr>
        <w:t>4</w:t>
      </w:r>
      <w:r w:rsidRPr="006A43BB">
        <w:rPr>
          <w:rStyle w:val="NoneA"/>
          <w:rFonts w:eastAsia="Arial Unicode MS" w:cs="Arial Unicode MS"/>
          <w:sz w:val="18"/>
          <w:szCs w:val="18"/>
        </w:rPr>
        <w:t>) 79.</w:t>
      </w:r>
    </w:p>
  </w:footnote>
  <w:footnote w:id="105">
    <w:p w14:paraId="73291BC4" w14:textId="61BB744C"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The OECD Guidelines (n </w:t>
      </w:r>
      <w:r w:rsidR="002E3A14" w:rsidRPr="006A43BB">
        <w:rPr>
          <w:rStyle w:val="NoneA"/>
          <w:rFonts w:eastAsia="Arial Unicode MS" w:cs="Arial Unicode MS"/>
          <w:sz w:val="18"/>
          <w:szCs w:val="18"/>
        </w:rPr>
        <w:t>54</w:t>
      </w:r>
      <w:r w:rsidRPr="006A43BB">
        <w:rPr>
          <w:rStyle w:val="NoneA"/>
          <w:rFonts w:eastAsia="Arial Unicode MS" w:cs="Arial Unicode MS"/>
          <w:sz w:val="18"/>
          <w:szCs w:val="18"/>
        </w:rPr>
        <w:t xml:space="preserve">) </w:t>
      </w:r>
    </w:p>
  </w:footnote>
  <w:footnote w:id="106">
    <w:p w14:paraId="73291BC5" w14:textId="77777777" w:rsidR="003B207D" w:rsidRPr="006A43BB" w:rsidRDefault="00C96635" w:rsidP="00CD0A00">
      <w:pPr>
        <w:pStyle w:val="FootnoteText"/>
        <w:rPr>
          <w:sz w:val="18"/>
          <w:szCs w:val="18"/>
          <w:lang w:val="it-IT"/>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lang w:val="it-IT"/>
        </w:rPr>
        <w:t xml:space="preserve"> Ibid. </w:t>
      </w:r>
    </w:p>
  </w:footnote>
  <w:footnote w:id="107">
    <w:p w14:paraId="73291BC6" w14:textId="77777777" w:rsidR="003B207D" w:rsidRPr="006A43BB" w:rsidRDefault="00C96635" w:rsidP="00CD0A00">
      <w:pPr>
        <w:pStyle w:val="FootnoteText"/>
        <w:rPr>
          <w:sz w:val="18"/>
          <w:szCs w:val="18"/>
          <w:lang w:val="it-IT"/>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lang w:val="it-IT"/>
        </w:rPr>
        <w:t xml:space="preserve"> </w:t>
      </w:r>
      <w:r w:rsidRPr="00175833">
        <w:rPr>
          <w:rStyle w:val="None"/>
          <w:rFonts w:eastAsia="Arial Unicode MS" w:cs="Arial Unicode MS"/>
          <w:sz w:val="18"/>
          <w:szCs w:val="18"/>
          <w:lang w:val="it-IT"/>
        </w:rPr>
        <w:t>Ibid.</w:t>
      </w:r>
    </w:p>
  </w:footnote>
  <w:footnote w:id="108">
    <w:p w14:paraId="73291BC7" w14:textId="6F696E69" w:rsidR="003B207D" w:rsidRPr="00175833" w:rsidRDefault="00C96635" w:rsidP="00CD0A00">
      <w:pPr>
        <w:pStyle w:val="FootnoteText"/>
        <w:rPr>
          <w:lang w:val="it-IT"/>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lang w:val="it-IT"/>
        </w:rPr>
        <w:t xml:space="preserve"> Deva (n </w:t>
      </w:r>
      <w:r w:rsidR="007F0818" w:rsidRPr="006A43BB">
        <w:rPr>
          <w:rStyle w:val="NoneA"/>
          <w:rFonts w:eastAsia="Arial Unicode MS" w:cs="Arial Unicode MS"/>
          <w:sz w:val="18"/>
          <w:szCs w:val="18"/>
          <w:lang w:val="it-IT"/>
        </w:rPr>
        <w:t>4</w:t>
      </w:r>
      <w:r w:rsidRPr="006A43BB">
        <w:rPr>
          <w:rStyle w:val="NoneA"/>
          <w:rFonts w:eastAsia="Arial Unicode MS" w:cs="Arial Unicode MS"/>
          <w:sz w:val="18"/>
          <w:szCs w:val="18"/>
          <w:lang w:val="it-IT"/>
        </w:rPr>
        <w:t>) 85.</w:t>
      </w:r>
      <w:r w:rsidRPr="00175833">
        <w:rPr>
          <w:rStyle w:val="NoneA"/>
          <w:rFonts w:eastAsia="Arial Unicode MS" w:cs="Arial Unicode MS"/>
          <w:lang w:val="it-IT"/>
        </w:rPr>
        <w:t xml:space="preserve"> </w:t>
      </w:r>
    </w:p>
  </w:footnote>
  <w:footnote w:id="109">
    <w:p w14:paraId="73291BC8" w14:textId="3ABD9414" w:rsidR="003B207D" w:rsidRPr="006A43BB" w:rsidRDefault="00C96635" w:rsidP="00CD0A00">
      <w:pPr>
        <w:pStyle w:val="FootnoteText"/>
        <w:rPr>
          <w:sz w:val="18"/>
          <w:szCs w:val="18"/>
          <w:lang w:val="it-IT"/>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lang w:val="it-IT"/>
        </w:rPr>
        <w:t xml:space="preserve"> </w:t>
      </w:r>
      <w:r w:rsidR="00C6089F" w:rsidRPr="00175833">
        <w:rPr>
          <w:rStyle w:val="NoneA"/>
          <w:rFonts w:eastAsia="Arial Unicode MS" w:cs="Arial Unicode MS"/>
          <w:sz w:val="18"/>
          <w:szCs w:val="18"/>
          <w:lang w:val="it-IT"/>
        </w:rPr>
        <w:t>Deva (n 4) 88.</w:t>
      </w:r>
    </w:p>
  </w:footnote>
  <w:footnote w:id="110">
    <w:p w14:paraId="73291BC9" w14:textId="15E68654"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ILO Declaration (n </w:t>
      </w:r>
      <w:r w:rsidR="002722B5" w:rsidRPr="006A43BB">
        <w:rPr>
          <w:rStyle w:val="NoneA"/>
          <w:rFonts w:eastAsia="Arial Unicode MS" w:cs="Arial Unicode MS"/>
          <w:sz w:val="18"/>
          <w:szCs w:val="18"/>
        </w:rPr>
        <w:t>55</w:t>
      </w:r>
      <w:r w:rsidRPr="006A43BB">
        <w:rPr>
          <w:rStyle w:val="NoneA"/>
          <w:rFonts w:eastAsia="Arial Unicode MS" w:cs="Arial Unicode MS"/>
          <w:sz w:val="18"/>
          <w:szCs w:val="18"/>
        </w:rPr>
        <w:t>)</w:t>
      </w:r>
    </w:p>
  </w:footnote>
  <w:footnote w:id="111">
    <w:p w14:paraId="73291BCA"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Ibid.</w:t>
      </w:r>
    </w:p>
  </w:footnote>
  <w:footnote w:id="112">
    <w:p w14:paraId="73291BCB" w14:textId="47BC0DCC"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Deva (n </w:t>
      </w:r>
      <w:r w:rsidR="002722B5" w:rsidRPr="006A43BB">
        <w:rPr>
          <w:rStyle w:val="NoneA"/>
          <w:rFonts w:eastAsia="Arial Unicode MS" w:cs="Arial Unicode MS"/>
          <w:sz w:val="18"/>
          <w:szCs w:val="18"/>
        </w:rPr>
        <w:t>4</w:t>
      </w:r>
      <w:r w:rsidRPr="006A43BB">
        <w:rPr>
          <w:rStyle w:val="NoneA"/>
          <w:rFonts w:eastAsia="Arial Unicode MS" w:cs="Arial Unicode MS"/>
          <w:sz w:val="18"/>
          <w:szCs w:val="18"/>
        </w:rPr>
        <w:t>) 92.</w:t>
      </w:r>
    </w:p>
  </w:footnote>
  <w:footnote w:id="113">
    <w:p w14:paraId="73291BCC" w14:textId="146A1750"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The Global Compact (n </w:t>
      </w:r>
      <w:r w:rsidR="003E009D">
        <w:rPr>
          <w:rStyle w:val="NoneA"/>
          <w:rFonts w:eastAsia="Arial Unicode MS" w:cs="Arial Unicode MS"/>
          <w:sz w:val="18"/>
          <w:szCs w:val="18"/>
        </w:rPr>
        <w:t>71</w:t>
      </w:r>
      <w:r w:rsidRPr="006A43BB">
        <w:rPr>
          <w:rStyle w:val="NoneA"/>
          <w:rFonts w:eastAsia="Arial Unicode MS" w:cs="Arial Unicode MS"/>
          <w:sz w:val="18"/>
          <w:szCs w:val="18"/>
        </w:rPr>
        <w:t xml:space="preserve">) </w:t>
      </w:r>
    </w:p>
  </w:footnote>
  <w:footnote w:id="114">
    <w:p w14:paraId="73291BCD" w14:textId="450D277D"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bookmarkStart w:id="13" w:name="_Hlk73276515"/>
      <w:r w:rsidRPr="006A43BB">
        <w:rPr>
          <w:rStyle w:val="NoneA"/>
          <w:rFonts w:eastAsia="Arial Unicode MS" w:cs="Arial Unicode MS"/>
          <w:sz w:val="18"/>
          <w:szCs w:val="18"/>
        </w:rPr>
        <w:t xml:space="preserve">Deva (n </w:t>
      </w:r>
      <w:r w:rsidR="003E009D">
        <w:rPr>
          <w:rStyle w:val="NoneA"/>
          <w:rFonts w:eastAsia="Arial Unicode MS" w:cs="Arial Unicode MS"/>
          <w:sz w:val="18"/>
          <w:szCs w:val="18"/>
        </w:rPr>
        <w:t>4</w:t>
      </w:r>
      <w:r w:rsidRPr="006A43BB">
        <w:rPr>
          <w:rStyle w:val="NoneA"/>
          <w:rFonts w:eastAsia="Arial Unicode MS" w:cs="Arial Unicode MS"/>
          <w:sz w:val="18"/>
          <w:szCs w:val="18"/>
        </w:rPr>
        <w:t>) 95.</w:t>
      </w:r>
      <w:bookmarkEnd w:id="13"/>
    </w:p>
  </w:footnote>
  <w:footnote w:id="115">
    <w:p w14:paraId="73291BCE" w14:textId="4768AA0B" w:rsidR="003B207D" w:rsidRDefault="00C96635" w:rsidP="00CD0A00">
      <w:pPr>
        <w:pStyle w:val="FootnoteText"/>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r w:rsidR="003E009D">
        <w:rPr>
          <w:rStyle w:val="NoneA"/>
          <w:rFonts w:eastAsia="Arial Unicode MS" w:cs="Arial Unicode MS"/>
          <w:sz w:val="18"/>
          <w:szCs w:val="18"/>
        </w:rPr>
        <w:t xml:space="preserve"> </w:t>
      </w:r>
      <w:r w:rsidR="00C6089F" w:rsidRPr="00C6089F">
        <w:rPr>
          <w:rStyle w:val="NoneA"/>
          <w:rFonts w:eastAsia="Arial Unicode MS" w:cs="Arial Unicode MS"/>
          <w:sz w:val="18"/>
          <w:szCs w:val="18"/>
        </w:rPr>
        <w:t xml:space="preserve">Deva (n 4) </w:t>
      </w:r>
      <w:r w:rsidR="00C6089F">
        <w:rPr>
          <w:rStyle w:val="NoneA"/>
          <w:rFonts w:eastAsia="Arial Unicode MS" w:cs="Arial Unicode MS"/>
          <w:sz w:val="18"/>
          <w:szCs w:val="18"/>
        </w:rPr>
        <w:t>88.</w:t>
      </w:r>
    </w:p>
  </w:footnote>
  <w:footnote w:id="116">
    <w:p w14:paraId="73291BCF"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UN CHR ‘Norms on the Responsibilities of Transnational Corporations and Other Business Enterprises with Regard to Human Rights’ 2003, E/CN.4/Sub.2/2003/12/Rev.2</w:t>
      </w:r>
    </w:p>
  </w:footnote>
  <w:footnote w:id="117">
    <w:p w14:paraId="73291BD0" w14:textId="155048CE" w:rsidR="003B207D" w:rsidRPr="006A43BB" w:rsidRDefault="00C96635" w:rsidP="00CD0A00">
      <w:pPr>
        <w:pStyle w:val="FootnoteText"/>
        <w:rPr>
          <w:sz w:val="18"/>
          <w:szCs w:val="18"/>
          <w:lang w:val="it-IT"/>
        </w:rPr>
      </w:pPr>
      <w:r w:rsidRPr="006A43BB">
        <w:rPr>
          <w:rStyle w:val="None"/>
          <w:sz w:val="18"/>
          <w:szCs w:val="18"/>
          <w:shd w:val="clear" w:color="auto" w:fill="FFFFFF"/>
          <w:vertAlign w:val="superscript"/>
          <w:lang w:val="it-IT"/>
          <w14:textOutline w14:w="12700" w14:cap="flat" w14:cmpd="sng" w14:algn="ctr">
            <w14:noFill/>
            <w14:prstDash w14:val="solid"/>
            <w14:miter w14:lim="400000"/>
          </w14:textOutline>
        </w:rPr>
        <w:footnoteRef/>
      </w:r>
      <w:r w:rsidRPr="006A43BB">
        <w:rPr>
          <w:rStyle w:val="None"/>
          <w:sz w:val="18"/>
          <w:szCs w:val="18"/>
          <w:lang w:val="it-IT"/>
        </w:rPr>
        <w:t xml:space="preserve"> </w:t>
      </w:r>
      <w:bookmarkStart w:id="14" w:name="_Hlk73276533"/>
      <w:r w:rsidRPr="006A43BB">
        <w:rPr>
          <w:rStyle w:val="None"/>
          <w:sz w:val="18"/>
          <w:szCs w:val="18"/>
          <w:lang w:val="it-IT"/>
        </w:rPr>
        <w:t xml:space="preserve">Deva (n </w:t>
      </w:r>
      <w:r w:rsidR="00D2661C" w:rsidRPr="006A43BB">
        <w:rPr>
          <w:rStyle w:val="None"/>
          <w:sz w:val="18"/>
          <w:szCs w:val="18"/>
          <w:lang w:val="it-IT"/>
        </w:rPr>
        <w:t>4</w:t>
      </w:r>
      <w:r w:rsidRPr="006A43BB">
        <w:rPr>
          <w:rStyle w:val="None"/>
          <w:sz w:val="18"/>
          <w:szCs w:val="18"/>
          <w:lang w:val="it-IT"/>
        </w:rPr>
        <w:t>) 112</w:t>
      </w:r>
      <w:bookmarkEnd w:id="14"/>
    </w:p>
  </w:footnote>
  <w:footnote w:id="118">
    <w:p w14:paraId="73291BD1" w14:textId="6B9C5E6B" w:rsidR="003B207D" w:rsidRPr="006A43BB" w:rsidRDefault="00C96635" w:rsidP="00CD0A00">
      <w:pPr>
        <w:pStyle w:val="FootnoteText"/>
        <w:rPr>
          <w:sz w:val="18"/>
          <w:szCs w:val="18"/>
          <w:lang w:val="it-IT"/>
        </w:rPr>
      </w:pPr>
      <w:r w:rsidRPr="006A43BB">
        <w:rPr>
          <w:rStyle w:val="None"/>
          <w:sz w:val="18"/>
          <w:szCs w:val="18"/>
          <w:shd w:val="clear" w:color="auto" w:fill="FFFFFF"/>
          <w:vertAlign w:val="superscript"/>
          <w:lang w:val="it-IT"/>
          <w14:textOutline w14:w="12700" w14:cap="flat" w14:cmpd="sng" w14:algn="ctr">
            <w14:noFill/>
            <w14:prstDash w14:val="solid"/>
            <w14:miter w14:lim="400000"/>
          </w14:textOutline>
        </w:rPr>
        <w:footnoteRef/>
      </w:r>
      <w:r w:rsidRPr="006A43BB">
        <w:rPr>
          <w:rStyle w:val="None"/>
          <w:sz w:val="18"/>
          <w:szCs w:val="18"/>
          <w:lang w:val="it-IT"/>
        </w:rPr>
        <w:t xml:space="preserve"> </w:t>
      </w:r>
      <w:proofErr w:type="spellStart"/>
      <w:r w:rsidR="00D2661C" w:rsidRPr="006A43BB">
        <w:rPr>
          <w:rStyle w:val="None"/>
          <w:sz w:val="18"/>
          <w:szCs w:val="18"/>
          <w:lang w:val="it-IT"/>
        </w:rPr>
        <w:t>Ibid</w:t>
      </w:r>
      <w:proofErr w:type="spellEnd"/>
      <w:r w:rsidRPr="006A43BB">
        <w:rPr>
          <w:rStyle w:val="None"/>
          <w:sz w:val="18"/>
          <w:szCs w:val="18"/>
          <w:lang w:val="it-IT"/>
        </w:rPr>
        <w:t xml:space="preserve"> 118</w:t>
      </w:r>
      <w:r w:rsidR="00D2661C" w:rsidRPr="006A43BB">
        <w:rPr>
          <w:rStyle w:val="None"/>
          <w:sz w:val="18"/>
          <w:szCs w:val="18"/>
          <w:lang w:val="it-IT"/>
        </w:rPr>
        <w:t>.</w:t>
      </w:r>
    </w:p>
  </w:footnote>
  <w:footnote w:id="119">
    <w:p w14:paraId="73291BD2" w14:textId="77777777" w:rsidR="003B207D" w:rsidRPr="006A43BB" w:rsidRDefault="00C96635" w:rsidP="00CD0A00">
      <w:pPr>
        <w:pStyle w:val="FootnoteText"/>
        <w:rPr>
          <w:sz w:val="18"/>
          <w:szCs w:val="18"/>
          <w:lang w:val="it-IT"/>
        </w:rPr>
      </w:pPr>
      <w:r w:rsidRPr="006A43BB">
        <w:rPr>
          <w:rStyle w:val="None"/>
          <w:sz w:val="18"/>
          <w:szCs w:val="18"/>
          <w:shd w:val="clear" w:color="auto" w:fill="FFFFFF"/>
          <w:vertAlign w:val="superscript"/>
          <w:lang w:val="it-IT"/>
          <w14:textOutline w14:w="12700" w14:cap="flat" w14:cmpd="sng" w14:algn="ctr">
            <w14:noFill/>
            <w14:prstDash w14:val="solid"/>
            <w14:miter w14:lim="400000"/>
          </w14:textOutline>
        </w:rPr>
        <w:footnoteRef/>
      </w:r>
      <w:r w:rsidRPr="006A43BB">
        <w:rPr>
          <w:rStyle w:val="None"/>
          <w:sz w:val="18"/>
          <w:szCs w:val="18"/>
          <w:lang w:val="it-IT"/>
        </w:rPr>
        <w:t xml:space="preserve"> Ibid. </w:t>
      </w:r>
    </w:p>
  </w:footnote>
  <w:footnote w:id="120">
    <w:p w14:paraId="73291BD3" w14:textId="538B4FC1" w:rsidR="003B207D" w:rsidRPr="00175833" w:rsidRDefault="00C96635" w:rsidP="00CD0A00">
      <w:pPr>
        <w:pStyle w:val="FootnoteText"/>
        <w:rPr>
          <w:lang w:val="it-IT"/>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lang w:val="it-IT"/>
        </w:rPr>
        <w:t xml:space="preserve"> </w:t>
      </w:r>
      <w:r w:rsidR="00C6089F" w:rsidRPr="00175833">
        <w:rPr>
          <w:rStyle w:val="NoneA"/>
          <w:rFonts w:eastAsia="Arial Unicode MS" w:cs="Arial Unicode MS"/>
          <w:sz w:val="18"/>
          <w:szCs w:val="18"/>
          <w:lang w:val="it-IT"/>
        </w:rPr>
        <w:t>Deva (n 4) 112.</w:t>
      </w:r>
    </w:p>
  </w:footnote>
  <w:footnote w:id="121">
    <w:p w14:paraId="73291BD4"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Cristina Baez and Michele Dearing and Margaret </w:t>
      </w:r>
      <w:proofErr w:type="spellStart"/>
      <w:r w:rsidRPr="006A43BB">
        <w:rPr>
          <w:rStyle w:val="NoneA"/>
          <w:rFonts w:eastAsia="Arial Unicode MS" w:cs="Arial Unicode MS"/>
          <w:sz w:val="18"/>
          <w:szCs w:val="18"/>
        </w:rPr>
        <w:t>Delatour</w:t>
      </w:r>
      <w:proofErr w:type="spellEnd"/>
      <w:r w:rsidRPr="006A43BB">
        <w:rPr>
          <w:rStyle w:val="NoneA"/>
          <w:rFonts w:eastAsia="Arial Unicode MS" w:cs="Arial Unicode MS"/>
          <w:sz w:val="18"/>
          <w:szCs w:val="18"/>
        </w:rPr>
        <w:t xml:space="preserve"> and Christine Dixon, 'Multinational Enterprises and Human Rights' (1999-2000) 8 U Miami Int'l &amp; Comp L Rev 183</w:t>
      </w:r>
    </w:p>
  </w:footnote>
  <w:footnote w:id="122">
    <w:p w14:paraId="73291BD5"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Ilias</w:t>
      </w:r>
      <w:proofErr w:type="spellEnd"/>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Bantekas</w:t>
      </w:r>
      <w:proofErr w:type="spellEnd"/>
      <w:r w:rsidRPr="006A43BB">
        <w:rPr>
          <w:rStyle w:val="NoneA"/>
          <w:rFonts w:eastAsia="Arial Unicode MS" w:cs="Arial Unicode MS"/>
          <w:sz w:val="18"/>
          <w:szCs w:val="18"/>
        </w:rPr>
        <w:t>, 'Corporate Social Responsibility in International Law' (2004) 22 BU Int'l LJ 309</w:t>
      </w:r>
    </w:p>
  </w:footnote>
  <w:footnote w:id="123">
    <w:p w14:paraId="73291BD6"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Nicola Jager, ‘The Legal Status of the Multinational Corporation Under International Law’  Obligations’ in Michael Addo (eds), Human Rights Standards And The Responsibility Of Transnational Corporations (1st </w:t>
      </w:r>
      <w:proofErr w:type="spellStart"/>
      <w:r w:rsidRPr="006A43BB">
        <w:rPr>
          <w:rStyle w:val="NoneA"/>
          <w:rFonts w:eastAsia="Arial Unicode MS" w:cs="Arial Unicode MS"/>
          <w:sz w:val="18"/>
          <w:szCs w:val="18"/>
        </w:rPr>
        <w:t>edn</w:t>
      </w:r>
      <w:proofErr w:type="spellEnd"/>
      <w:r w:rsidRPr="006A43BB">
        <w:rPr>
          <w:rStyle w:val="NoneA"/>
          <w:rFonts w:eastAsia="Arial Unicode MS" w:cs="Arial Unicode MS"/>
          <w:sz w:val="18"/>
          <w:szCs w:val="18"/>
        </w:rPr>
        <w:t>, Kluwer Law International 1999) 264.</w:t>
      </w:r>
    </w:p>
  </w:footnote>
  <w:footnote w:id="124">
    <w:p w14:paraId="73291BD7"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Eric Engle, 'Third Party Effect Of Fundamental Rights (</w:t>
      </w:r>
      <w:proofErr w:type="spellStart"/>
      <w:r w:rsidRPr="006A43BB">
        <w:rPr>
          <w:rStyle w:val="NoneA"/>
          <w:rFonts w:eastAsia="Arial Unicode MS" w:cs="Arial Unicode MS"/>
          <w:sz w:val="18"/>
          <w:szCs w:val="18"/>
        </w:rPr>
        <w:t>Drittwirkung</w:t>
      </w:r>
      <w:proofErr w:type="spellEnd"/>
      <w:r w:rsidRPr="006A43BB">
        <w:rPr>
          <w:rStyle w:val="NoneA"/>
          <w:rFonts w:eastAsia="Arial Unicode MS" w:cs="Arial Unicode MS"/>
          <w:sz w:val="18"/>
          <w:szCs w:val="18"/>
        </w:rPr>
        <w:t>)' (2009) 5 Hanse Law Review.</w:t>
      </w:r>
    </w:p>
  </w:footnote>
  <w:footnote w:id="125">
    <w:p w14:paraId="73291BD8"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Ibid.</w:t>
      </w:r>
    </w:p>
  </w:footnote>
  <w:footnote w:id="126">
    <w:p w14:paraId="73291BD9"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Rosalyn Higgins, 'Problems And Process – International Law And How We Use It' (1995) 28 </w:t>
      </w:r>
      <w:proofErr w:type="spellStart"/>
      <w:r w:rsidRPr="006A43BB">
        <w:rPr>
          <w:rStyle w:val="NoneA"/>
          <w:rFonts w:eastAsia="Arial Unicode MS" w:cs="Arial Unicode MS"/>
          <w:sz w:val="18"/>
          <w:szCs w:val="18"/>
        </w:rPr>
        <w:t>Verfassung</w:t>
      </w:r>
      <w:proofErr w:type="spellEnd"/>
      <w:r w:rsidRPr="006A43BB">
        <w:rPr>
          <w:rStyle w:val="NoneA"/>
          <w:rFonts w:eastAsia="Arial Unicode MS" w:cs="Arial Unicode MS"/>
          <w:sz w:val="18"/>
          <w:szCs w:val="18"/>
        </w:rPr>
        <w:t xml:space="preserve"> in </w:t>
      </w:r>
      <w:proofErr w:type="spellStart"/>
      <w:r w:rsidRPr="006A43BB">
        <w:rPr>
          <w:rStyle w:val="NoneA"/>
          <w:rFonts w:eastAsia="Arial Unicode MS" w:cs="Arial Unicode MS"/>
          <w:sz w:val="18"/>
          <w:szCs w:val="18"/>
        </w:rPr>
        <w:t>Recht</w:t>
      </w:r>
      <w:proofErr w:type="spellEnd"/>
      <w:r w:rsidRPr="006A43BB">
        <w:rPr>
          <w:rStyle w:val="NoneA"/>
          <w:rFonts w:eastAsia="Arial Unicode MS" w:cs="Arial Unicode MS"/>
          <w:sz w:val="18"/>
          <w:szCs w:val="18"/>
        </w:rPr>
        <w:t xml:space="preserve"> und </w:t>
      </w:r>
      <w:proofErr w:type="spellStart"/>
      <w:r w:rsidRPr="006A43BB">
        <w:rPr>
          <w:rStyle w:val="NoneA"/>
          <w:rFonts w:eastAsia="Arial Unicode MS" w:cs="Arial Unicode MS"/>
          <w:sz w:val="18"/>
          <w:szCs w:val="18"/>
        </w:rPr>
        <w:t>Übersee</w:t>
      </w:r>
      <w:proofErr w:type="spellEnd"/>
      <w:r w:rsidRPr="006A43BB">
        <w:rPr>
          <w:rStyle w:val="NoneA"/>
          <w:rFonts w:eastAsia="Arial Unicode MS" w:cs="Arial Unicode MS"/>
          <w:sz w:val="18"/>
          <w:szCs w:val="18"/>
        </w:rPr>
        <w:t xml:space="preserve"> 54-55.</w:t>
      </w:r>
    </w:p>
  </w:footnote>
  <w:footnote w:id="127">
    <w:p w14:paraId="73291BDA"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Michael Addo, Human Rights Standards And The Responsibility Of Transnational Corporations (1st </w:t>
      </w:r>
      <w:proofErr w:type="spellStart"/>
      <w:r w:rsidRPr="006A43BB">
        <w:rPr>
          <w:rStyle w:val="NoneA"/>
          <w:rFonts w:eastAsia="Arial Unicode MS" w:cs="Arial Unicode MS"/>
          <w:sz w:val="18"/>
          <w:szCs w:val="18"/>
        </w:rPr>
        <w:t>edn</w:t>
      </w:r>
      <w:proofErr w:type="spellEnd"/>
      <w:r w:rsidRPr="006A43BB">
        <w:rPr>
          <w:rStyle w:val="NoneA"/>
          <w:rFonts w:eastAsia="Arial Unicode MS" w:cs="Arial Unicode MS"/>
          <w:sz w:val="18"/>
          <w:szCs w:val="18"/>
        </w:rPr>
        <w:t>, Kluwer Law International 1999) 23.</w:t>
      </w:r>
    </w:p>
  </w:footnote>
  <w:footnote w:id="128">
    <w:p w14:paraId="73291BDB"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Ibid.</w:t>
      </w:r>
    </w:p>
  </w:footnote>
  <w:footnote w:id="129">
    <w:p w14:paraId="73291BDC" w14:textId="77777777" w:rsidR="003B207D" w:rsidRDefault="00C96635" w:rsidP="00CD0A00">
      <w:pPr>
        <w:pStyle w:val="FootnoteText"/>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Jessica </w:t>
      </w:r>
      <w:proofErr w:type="spellStart"/>
      <w:r w:rsidRPr="006A43BB">
        <w:rPr>
          <w:rStyle w:val="NoneA"/>
          <w:rFonts w:eastAsia="Arial Unicode MS" w:cs="Arial Unicode MS"/>
          <w:sz w:val="18"/>
          <w:szCs w:val="18"/>
        </w:rPr>
        <w:t>Woodforre</w:t>
      </w:r>
      <w:proofErr w:type="spellEnd"/>
      <w:r w:rsidRPr="006A43BB">
        <w:rPr>
          <w:rStyle w:val="NoneA"/>
          <w:rFonts w:eastAsia="Arial Unicode MS" w:cs="Arial Unicode MS"/>
          <w:sz w:val="18"/>
          <w:szCs w:val="18"/>
        </w:rPr>
        <w:t xml:space="preserve">, ‘Regulating Multinational Corporations in a World of Nation States’ in Michael Addo (eds), Human Rights Standards And The Responsibility Of Transnational Corporations (1st </w:t>
      </w:r>
      <w:proofErr w:type="spellStart"/>
      <w:r w:rsidRPr="006A43BB">
        <w:rPr>
          <w:rStyle w:val="NoneA"/>
          <w:rFonts w:eastAsia="Arial Unicode MS" w:cs="Arial Unicode MS"/>
          <w:sz w:val="18"/>
          <w:szCs w:val="18"/>
        </w:rPr>
        <w:t>edn</w:t>
      </w:r>
      <w:proofErr w:type="spellEnd"/>
      <w:r w:rsidRPr="006A43BB">
        <w:rPr>
          <w:rStyle w:val="NoneA"/>
          <w:rFonts w:eastAsia="Arial Unicode MS" w:cs="Arial Unicode MS"/>
          <w:sz w:val="18"/>
          <w:szCs w:val="18"/>
        </w:rPr>
        <w:t>, Kluwer Law International 1999) 251.</w:t>
      </w:r>
    </w:p>
  </w:footnote>
  <w:footnote w:id="130">
    <w:p w14:paraId="73291BDD"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sz w:val="18"/>
          <w:szCs w:val="18"/>
        </w:rPr>
        <w:t xml:space="preserve"> </w:t>
      </w:r>
      <w:proofErr w:type="spellStart"/>
      <w:r w:rsidRPr="006A43BB">
        <w:rPr>
          <w:rStyle w:val="NoneA"/>
          <w:rFonts w:eastAsia="Arial Unicode MS"/>
          <w:sz w:val="18"/>
          <w:szCs w:val="18"/>
        </w:rPr>
        <w:t>Sirgun</w:t>
      </w:r>
      <w:proofErr w:type="spellEnd"/>
      <w:r w:rsidRPr="006A43BB">
        <w:rPr>
          <w:rStyle w:val="NoneA"/>
          <w:rFonts w:eastAsia="Arial Unicode MS"/>
          <w:sz w:val="18"/>
          <w:szCs w:val="18"/>
        </w:rPr>
        <w:t xml:space="preserve"> I. </w:t>
      </w:r>
      <w:proofErr w:type="spellStart"/>
      <w:r w:rsidRPr="006A43BB">
        <w:rPr>
          <w:rStyle w:val="NoneA"/>
          <w:rFonts w:eastAsia="Arial Unicode MS"/>
          <w:sz w:val="18"/>
          <w:szCs w:val="18"/>
        </w:rPr>
        <w:t>Skogly</w:t>
      </w:r>
      <w:proofErr w:type="spellEnd"/>
      <w:r w:rsidRPr="006A43BB">
        <w:rPr>
          <w:rStyle w:val="NoneA"/>
          <w:rFonts w:eastAsia="Arial Unicode MS"/>
          <w:sz w:val="18"/>
          <w:szCs w:val="18"/>
        </w:rPr>
        <w:t xml:space="preserve">, ‘Economic and Social Human Rights, Private Actors and International Obligations’ in Michael Addo (eds), Human Rights Standards And The Responsibility Of Transnational Corporations (1st </w:t>
      </w:r>
      <w:proofErr w:type="spellStart"/>
      <w:r w:rsidRPr="006A43BB">
        <w:rPr>
          <w:rStyle w:val="NoneA"/>
          <w:rFonts w:eastAsia="Arial Unicode MS"/>
          <w:sz w:val="18"/>
          <w:szCs w:val="18"/>
        </w:rPr>
        <w:t>edn</w:t>
      </w:r>
      <w:proofErr w:type="spellEnd"/>
      <w:r w:rsidRPr="006A43BB">
        <w:rPr>
          <w:rStyle w:val="NoneA"/>
          <w:rFonts w:eastAsia="Arial Unicode MS"/>
          <w:sz w:val="18"/>
          <w:szCs w:val="18"/>
        </w:rPr>
        <w:t>, Kluwer Law International 1999).</w:t>
      </w:r>
    </w:p>
  </w:footnote>
  <w:footnote w:id="131">
    <w:p w14:paraId="73291BDE"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sz w:val="18"/>
          <w:szCs w:val="18"/>
        </w:rPr>
        <w:t xml:space="preserve"> The Maastricht Guidelines on Violations of Economic, Social and Cultural Rights 1997</w:t>
      </w:r>
    </w:p>
  </w:footnote>
  <w:footnote w:id="132">
    <w:p w14:paraId="73291BDF" w14:textId="227F80F9"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sz w:val="18"/>
          <w:szCs w:val="18"/>
        </w:rPr>
        <w:t xml:space="preserve"> </w:t>
      </w:r>
      <w:proofErr w:type="spellStart"/>
      <w:r w:rsidRPr="006A43BB">
        <w:rPr>
          <w:rStyle w:val="NoneA"/>
          <w:rFonts w:eastAsia="Arial Unicode MS"/>
          <w:sz w:val="18"/>
          <w:szCs w:val="18"/>
        </w:rPr>
        <w:t>Skogly</w:t>
      </w:r>
      <w:proofErr w:type="spellEnd"/>
      <w:r w:rsidRPr="006A43BB">
        <w:rPr>
          <w:rStyle w:val="NoneA"/>
          <w:rFonts w:eastAsia="Arial Unicode MS"/>
          <w:sz w:val="18"/>
          <w:szCs w:val="18"/>
        </w:rPr>
        <w:t xml:space="preserve"> (n 1</w:t>
      </w:r>
      <w:r w:rsidR="00E37703">
        <w:rPr>
          <w:rStyle w:val="NoneA"/>
          <w:rFonts w:eastAsia="Arial Unicode MS"/>
          <w:sz w:val="18"/>
          <w:szCs w:val="18"/>
        </w:rPr>
        <w:t>33</w:t>
      </w:r>
      <w:r w:rsidRPr="006A43BB">
        <w:rPr>
          <w:rStyle w:val="NoneA"/>
          <w:rFonts w:eastAsia="Arial Unicode MS"/>
          <w:sz w:val="18"/>
          <w:szCs w:val="18"/>
        </w:rPr>
        <w:t>) 253.</w:t>
      </w:r>
    </w:p>
  </w:footnote>
  <w:footnote w:id="133">
    <w:p w14:paraId="73291BE0" w14:textId="10838C7A" w:rsidR="003B207D" w:rsidRDefault="00C96635" w:rsidP="00CD0A00">
      <w:pPr>
        <w:pStyle w:val="FootnoteText"/>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sz w:val="18"/>
          <w:szCs w:val="18"/>
        </w:rPr>
        <w:t xml:space="preserve"> Jager (1</w:t>
      </w:r>
      <w:r w:rsidR="00C7418A">
        <w:rPr>
          <w:rStyle w:val="NoneA"/>
          <w:rFonts w:eastAsia="Arial Unicode MS"/>
          <w:sz w:val="18"/>
          <w:szCs w:val="18"/>
        </w:rPr>
        <w:t>25</w:t>
      </w:r>
      <w:r w:rsidRPr="006A43BB">
        <w:rPr>
          <w:rStyle w:val="NoneA"/>
          <w:rFonts w:eastAsia="Arial Unicode MS"/>
          <w:sz w:val="18"/>
          <w:szCs w:val="18"/>
        </w:rPr>
        <w:t>).</w:t>
      </w:r>
      <w:r>
        <w:rPr>
          <w:rStyle w:val="NoneA"/>
          <w:rFonts w:eastAsia="Arial Unicode MS" w:cs="Arial Unicode MS"/>
        </w:rPr>
        <w:t xml:space="preserve"> </w:t>
      </w:r>
    </w:p>
  </w:footnote>
  <w:footnote w:id="134">
    <w:p w14:paraId="73291BE1" w14:textId="77777777"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C10B8B">
        <w:rPr>
          <w:rStyle w:val="None"/>
          <w:rFonts w:eastAsia="Arial Unicode MS" w:cs="Arial Unicode MS"/>
          <w:sz w:val="18"/>
          <w:szCs w:val="18"/>
        </w:rPr>
        <w:t xml:space="preserve"> John Parkinson, ‘The Socially Responsible Company’ in Michael Addo (eds), Human Rights Standards And The Responsibility Of Transnational Corporations (1st </w:t>
      </w:r>
      <w:proofErr w:type="spellStart"/>
      <w:r w:rsidRPr="00C10B8B">
        <w:rPr>
          <w:rStyle w:val="None"/>
          <w:rFonts w:eastAsia="Arial Unicode MS" w:cs="Arial Unicode MS"/>
          <w:sz w:val="18"/>
          <w:szCs w:val="18"/>
        </w:rPr>
        <w:t>edn</w:t>
      </w:r>
      <w:proofErr w:type="spellEnd"/>
      <w:r w:rsidRPr="00C10B8B">
        <w:rPr>
          <w:rStyle w:val="None"/>
          <w:rFonts w:eastAsia="Arial Unicode MS" w:cs="Arial Unicode MS"/>
          <w:sz w:val="18"/>
          <w:szCs w:val="18"/>
        </w:rPr>
        <w:t>, Kluwer Law International 1999) 4 -5.</w:t>
      </w:r>
    </w:p>
  </w:footnote>
  <w:footnote w:id="135">
    <w:p w14:paraId="73291BE2" w14:textId="77777777" w:rsidR="003B207D" w:rsidRPr="006A43BB" w:rsidRDefault="00C96635" w:rsidP="00CD0A00">
      <w:pPr>
        <w:pStyle w:val="FootnoteText"/>
        <w:jc w:val="both"/>
        <w:rPr>
          <w:rStyle w:val="None"/>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C10B8B">
        <w:rPr>
          <w:rStyle w:val="None"/>
          <w:rFonts w:eastAsia="Arial Unicode MS" w:cs="Arial Unicode MS"/>
          <w:sz w:val="18"/>
          <w:szCs w:val="18"/>
        </w:rPr>
        <w:t xml:space="preserve"> David Kinley and Justine Nolan, 'Trading and Aiding Human Rights: Corporations in the</w:t>
      </w:r>
    </w:p>
    <w:p w14:paraId="73291BE3" w14:textId="77777777" w:rsidR="003B207D" w:rsidRPr="006A43BB" w:rsidRDefault="00C96635" w:rsidP="00CD0A00">
      <w:pPr>
        <w:pStyle w:val="FootnoteText"/>
        <w:jc w:val="both"/>
        <w:rPr>
          <w:sz w:val="18"/>
          <w:szCs w:val="18"/>
        </w:rPr>
      </w:pPr>
      <w:r w:rsidRPr="00C10B8B">
        <w:rPr>
          <w:rStyle w:val="None"/>
          <w:rFonts w:eastAsia="Arial Unicode MS" w:cs="Arial Unicode MS"/>
          <w:sz w:val="18"/>
          <w:szCs w:val="18"/>
        </w:rPr>
        <w:t xml:space="preserve">Global Economy' (2007) 25 Nordisk </w:t>
      </w:r>
      <w:proofErr w:type="spellStart"/>
      <w:r w:rsidRPr="00C10B8B">
        <w:rPr>
          <w:rStyle w:val="None"/>
          <w:rFonts w:eastAsia="Arial Unicode MS" w:cs="Arial Unicode MS"/>
          <w:sz w:val="18"/>
          <w:szCs w:val="18"/>
        </w:rPr>
        <w:t>Tidsskrift</w:t>
      </w:r>
      <w:proofErr w:type="spellEnd"/>
      <w:r w:rsidRPr="00C10B8B">
        <w:rPr>
          <w:rStyle w:val="None"/>
          <w:rFonts w:eastAsia="Arial Unicode MS" w:cs="Arial Unicode MS"/>
          <w:sz w:val="18"/>
          <w:szCs w:val="18"/>
        </w:rPr>
        <w:t xml:space="preserve"> for </w:t>
      </w:r>
      <w:proofErr w:type="spellStart"/>
      <w:r w:rsidRPr="00C10B8B">
        <w:rPr>
          <w:rStyle w:val="None"/>
          <w:rFonts w:eastAsia="Arial Unicode MS" w:cs="Arial Unicode MS"/>
          <w:sz w:val="18"/>
          <w:szCs w:val="18"/>
        </w:rPr>
        <w:t>Menneskerettigheter</w:t>
      </w:r>
      <w:proofErr w:type="spellEnd"/>
      <w:r w:rsidRPr="00C10B8B">
        <w:rPr>
          <w:rStyle w:val="None"/>
          <w:rFonts w:eastAsia="Arial Unicode MS" w:cs="Arial Unicode MS"/>
          <w:sz w:val="18"/>
          <w:szCs w:val="18"/>
        </w:rPr>
        <w:t xml:space="preserve"> 353</w:t>
      </w:r>
    </w:p>
  </w:footnote>
  <w:footnote w:id="136">
    <w:p w14:paraId="73291BE4" w14:textId="77777777"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Ibid 356.</w:t>
      </w:r>
    </w:p>
  </w:footnote>
  <w:footnote w:id="137">
    <w:p w14:paraId="73291BE5" w14:textId="77777777"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Ibid.</w:t>
      </w:r>
    </w:p>
  </w:footnote>
  <w:footnote w:id="138">
    <w:p w14:paraId="73291BE6" w14:textId="1B2ABE10"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C10B8B">
        <w:rPr>
          <w:rStyle w:val="None"/>
          <w:rFonts w:eastAsia="Arial Unicode MS" w:cs="Arial Unicode MS"/>
          <w:sz w:val="18"/>
          <w:szCs w:val="18"/>
        </w:rPr>
        <w:t xml:space="preserve"> Parkinson </w:t>
      </w:r>
      <w:r w:rsidR="00C10B8B" w:rsidRPr="00C10B8B">
        <w:rPr>
          <w:rStyle w:val="None"/>
          <w:rFonts w:eastAsia="Arial Unicode MS" w:cs="Arial Unicode MS"/>
          <w:sz w:val="18"/>
          <w:szCs w:val="18"/>
        </w:rPr>
        <w:t>(n 137).</w:t>
      </w:r>
    </w:p>
  </w:footnote>
  <w:footnote w:id="139">
    <w:p w14:paraId="73291BE7" w14:textId="73C7ED43" w:rsidR="003B207D" w:rsidRDefault="00C96635" w:rsidP="00CD0A00">
      <w:pPr>
        <w:pStyle w:val="FootnoteText"/>
        <w:jc w:val="both"/>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00C6089F">
        <w:rPr>
          <w:rStyle w:val="None"/>
          <w:rFonts w:eastAsia="Arial Unicode MS" w:cs="Arial Unicode MS"/>
          <w:sz w:val="18"/>
          <w:szCs w:val="18"/>
        </w:rPr>
        <w:t xml:space="preserve"> </w:t>
      </w:r>
      <w:r w:rsidR="007C6ABB">
        <w:rPr>
          <w:rStyle w:val="None"/>
          <w:rFonts w:eastAsia="Arial Unicode MS" w:cs="Arial Unicode MS"/>
          <w:sz w:val="18"/>
          <w:szCs w:val="18"/>
        </w:rPr>
        <w:t xml:space="preserve">Ibid </w:t>
      </w:r>
      <w:r w:rsidRPr="00C10B8B">
        <w:rPr>
          <w:rStyle w:val="None"/>
          <w:rFonts w:eastAsia="Arial Unicode MS" w:cs="Arial Unicode MS"/>
          <w:sz w:val="18"/>
          <w:szCs w:val="18"/>
        </w:rPr>
        <w:t>114-115.</w:t>
      </w:r>
    </w:p>
  </w:footnote>
  <w:footnote w:id="140">
    <w:p w14:paraId="73291BE8" w14:textId="56C815E2"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567790">
        <w:rPr>
          <w:rStyle w:val="None"/>
          <w:rFonts w:eastAsia="Arial Unicode MS" w:cs="Arial Unicode MS"/>
          <w:sz w:val="18"/>
          <w:szCs w:val="18"/>
        </w:rPr>
        <w:t xml:space="preserve"> Milton Friedman, Capitalism And Freedom (2nd </w:t>
      </w:r>
      <w:proofErr w:type="spellStart"/>
      <w:r w:rsidRPr="00567790">
        <w:rPr>
          <w:rStyle w:val="None"/>
          <w:rFonts w:eastAsia="Arial Unicode MS" w:cs="Arial Unicode MS"/>
          <w:sz w:val="18"/>
          <w:szCs w:val="18"/>
        </w:rPr>
        <w:t>edn</w:t>
      </w:r>
      <w:proofErr w:type="spellEnd"/>
      <w:r w:rsidRPr="00567790">
        <w:rPr>
          <w:rStyle w:val="None"/>
          <w:rFonts w:eastAsia="Arial Unicode MS" w:cs="Arial Unicode MS"/>
          <w:sz w:val="18"/>
          <w:szCs w:val="18"/>
        </w:rPr>
        <w:t>, University of Chicago Press 2002)</w:t>
      </w:r>
      <w:r w:rsidR="00567790" w:rsidRPr="00567790">
        <w:rPr>
          <w:rStyle w:val="None"/>
          <w:rFonts w:eastAsia="Arial Unicode MS" w:cs="Arial Unicode MS"/>
          <w:sz w:val="18"/>
          <w:szCs w:val="18"/>
        </w:rPr>
        <w:t xml:space="preserve"> 133.</w:t>
      </w:r>
    </w:p>
  </w:footnote>
  <w:footnote w:id="141">
    <w:p w14:paraId="73291BE9" w14:textId="54FC689A"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567790">
        <w:rPr>
          <w:rStyle w:val="None"/>
          <w:rFonts w:eastAsia="Arial Unicode MS" w:cs="Arial Unicode MS"/>
          <w:sz w:val="18"/>
          <w:szCs w:val="18"/>
        </w:rPr>
        <w:t xml:space="preserve"> Parkinson (n 1</w:t>
      </w:r>
      <w:r w:rsidR="00C10B8B" w:rsidRPr="00567790">
        <w:rPr>
          <w:rStyle w:val="None"/>
          <w:rFonts w:eastAsia="Arial Unicode MS" w:cs="Arial Unicode MS"/>
          <w:sz w:val="18"/>
          <w:szCs w:val="18"/>
        </w:rPr>
        <w:t>37</w:t>
      </w:r>
      <w:r w:rsidRPr="00567790">
        <w:rPr>
          <w:rStyle w:val="None"/>
          <w:rFonts w:eastAsia="Arial Unicode MS" w:cs="Arial Unicode MS"/>
          <w:sz w:val="18"/>
          <w:szCs w:val="18"/>
        </w:rPr>
        <w:t>) 49.</w:t>
      </w:r>
    </w:p>
  </w:footnote>
  <w:footnote w:id="142">
    <w:p w14:paraId="73291BEA" w14:textId="77777777"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567790">
        <w:rPr>
          <w:rStyle w:val="None"/>
          <w:rFonts w:eastAsia="Arial Unicode MS" w:cs="Arial Unicode MS"/>
          <w:sz w:val="18"/>
          <w:szCs w:val="18"/>
        </w:rPr>
        <w:t xml:space="preserve"> Ibid.</w:t>
      </w:r>
    </w:p>
  </w:footnote>
  <w:footnote w:id="143">
    <w:p w14:paraId="73291BEB" w14:textId="77777777"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567790">
        <w:rPr>
          <w:rStyle w:val="None"/>
          <w:rFonts w:eastAsia="Arial Unicode MS" w:cs="Arial Unicode MS"/>
          <w:sz w:val="18"/>
          <w:szCs w:val="18"/>
        </w:rPr>
        <w:t xml:space="preserve"> Ibid 51.</w:t>
      </w:r>
    </w:p>
  </w:footnote>
  <w:footnote w:id="144">
    <w:p w14:paraId="73291BEC" w14:textId="77777777"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567790">
        <w:rPr>
          <w:rStyle w:val="None"/>
          <w:rFonts w:eastAsia="Arial Unicode MS" w:cs="Arial Unicode MS"/>
          <w:sz w:val="18"/>
          <w:szCs w:val="18"/>
        </w:rPr>
        <w:t xml:space="preserve"> Ibid 56.</w:t>
      </w:r>
    </w:p>
  </w:footnote>
  <w:footnote w:id="145">
    <w:p w14:paraId="73291BED" w14:textId="77777777"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567790">
        <w:rPr>
          <w:rStyle w:val="None"/>
          <w:rFonts w:eastAsia="Arial Unicode MS" w:cs="Arial Unicode MS"/>
          <w:sz w:val="18"/>
          <w:szCs w:val="18"/>
        </w:rPr>
        <w:t xml:space="preserve"> Howard R Bowen, Social Responsibilities Of The Businessman (University of Iowa Press 2013) 52.</w:t>
      </w:r>
    </w:p>
  </w:footnote>
  <w:footnote w:id="146">
    <w:p w14:paraId="73291BEE" w14:textId="75EBC23E" w:rsidR="003B207D" w:rsidRDefault="00C96635" w:rsidP="00CD0A00">
      <w:pPr>
        <w:pStyle w:val="FootnoteText"/>
        <w:jc w:val="both"/>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Friedman</w:t>
      </w:r>
      <w:r w:rsidR="00567790" w:rsidRPr="006A43BB">
        <w:rPr>
          <w:rStyle w:val="NoneA"/>
          <w:rFonts w:eastAsia="Arial Unicode MS" w:cs="Arial Unicode MS"/>
          <w:sz w:val="18"/>
          <w:szCs w:val="18"/>
        </w:rPr>
        <w:t xml:space="preserve"> (n 143)</w:t>
      </w:r>
      <w:r w:rsidRPr="006A43BB">
        <w:rPr>
          <w:rStyle w:val="NoneA"/>
          <w:rFonts w:eastAsia="Arial Unicode MS" w:cs="Arial Unicode MS"/>
          <w:sz w:val="18"/>
          <w:szCs w:val="18"/>
        </w:rPr>
        <w:t>133.</w:t>
      </w:r>
      <w:r>
        <w:rPr>
          <w:rStyle w:val="NoneA"/>
          <w:rFonts w:eastAsia="Arial Unicode MS" w:cs="Arial Unicode MS"/>
        </w:rPr>
        <w:t xml:space="preserve"> </w:t>
      </w:r>
    </w:p>
  </w:footnote>
  <w:footnote w:id="147">
    <w:p w14:paraId="73291BEF" w14:textId="77777777"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EU Commission Green Paper “Promoting a European framework for Corporate Social Responsibility”, 2001</w:t>
      </w:r>
    </w:p>
  </w:footnote>
  <w:footnote w:id="148">
    <w:p w14:paraId="73291BF0" w14:textId="77777777"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Ibid.</w:t>
      </w:r>
    </w:p>
  </w:footnote>
  <w:footnote w:id="149">
    <w:p w14:paraId="73291BF1" w14:textId="7087BAD5"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Bernaz</w:t>
      </w:r>
      <w:proofErr w:type="spellEnd"/>
      <w:r w:rsidRPr="006A43BB">
        <w:rPr>
          <w:rStyle w:val="NoneA"/>
          <w:rFonts w:eastAsia="Arial Unicode MS" w:cs="Arial Unicode MS"/>
          <w:sz w:val="18"/>
          <w:szCs w:val="18"/>
        </w:rPr>
        <w:t xml:space="preserve"> (n 1</w:t>
      </w:r>
      <w:r w:rsidR="00CC3F75">
        <w:rPr>
          <w:rStyle w:val="NoneA"/>
          <w:rFonts w:eastAsia="Arial Unicode MS" w:cs="Arial Unicode MS"/>
          <w:sz w:val="18"/>
          <w:szCs w:val="18"/>
        </w:rPr>
        <w:t>8</w:t>
      </w:r>
      <w:r w:rsidRPr="006A43BB">
        <w:rPr>
          <w:rStyle w:val="NoneA"/>
          <w:rFonts w:eastAsia="Arial Unicode MS" w:cs="Arial Unicode MS"/>
          <w:sz w:val="18"/>
          <w:szCs w:val="18"/>
        </w:rPr>
        <w:t xml:space="preserve">) 8. </w:t>
      </w:r>
    </w:p>
  </w:footnote>
  <w:footnote w:id="150">
    <w:p w14:paraId="73291BF2" w14:textId="77777777"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Mark </w:t>
      </w:r>
      <w:proofErr w:type="spellStart"/>
      <w:r w:rsidRPr="006A43BB">
        <w:rPr>
          <w:rStyle w:val="NoneA"/>
          <w:rFonts w:eastAsia="Arial Unicode MS" w:cs="Arial Unicode MS"/>
          <w:sz w:val="18"/>
          <w:szCs w:val="18"/>
        </w:rPr>
        <w:t>Bovens</w:t>
      </w:r>
      <w:proofErr w:type="spellEnd"/>
      <w:r w:rsidRPr="006A43BB">
        <w:rPr>
          <w:rStyle w:val="NoneA"/>
          <w:rFonts w:eastAsia="Arial Unicode MS" w:cs="Arial Unicode MS"/>
          <w:sz w:val="18"/>
          <w:szCs w:val="18"/>
        </w:rPr>
        <w:t>, 'Two Concepts Of Accountability: Accountability As A Virtue And As A Mechanism' (2010) 33 West European Politics.</w:t>
      </w:r>
    </w:p>
  </w:footnote>
  <w:footnote w:id="151">
    <w:p w14:paraId="73291BF3" w14:textId="22177664" w:rsidR="003B207D" w:rsidRPr="006A43BB" w:rsidRDefault="00C96635" w:rsidP="00CD0A00">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Bernaz</w:t>
      </w:r>
      <w:proofErr w:type="spellEnd"/>
      <w:r w:rsidRPr="006A43BB">
        <w:rPr>
          <w:rStyle w:val="NoneA"/>
          <w:rFonts w:eastAsia="Arial Unicode MS" w:cs="Arial Unicode MS"/>
          <w:sz w:val="18"/>
          <w:szCs w:val="18"/>
        </w:rPr>
        <w:t xml:space="preserve"> (n 1</w:t>
      </w:r>
      <w:r w:rsidR="00CC3F75">
        <w:rPr>
          <w:rStyle w:val="NoneA"/>
          <w:rFonts w:eastAsia="Arial Unicode MS" w:cs="Arial Unicode MS"/>
          <w:sz w:val="18"/>
          <w:szCs w:val="18"/>
        </w:rPr>
        <w:t>8</w:t>
      </w:r>
      <w:r w:rsidRPr="006A43BB">
        <w:rPr>
          <w:rStyle w:val="NoneA"/>
          <w:rFonts w:eastAsia="Arial Unicode MS" w:cs="Arial Unicode MS"/>
          <w:sz w:val="18"/>
          <w:szCs w:val="18"/>
        </w:rPr>
        <w:t>) 9.</w:t>
      </w:r>
    </w:p>
  </w:footnote>
  <w:footnote w:id="152">
    <w:p w14:paraId="73291BF4" w14:textId="77777777" w:rsidR="003B207D" w:rsidRDefault="00C96635" w:rsidP="00CD0A00">
      <w:pPr>
        <w:pStyle w:val="FootnoteText"/>
        <w:jc w:val="both"/>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Ibid.</w:t>
      </w:r>
    </w:p>
  </w:footnote>
  <w:footnote w:id="153">
    <w:p w14:paraId="73291BF5" w14:textId="77777777" w:rsidR="003B207D" w:rsidRPr="006A43BB" w:rsidRDefault="00C96635" w:rsidP="00CD0A00">
      <w:pPr>
        <w:pStyle w:val="FootnoteText"/>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Rebecca </w:t>
      </w:r>
      <w:proofErr w:type="spellStart"/>
      <w:r w:rsidRPr="006A43BB">
        <w:rPr>
          <w:rStyle w:val="NoneA"/>
          <w:rFonts w:eastAsia="Arial Unicode MS" w:cs="Arial Unicode MS"/>
          <w:sz w:val="18"/>
          <w:szCs w:val="18"/>
        </w:rPr>
        <w:t>Bratspies</w:t>
      </w:r>
      <w:proofErr w:type="spellEnd"/>
      <w:r w:rsidRPr="006A43BB">
        <w:rPr>
          <w:rStyle w:val="NoneA"/>
          <w:rFonts w:eastAsia="Arial Unicode MS" w:cs="Arial Unicode MS"/>
          <w:sz w:val="18"/>
          <w:szCs w:val="18"/>
        </w:rPr>
        <w:t>, 'Organs Of Society': A Plea For Human Rights Accountability For Transnational Enterprises And Other Business Entities' [2005] CUNY School of Law, 15.</w:t>
      </w:r>
    </w:p>
  </w:footnote>
  <w:footnote w:id="154">
    <w:p w14:paraId="73291BF6" w14:textId="79259B4A" w:rsidR="003B207D" w:rsidRPr="006A43BB" w:rsidRDefault="00C96635" w:rsidP="000D57A8">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Deva (n </w:t>
      </w:r>
      <w:r w:rsidR="008C19DA" w:rsidRPr="006A43BB">
        <w:rPr>
          <w:rStyle w:val="NoneA"/>
          <w:rFonts w:eastAsia="Arial Unicode MS" w:cs="Arial Unicode MS"/>
          <w:sz w:val="18"/>
          <w:szCs w:val="18"/>
        </w:rPr>
        <w:t>4</w:t>
      </w:r>
      <w:r w:rsidRPr="006A43BB">
        <w:rPr>
          <w:rStyle w:val="NoneA"/>
          <w:rFonts w:eastAsia="Arial Unicode MS" w:cs="Arial Unicode MS"/>
          <w:sz w:val="18"/>
          <w:szCs w:val="18"/>
        </w:rPr>
        <w:t>) 147.</w:t>
      </w:r>
    </w:p>
  </w:footnote>
  <w:footnote w:id="155">
    <w:p w14:paraId="73291BF7" w14:textId="77777777" w:rsidR="003B207D" w:rsidRPr="006A43BB" w:rsidRDefault="00C96635" w:rsidP="000D57A8">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Donoghue v Stevenson [26 May 1932] A.C. 562</w:t>
      </w:r>
    </w:p>
  </w:footnote>
  <w:footnote w:id="156">
    <w:p w14:paraId="0D4716A8" w14:textId="1545C10C" w:rsidR="00D5401B" w:rsidRPr="006A43BB" w:rsidRDefault="00D5401B" w:rsidP="000D57A8">
      <w:pPr>
        <w:pStyle w:val="FootnoteText"/>
        <w:jc w:val="both"/>
        <w:rPr>
          <w:sz w:val="18"/>
          <w:szCs w:val="18"/>
        </w:rPr>
      </w:pPr>
      <w:r w:rsidRPr="006A43BB">
        <w:rPr>
          <w:rStyle w:val="FootnoteReference"/>
          <w:sz w:val="18"/>
          <w:szCs w:val="18"/>
        </w:rPr>
        <w:footnoteRef/>
      </w:r>
      <w:r w:rsidRPr="006A43BB">
        <w:rPr>
          <w:sz w:val="18"/>
          <w:szCs w:val="18"/>
        </w:rPr>
        <w:t xml:space="preserve"> Ibid.</w:t>
      </w:r>
    </w:p>
  </w:footnote>
  <w:footnote w:id="157">
    <w:p w14:paraId="73291BF9" w14:textId="66D0C6CE" w:rsidR="003B207D" w:rsidRPr="006A43BB" w:rsidRDefault="00C96635" w:rsidP="000D57A8">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The UN Global Compact</w:t>
      </w:r>
      <w:r w:rsidR="008C19DA" w:rsidRPr="006A43BB">
        <w:rPr>
          <w:rStyle w:val="NoneA"/>
          <w:rFonts w:eastAsia="Arial Unicode MS" w:cs="Arial Unicode MS"/>
          <w:sz w:val="18"/>
          <w:szCs w:val="18"/>
        </w:rPr>
        <w:t xml:space="preserve"> (n 71).</w:t>
      </w:r>
    </w:p>
  </w:footnote>
  <w:footnote w:id="158">
    <w:p w14:paraId="73291BFA" w14:textId="77777777" w:rsidR="003B207D" w:rsidRPr="006A43BB" w:rsidRDefault="00C96635" w:rsidP="000D57A8">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'Social Dialogue' (Ec.europa.eu, 2021) &lt;https://ec.europa.eu/social/main.jsp?catId=329&amp;langId=en&gt; accessed 11 May 2021.</w:t>
      </w:r>
    </w:p>
  </w:footnote>
  <w:footnote w:id="159">
    <w:p w14:paraId="73291BFB" w14:textId="32C3523B" w:rsidR="003B207D" w:rsidRPr="006A43BB" w:rsidRDefault="00C96635" w:rsidP="000D57A8">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r w:rsidR="0023685D" w:rsidRPr="0023685D">
        <w:rPr>
          <w:rStyle w:val="NoneA"/>
          <w:rFonts w:eastAsia="Arial Unicode MS" w:cs="Arial Unicode MS"/>
          <w:sz w:val="18"/>
          <w:szCs w:val="18"/>
        </w:rPr>
        <w:t>Universal Declaration of Human Rights</w:t>
      </w:r>
      <w:r w:rsidR="0023685D" w:rsidRPr="0023685D" w:rsidDel="0023685D">
        <w:rPr>
          <w:rStyle w:val="NoneA"/>
          <w:rFonts w:eastAsia="Arial Unicode MS" w:cs="Arial Unicode MS"/>
          <w:sz w:val="18"/>
          <w:szCs w:val="18"/>
        </w:rPr>
        <w:t xml:space="preserve"> </w:t>
      </w:r>
      <w:r w:rsidR="0023685D" w:rsidRPr="0023685D">
        <w:rPr>
          <w:rStyle w:val="NoneA"/>
          <w:rFonts w:eastAsia="Arial Unicode MS" w:cs="Arial Unicode MS"/>
          <w:sz w:val="18"/>
          <w:szCs w:val="18"/>
        </w:rPr>
        <w:t xml:space="preserve"> (n 31).</w:t>
      </w:r>
    </w:p>
  </w:footnote>
  <w:footnote w:id="160">
    <w:p w14:paraId="73291BFC" w14:textId="263ACFFE" w:rsidR="003B207D" w:rsidRPr="006A43BB" w:rsidRDefault="00C96635" w:rsidP="000D57A8">
      <w:pPr>
        <w:pStyle w:val="FootnoteText"/>
        <w:jc w:val="both"/>
        <w:rPr>
          <w:sz w:val="18"/>
          <w:szCs w:val="18"/>
          <w:lang w:val="it-IT"/>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lang w:val="it-IT"/>
        </w:rPr>
        <w:t xml:space="preserve"> </w:t>
      </w:r>
      <w:bookmarkStart w:id="15" w:name="_Hlk73266071"/>
      <w:r w:rsidRPr="006A43BB">
        <w:rPr>
          <w:rStyle w:val="NoneA"/>
          <w:rFonts w:eastAsia="Arial Unicode MS" w:cs="Arial Unicode MS"/>
          <w:sz w:val="18"/>
          <w:szCs w:val="18"/>
          <w:lang w:val="it-IT"/>
        </w:rPr>
        <w:t xml:space="preserve">ILO Tripartite </w:t>
      </w:r>
      <w:proofErr w:type="spellStart"/>
      <w:r w:rsidRPr="006A43BB">
        <w:rPr>
          <w:rStyle w:val="NoneA"/>
          <w:rFonts w:eastAsia="Arial Unicode MS" w:cs="Arial Unicode MS"/>
          <w:sz w:val="18"/>
          <w:szCs w:val="18"/>
          <w:lang w:val="it-IT"/>
        </w:rPr>
        <w:t>Declaration</w:t>
      </w:r>
      <w:proofErr w:type="spellEnd"/>
      <w:r w:rsidRPr="006A43BB">
        <w:rPr>
          <w:rStyle w:val="NoneA"/>
          <w:rFonts w:eastAsia="Arial Unicode MS" w:cs="Arial Unicode MS"/>
          <w:sz w:val="18"/>
          <w:szCs w:val="18"/>
          <w:lang w:val="it-IT"/>
        </w:rPr>
        <w:t xml:space="preserve"> </w:t>
      </w:r>
      <w:r w:rsidR="008C19DA" w:rsidRPr="006A43BB">
        <w:rPr>
          <w:rStyle w:val="NoneA"/>
          <w:rFonts w:eastAsia="Arial Unicode MS" w:cs="Arial Unicode MS"/>
          <w:sz w:val="18"/>
          <w:szCs w:val="18"/>
          <w:lang w:val="it-IT"/>
        </w:rPr>
        <w:t>(n 55).</w:t>
      </w:r>
      <w:bookmarkEnd w:id="15"/>
    </w:p>
  </w:footnote>
  <w:footnote w:id="161">
    <w:p w14:paraId="73291BFD" w14:textId="44E65A9E" w:rsidR="003B207D" w:rsidRPr="006A43BB" w:rsidRDefault="00C96635" w:rsidP="000D57A8">
      <w:pPr>
        <w:pStyle w:val="FootnoteText"/>
        <w:jc w:val="both"/>
        <w:rPr>
          <w:lang w:val="it-IT"/>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lang w:val="it-IT"/>
        </w:rPr>
        <w:t xml:space="preserve"> </w:t>
      </w:r>
      <w:r w:rsidR="006E3FE2">
        <w:rPr>
          <w:rStyle w:val="NoneA"/>
          <w:rFonts w:eastAsia="Arial Unicode MS" w:cs="Arial Unicode MS"/>
          <w:sz w:val="18"/>
          <w:szCs w:val="18"/>
          <w:lang w:val="it-IT"/>
        </w:rPr>
        <w:t xml:space="preserve">Ibid. </w:t>
      </w:r>
    </w:p>
  </w:footnote>
  <w:footnote w:id="162">
    <w:p w14:paraId="73291BFE" w14:textId="2D63FE72" w:rsidR="003B207D" w:rsidRPr="00A4783B" w:rsidRDefault="00C96635" w:rsidP="000D57A8">
      <w:pPr>
        <w:pStyle w:val="FootnoteText"/>
        <w:jc w:val="both"/>
        <w:rPr>
          <w:sz w:val="18"/>
          <w:szCs w:val="18"/>
          <w:lang w:val="it-IT"/>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A4783B">
        <w:rPr>
          <w:rStyle w:val="NoneA"/>
          <w:rFonts w:eastAsia="Arial Unicode MS" w:cs="Arial Unicode MS"/>
          <w:sz w:val="18"/>
          <w:szCs w:val="18"/>
          <w:lang w:val="it-IT"/>
        </w:rPr>
        <w:t xml:space="preserve"> </w:t>
      </w:r>
      <w:r w:rsidR="00A4783B" w:rsidRPr="006A43BB">
        <w:rPr>
          <w:rStyle w:val="NoneA"/>
          <w:rFonts w:eastAsia="Arial Unicode MS" w:cs="Arial Unicode MS"/>
          <w:sz w:val="18"/>
          <w:szCs w:val="18"/>
          <w:lang w:val="it-IT"/>
        </w:rPr>
        <w:t xml:space="preserve">ILO Tripartite </w:t>
      </w:r>
      <w:proofErr w:type="spellStart"/>
      <w:r w:rsidR="00A4783B" w:rsidRPr="006A43BB">
        <w:rPr>
          <w:rStyle w:val="NoneA"/>
          <w:rFonts w:eastAsia="Arial Unicode MS" w:cs="Arial Unicode MS"/>
          <w:sz w:val="18"/>
          <w:szCs w:val="18"/>
          <w:lang w:val="it-IT"/>
        </w:rPr>
        <w:t>Declaration</w:t>
      </w:r>
      <w:proofErr w:type="spellEnd"/>
      <w:r w:rsidR="00A4783B" w:rsidRPr="006A43BB">
        <w:rPr>
          <w:rStyle w:val="NoneA"/>
          <w:rFonts w:eastAsia="Arial Unicode MS" w:cs="Arial Unicode MS"/>
          <w:sz w:val="18"/>
          <w:szCs w:val="18"/>
          <w:lang w:val="it-IT"/>
        </w:rPr>
        <w:t xml:space="preserve"> (n 55).</w:t>
      </w:r>
    </w:p>
  </w:footnote>
  <w:footnote w:id="163">
    <w:p w14:paraId="73291BFF" w14:textId="445632D0" w:rsidR="003B207D" w:rsidRPr="004E6F19" w:rsidRDefault="00C96635" w:rsidP="000D57A8">
      <w:pPr>
        <w:pStyle w:val="FootnoteText"/>
        <w:jc w:val="both"/>
        <w:rPr>
          <w:sz w:val="18"/>
          <w:szCs w:val="18"/>
          <w:lang w:val="it-IT"/>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4E6F19">
        <w:rPr>
          <w:rStyle w:val="NoneA"/>
          <w:rFonts w:eastAsia="Arial Unicode MS" w:cs="Arial Unicode MS"/>
          <w:sz w:val="18"/>
          <w:szCs w:val="18"/>
          <w:lang w:val="it-IT"/>
        </w:rPr>
        <w:t xml:space="preserve"> Deva</w:t>
      </w:r>
      <w:r w:rsidR="00BD5C5B" w:rsidRPr="004E6F19">
        <w:rPr>
          <w:rStyle w:val="NoneA"/>
          <w:rFonts w:eastAsia="Arial Unicode MS" w:cs="Arial Unicode MS"/>
          <w:sz w:val="18"/>
          <w:szCs w:val="18"/>
          <w:lang w:val="it-IT"/>
        </w:rPr>
        <w:t xml:space="preserve"> (n 4)</w:t>
      </w:r>
      <w:r w:rsidRPr="004E6F19">
        <w:rPr>
          <w:rStyle w:val="NoneA"/>
          <w:rFonts w:eastAsia="Arial Unicode MS" w:cs="Arial Unicode MS"/>
          <w:sz w:val="18"/>
          <w:szCs w:val="18"/>
          <w:lang w:val="it-IT"/>
        </w:rPr>
        <w:t xml:space="preserve"> 92</w:t>
      </w:r>
    </w:p>
  </w:footnote>
  <w:footnote w:id="164">
    <w:p w14:paraId="73291C00" w14:textId="39E82297" w:rsidR="003B207D" w:rsidRPr="006A43BB" w:rsidRDefault="00C96635" w:rsidP="000D57A8">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Parkison</w:t>
      </w:r>
      <w:proofErr w:type="spellEnd"/>
      <w:r w:rsidRPr="006A43BB">
        <w:rPr>
          <w:rStyle w:val="NoneA"/>
          <w:rFonts w:eastAsia="Arial Unicode MS" w:cs="Arial Unicode MS"/>
          <w:sz w:val="18"/>
          <w:szCs w:val="18"/>
        </w:rPr>
        <w:t xml:space="preserve"> (n 1</w:t>
      </w:r>
      <w:r w:rsidR="00BD5C5B" w:rsidRPr="006A43BB">
        <w:rPr>
          <w:rStyle w:val="NoneA"/>
          <w:rFonts w:eastAsia="Arial Unicode MS" w:cs="Arial Unicode MS"/>
          <w:sz w:val="18"/>
          <w:szCs w:val="18"/>
        </w:rPr>
        <w:t>37</w:t>
      </w:r>
      <w:r w:rsidRPr="006A43BB">
        <w:rPr>
          <w:rStyle w:val="NoneA"/>
          <w:rFonts w:eastAsia="Arial Unicode MS" w:cs="Arial Unicode MS"/>
          <w:sz w:val="18"/>
          <w:szCs w:val="18"/>
        </w:rPr>
        <w:t>) 62.</w:t>
      </w:r>
    </w:p>
  </w:footnote>
  <w:footnote w:id="165">
    <w:p w14:paraId="73291C01" w14:textId="6FF11470" w:rsidR="003B207D" w:rsidRPr="006A43BB" w:rsidRDefault="00C96635" w:rsidP="000D57A8">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bookmarkStart w:id="16" w:name="_Hlk73266185"/>
      <w:proofErr w:type="spellStart"/>
      <w:r w:rsidRPr="006A43BB">
        <w:rPr>
          <w:rStyle w:val="NoneA"/>
          <w:rFonts w:eastAsia="Arial Unicode MS" w:cs="Arial Unicode MS"/>
          <w:sz w:val="18"/>
          <w:szCs w:val="18"/>
        </w:rPr>
        <w:t>Zerk</w:t>
      </w:r>
      <w:proofErr w:type="spellEnd"/>
      <w:r w:rsidRPr="006A43BB">
        <w:rPr>
          <w:rStyle w:val="NoneA"/>
          <w:rFonts w:eastAsia="Arial Unicode MS" w:cs="Arial Unicode MS"/>
          <w:sz w:val="18"/>
          <w:szCs w:val="18"/>
        </w:rPr>
        <w:t xml:space="preserve"> </w:t>
      </w:r>
      <w:r w:rsidR="00596262" w:rsidRPr="006A43BB">
        <w:rPr>
          <w:rStyle w:val="NoneA"/>
          <w:rFonts w:eastAsia="Arial Unicode MS" w:cs="Arial Unicode MS"/>
          <w:sz w:val="18"/>
          <w:szCs w:val="18"/>
        </w:rPr>
        <w:t>(n 65).</w:t>
      </w:r>
      <w:bookmarkEnd w:id="16"/>
    </w:p>
  </w:footnote>
  <w:footnote w:id="166">
    <w:p w14:paraId="73291C02" w14:textId="77777777" w:rsidR="003B207D" w:rsidRPr="006A43BB" w:rsidRDefault="00C96635" w:rsidP="000D57A8">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Ibid 73.</w:t>
      </w:r>
    </w:p>
  </w:footnote>
  <w:footnote w:id="167">
    <w:p w14:paraId="73291C03" w14:textId="77777777" w:rsidR="003B207D" w:rsidRDefault="00C96635" w:rsidP="000D57A8">
      <w:pPr>
        <w:pStyle w:val="FootnoteText"/>
        <w:jc w:val="both"/>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UN GA ‘Reparation for injuries incurred in the service of the United Nations’1949, A/RES/365</w:t>
      </w:r>
    </w:p>
  </w:footnote>
  <w:footnote w:id="168">
    <w:p w14:paraId="73291C04" w14:textId="52F0A848" w:rsidR="003B207D" w:rsidRPr="006A43BB" w:rsidRDefault="00C96635" w:rsidP="000D57A8">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bookmarkStart w:id="17" w:name="_Hlk73467636"/>
      <w:proofErr w:type="spellStart"/>
      <w:r w:rsidRPr="006A43BB">
        <w:rPr>
          <w:rStyle w:val="NoneA"/>
          <w:rFonts w:eastAsia="Arial Unicode MS" w:cs="Arial Unicode MS"/>
          <w:sz w:val="18"/>
          <w:szCs w:val="18"/>
        </w:rPr>
        <w:t>Zerk</w:t>
      </w:r>
      <w:proofErr w:type="spellEnd"/>
      <w:r w:rsidRPr="006A43BB">
        <w:rPr>
          <w:rStyle w:val="NoneA"/>
          <w:rFonts w:eastAsia="Arial Unicode MS" w:cs="Arial Unicode MS"/>
          <w:sz w:val="18"/>
          <w:szCs w:val="18"/>
        </w:rPr>
        <w:t xml:space="preserve"> (n </w:t>
      </w:r>
      <w:r w:rsidR="00596262" w:rsidRPr="006A43BB">
        <w:rPr>
          <w:rStyle w:val="NoneA"/>
          <w:rFonts w:eastAsia="Arial Unicode MS" w:cs="Arial Unicode MS"/>
          <w:sz w:val="18"/>
          <w:szCs w:val="18"/>
        </w:rPr>
        <w:t>65</w:t>
      </w:r>
      <w:r w:rsidRPr="006A43BB">
        <w:rPr>
          <w:rStyle w:val="NoneA"/>
          <w:rFonts w:eastAsia="Arial Unicode MS" w:cs="Arial Unicode MS"/>
          <w:sz w:val="18"/>
          <w:szCs w:val="18"/>
        </w:rPr>
        <w:t>) 75.</w:t>
      </w:r>
      <w:bookmarkEnd w:id="17"/>
    </w:p>
  </w:footnote>
  <w:footnote w:id="169">
    <w:p w14:paraId="73291C05" w14:textId="4354AF8C"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proofErr w:type="spellStart"/>
      <w:r w:rsidR="00787E7F" w:rsidRPr="006A43BB">
        <w:rPr>
          <w:rStyle w:val="NoneA"/>
          <w:rFonts w:eastAsia="Arial Unicode MS" w:cs="Arial Unicode MS"/>
          <w:sz w:val="18"/>
          <w:szCs w:val="18"/>
        </w:rPr>
        <w:t>Zerk</w:t>
      </w:r>
      <w:proofErr w:type="spellEnd"/>
      <w:r w:rsidR="00787E7F" w:rsidRPr="006A43BB">
        <w:rPr>
          <w:rStyle w:val="NoneA"/>
          <w:rFonts w:eastAsia="Arial Unicode MS" w:cs="Arial Unicode MS"/>
          <w:sz w:val="18"/>
          <w:szCs w:val="18"/>
        </w:rPr>
        <w:t xml:space="preserve"> (n 65) </w:t>
      </w:r>
      <w:r w:rsidR="00787E7F">
        <w:rPr>
          <w:rStyle w:val="NoneA"/>
          <w:rFonts w:eastAsia="Arial Unicode MS" w:cs="Arial Unicode MS"/>
          <w:sz w:val="18"/>
          <w:szCs w:val="18"/>
        </w:rPr>
        <w:t>131.</w:t>
      </w:r>
    </w:p>
  </w:footnote>
  <w:footnote w:id="170">
    <w:p w14:paraId="73291C06"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Bowoto</w:t>
      </w:r>
      <w:proofErr w:type="spellEnd"/>
      <w:r w:rsidRPr="006A43BB">
        <w:rPr>
          <w:rStyle w:val="NoneA"/>
          <w:rFonts w:eastAsia="Arial Unicode MS" w:cs="Arial Unicode MS"/>
          <w:sz w:val="18"/>
          <w:szCs w:val="18"/>
        </w:rPr>
        <w:t xml:space="preserve"> v. Chevron Texaco Corp [2004] 312 F. Supp. 2d 1229</w:t>
      </w:r>
    </w:p>
  </w:footnote>
  <w:footnote w:id="171">
    <w:p w14:paraId="73291C07"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Wubeshet</w:t>
      </w:r>
      <w:proofErr w:type="spellEnd"/>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Tiruneh</w:t>
      </w:r>
      <w:proofErr w:type="spellEnd"/>
      <w:r w:rsidRPr="006A43BB">
        <w:rPr>
          <w:rStyle w:val="NoneA"/>
          <w:rFonts w:eastAsia="Arial Unicode MS" w:cs="Arial Unicode MS"/>
          <w:sz w:val="18"/>
          <w:szCs w:val="18"/>
        </w:rPr>
        <w:t xml:space="preserve">, 'Holding The Parent Company Liable For Human Rights Abuses Committed Abroad: The Case Of The Four Nigerian Farmers And </w:t>
      </w:r>
      <w:proofErr w:type="spellStart"/>
      <w:r w:rsidRPr="006A43BB">
        <w:rPr>
          <w:rStyle w:val="NoneA"/>
          <w:rFonts w:eastAsia="Arial Unicode MS" w:cs="Arial Unicode MS"/>
          <w:sz w:val="18"/>
          <w:szCs w:val="18"/>
        </w:rPr>
        <w:t>Milieudefensie</w:t>
      </w:r>
      <w:proofErr w:type="spellEnd"/>
      <w:r w:rsidRPr="006A43BB">
        <w:rPr>
          <w:rStyle w:val="NoneA"/>
          <w:rFonts w:eastAsia="Arial Unicode MS" w:cs="Arial Unicode MS"/>
          <w:sz w:val="18"/>
          <w:szCs w:val="18"/>
        </w:rPr>
        <w:t xml:space="preserve"> V. Shell' [2021] </w:t>
      </w:r>
      <w:proofErr w:type="spellStart"/>
      <w:r w:rsidRPr="006A43BB">
        <w:rPr>
          <w:rStyle w:val="NoneA"/>
          <w:rFonts w:eastAsia="Arial Unicode MS" w:cs="Arial Unicode MS"/>
          <w:sz w:val="18"/>
          <w:szCs w:val="18"/>
        </w:rPr>
        <w:t>EJIL:Talk</w:t>
      </w:r>
      <w:proofErr w:type="spellEnd"/>
      <w:r w:rsidRPr="006A43BB">
        <w:rPr>
          <w:rStyle w:val="NoneA"/>
          <w:rFonts w:eastAsia="Arial Unicode MS" w:cs="Arial Unicode MS"/>
          <w:sz w:val="18"/>
          <w:szCs w:val="18"/>
        </w:rPr>
        <w:t xml:space="preserve"> European Journal of International Law &lt;https://www.ejiltalk.org/holding-the-parent-company-liable-for-human-rights-abuses-committed-abroad-the-case-of-the-four-nigerian-farmers-and-milieudefensie-v-shell/&gt; accessed 21 April 2021.</w:t>
      </w:r>
    </w:p>
  </w:footnote>
  <w:footnote w:id="172">
    <w:p w14:paraId="73291C08"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UN Economic and Social Council, ‘General comment No. 24 on State obligations under the International Covenant on Economic, Social and Cultural Rights in the context of business activities’ 2017, E/C.12/GC/24</w:t>
      </w:r>
    </w:p>
  </w:footnote>
  <w:footnote w:id="173">
    <w:p w14:paraId="73291C09" w14:textId="7574B402" w:rsidR="003B207D" w:rsidRDefault="00C96635" w:rsidP="00D00735">
      <w:pPr>
        <w:pStyle w:val="FootnoteText"/>
        <w:jc w:val="both"/>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Tiruneh</w:t>
      </w:r>
      <w:proofErr w:type="spellEnd"/>
      <w:r w:rsidRPr="006A43BB">
        <w:rPr>
          <w:rStyle w:val="NoneA"/>
          <w:rFonts w:eastAsia="Arial Unicode MS" w:cs="Arial Unicode MS"/>
          <w:sz w:val="18"/>
          <w:szCs w:val="18"/>
        </w:rPr>
        <w:t xml:space="preserve"> (n 1</w:t>
      </w:r>
      <w:r w:rsidR="00F602E2">
        <w:rPr>
          <w:rStyle w:val="NoneA"/>
          <w:rFonts w:eastAsia="Arial Unicode MS" w:cs="Arial Unicode MS"/>
          <w:sz w:val="18"/>
          <w:szCs w:val="18"/>
        </w:rPr>
        <w:t>75</w:t>
      </w:r>
      <w:r w:rsidRPr="006A43BB">
        <w:rPr>
          <w:rStyle w:val="NoneA"/>
          <w:rFonts w:eastAsia="Arial Unicode MS" w:cs="Arial Unicode MS"/>
          <w:sz w:val="18"/>
          <w:szCs w:val="18"/>
        </w:rPr>
        <w:t>).</w:t>
      </w:r>
    </w:p>
  </w:footnote>
  <w:footnote w:id="174">
    <w:p w14:paraId="73291C0A" w14:textId="5FE93525"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r w:rsidR="00F602E2">
        <w:rPr>
          <w:rStyle w:val="NoneA"/>
          <w:rFonts w:eastAsia="Arial Unicode MS" w:cs="Arial Unicode MS"/>
          <w:sz w:val="18"/>
          <w:szCs w:val="18"/>
        </w:rPr>
        <w:t>Ibid.</w:t>
      </w:r>
    </w:p>
  </w:footnote>
  <w:footnote w:id="175">
    <w:p w14:paraId="73291C0B" w14:textId="10A8C142"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Kiobel</w:t>
      </w:r>
      <w:proofErr w:type="spellEnd"/>
      <w:r w:rsidRPr="006A43BB">
        <w:rPr>
          <w:rStyle w:val="NoneA"/>
          <w:rFonts w:eastAsia="Arial Unicode MS" w:cs="Arial Unicode MS"/>
          <w:sz w:val="18"/>
          <w:szCs w:val="18"/>
        </w:rPr>
        <w:t xml:space="preserve"> v. Royal Dutch Petroleum </w:t>
      </w:r>
      <w:r w:rsidR="00D36DDA" w:rsidRPr="006A43BB">
        <w:rPr>
          <w:rStyle w:val="NoneA"/>
          <w:rFonts w:eastAsia="Arial Unicode MS" w:cs="Arial Unicode MS"/>
          <w:sz w:val="18"/>
          <w:szCs w:val="18"/>
        </w:rPr>
        <w:t>(n 106).</w:t>
      </w:r>
    </w:p>
  </w:footnote>
  <w:footnote w:id="176">
    <w:p w14:paraId="73291C0C"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Barrie Sander, '</w:t>
      </w:r>
      <w:proofErr w:type="spellStart"/>
      <w:r w:rsidRPr="006A43BB">
        <w:rPr>
          <w:rStyle w:val="NoneA"/>
          <w:rFonts w:eastAsia="Arial Unicode MS" w:cs="Arial Unicode MS"/>
          <w:sz w:val="18"/>
          <w:szCs w:val="18"/>
        </w:rPr>
        <w:t>Kiobel</w:t>
      </w:r>
      <w:proofErr w:type="spellEnd"/>
      <w:r w:rsidRPr="006A43BB">
        <w:rPr>
          <w:rStyle w:val="NoneA"/>
          <w:rFonts w:eastAsia="Arial Unicode MS" w:cs="Arial Unicode MS"/>
          <w:sz w:val="18"/>
          <w:szCs w:val="18"/>
        </w:rPr>
        <w:t>: Corporate Liability Under International Law' (2012) https://www.ejiltalk.org/kiobel-corporate-liability-under-international-law/ EJIL: Talk European Journal of International Law.</w:t>
      </w:r>
    </w:p>
  </w:footnote>
  <w:footnote w:id="177">
    <w:p w14:paraId="73291C0D" w14:textId="350ABB46"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Kiobel</w:t>
      </w:r>
      <w:proofErr w:type="spellEnd"/>
      <w:r w:rsidRPr="006A43BB">
        <w:rPr>
          <w:rStyle w:val="NoneA"/>
          <w:rFonts w:eastAsia="Arial Unicode MS" w:cs="Arial Unicode MS"/>
          <w:sz w:val="18"/>
          <w:szCs w:val="18"/>
        </w:rPr>
        <w:t xml:space="preserve"> v. Royal Dutch Petroleum </w:t>
      </w:r>
      <w:r w:rsidR="00D36DDA" w:rsidRPr="006A43BB">
        <w:rPr>
          <w:rStyle w:val="NoneA"/>
          <w:rFonts w:eastAsia="Arial Unicode MS" w:cs="Arial Unicode MS"/>
          <w:sz w:val="18"/>
          <w:szCs w:val="18"/>
        </w:rPr>
        <w:t>(n 106).</w:t>
      </w:r>
    </w:p>
  </w:footnote>
  <w:footnote w:id="178">
    <w:p w14:paraId="73291C0E" w14:textId="77777777" w:rsidR="003B207D" w:rsidRPr="006A43BB" w:rsidRDefault="00C96635" w:rsidP="00D00735">
      <w:pPr>
        <w:pStyle w:val="FootnoteText"/>
        <w:jc w:val="both"/>
        <w:rPr>
          <w:sz w:val="18"/>
          <w:szCs w:val="18"/>
          <w:lang w:val="fr-FR"/>
        </w:rPr>
      </w:pPr>
      <w:r w:rsidRPr="006A43BB">
        <w:rPr>
          <w:rStyle w:val="None"/>
          <w:sz w:val="18"/>
          <w:szCs w:val="18"/>
          <w:shd w:val="clear" w:color="auto" w:fill="FFFFFF"/>
          <w:vertAlign w:val="superscript"/>
          <w:lang w:val="fr-FR"/>
          <w14:textOutline w14:w="12700" w14:cap="flat" w14:cmpd="sng" w14:algn="ctr">
            <w14:noFill/>
            <w14:prstDash w14:val="solid"/>
            <w14:miter w14:lim="400000"/>
          </w14:textOutline>
        </w:rPr>
        <w:footnoteRef/>
      </w:r>
      <w:r w:rsidRPr="006A43BB">
        <w:rPr>
          <w:rStyle w:val="None"/>
          <w:sz w:val="18"/>
          <w:szCs w:val="18"/>
          <w:lang w:val="fr-FR"/>
        </w:rPr>
        <w:t xml:space="preserve"> Sosa v. Alvarez-</w:t>
      </w:r>
      <w:proofErr w:type="spellStart"/>
      <w:r w:rsidRPr="006A43BB">
        <w:rPr>
          <w:rStyle w:val="None"/>
          <w:sz w:val="18"/>
          <w:szCs w:val="18"/>
          <w:lang w:val="fr-FR"/>
        </w:rPr>
        <w:t>Machain</w:t>
      </w:r>
      <w:proofErr w:type="spellEnd"/>
      <w:r w:rsidRPr="006A43BB">
        <w:rPr>
          <w:rStyle w:val="None"/>
          <w:sz w:val="18"/>
          <w:szCs w:val="18"/>
          <w:lang w:val="fr-FR"/>
        </w:rPr>
        <w:t xml:space="preserve"> [2004] 542 F. 692</w:t>
      </w:r>
    </w:p>
  </w:footnote>
  <w:footnote w:id="179">
    <w:p w14:paraId="73291C0F" w14:textId="77BF2C0A"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DeSchutter</w:t>
      </w:r>
      <w:proofErr w:type="spellEnd"/>
      <w:r w:rsidRPr="006A43BB">
        <w:rPr>
          <w:rStyle w:val="NoneA"/>
          <w:rFonts w:eastAsia="Arial Unicode MS" w:cs="Arial Unicode MS"/>
          <w:sz w:val="18"/>
          <w:szCs w:val="18"/>
        </w:rPr>
        <w:t xml:space="preserve"> (n </w:t>
      </w:r>
      <w:r w:rsidR="00095F1B" w:rsidRPr="006A43BB">
        <w:rPr>
          <w:rStyle w:val="NoneA"/>
          <w:rFonts w:eastAsia="Arial Unicode MS" w:cs="Arial Unicode MS"/>
          <w:sz w:val="18"/>
          <w:szCs w:val="18"/>
        </w:rPr>
        <w:t>5</w:t>
      </w:r>
      <w:r w:rsidRPr="006A43BB">
        <w:rPr>
          <w:rStyle w:val="NoneA"/>
          <w:rFonts w:eastAsia="Arial Unicode MS" w:cs="Arial Unicode MS"/>
          <w:sz w:val="18"/>
          <w:szCs w:val="18"/>
        </w:rPr>
        <w:t>) 187.</w:t>
      </w:r>
    </w:p>
  </w:footnote>
  <w:footnote w:id="180">
    <w:p w14:paraId="73291C10" w14:textId="77777777" w:rsidR="003B207D" w:rsidRDefault="00C96635" w:rsidP="00D00735">
      <w:pPr>
        <w:pStyle w:val="FootnoteText"/>
        <w:jc w:val="both"/>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Jonathan Clough, 'Not-So-Innocents Abroad: Corporate Criminal Liability For Human Rights Abuses' (2005) 11 Australian Journal of Human Rights.</w:t>
      </w:r>
    </w:p>
  </w:footnote>
  <w:footnote w:id="181">
    <w:p w14:paraId="1AB7A24E" w14:textId="5AE4D0FF" w:rsidR="00E24148" w:rsidRPr="006A43BB" w:rsidRDefault="00E24148"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r w:rsidR="00C54425" w:rsidRPr="006A43BB">
        <w:rPr>
          <w:rStyle w:val="NoneA"/>
          <w:rFonts w:eastAsia="Arial Unicode MS" w:cs="Arial Unicode MS"/>
          <w:sz w:val="18"/>
          <w:szCs w:val="18"/>
        </w:rPr>
        <w:t>Clough (</w:t>
      </w:r>
      <w:r w:rsidR="00726ADE" w:rsidRPr="006A43BB">
        <w:rPr>
          <w:rStyle w:val="NoneA"/>
          <w:rFonts w:eastAsia="Arial Unicode MS" w:cs="Arial Unicode MS"/>
          <w:sz w:val="18"/>
          <w:szCs w:val="18"/>
        </w:rPr>
        <w:t>n 184) 8.</w:t>
      </w:r>
    </w:p>
  </w:footnote>
  <w:footnote w:id="182">
    <w:p w14:paraId="73291C12" w14:textId="7C098400"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DeSchutter</w:t>
      </w:r>
      <w:proofErr w:type="spellEnd"/>
      <w:r w:rsidRPr="006A43BB">
        <w:rPr>
          <w:rStyle w:val="NoneA"/>
          <w:rFonts w:eastAsia="Arial Unicode MS" w:cs="Arial Unicode MS"/>
          <w:sz w:val="18"/>
          <w:szCs w:val="18"/>
        </w:rPr>
        <w:t xml:space="preserve"> (n </w:t>
      </w:r>
      <w:r w:rsidR="00726ADE" w:rsidRPr="006A43BB">
        <w:rPr>
          <w:rStyle w:val="NoneA"/>
          <w:rFonts w:eastAsia="Arial Unicode MS" w:cs="Arial Unicode MS"/>
          <w:sz w:val="18"/>
          <w:szCs w:val="18"/>
        </w:rPr>
        <w:t>5</w:t>
      </w:r>
      <w:r w:rsidRPr="006A43BB">
        <w:rPr>
          <w:rStyle w:val="NoneA"/>
          <w:rFonts w:eastAsia="Arial Unicode MS" w:cs="Arial Unicode MS"/>
          <w:sz w:val="18"/>
          <w:szCs w:val="18"/>
        </w:rPr>
        <w:t>) 188.</w:t>
      </w:r>
    </w:p>
  </w:footnote>
  <w:footnote w:id="183">
    <w:p w14:paraId="2F3DC230" w14:textId="1CCC765F" w:rsidR="00FF560C" w:rsidRDefault="00FF560C" w:rsidP="00D00735">
      <w:pPr>
        <w:pStyle w:val="FootnoteText"/>
        <w:jc w:val="both"/>
      </w:pPr>
      <w:r w:rsidRPr="006A43BB">
        <w:rPr>
          <w:rStyle w:val="FootnoteReference"/>
          <w:sz w:val="18"/>
          <w:szCs w:val="18"/>
        </w:rPr>
        <w:footnoteRef/>
      </w:r>
      <w:r w:rsidRPr="006A43BB">
        <w:rPr>
          <w:sz w:val="18"/>
          <w:szCs w:val="18"/>
        </w:rPr>
        <w:t xml:space="preserve"> </w:t>
      </w:r>
      <w:r w:rsidR="000C4A71" w:rsidRPr="006A43BB">
        <w:rPr>
          <w:sz w:val="18"/>
          <w:szCs w:val="18"/>
        </w:rPr>
        <w:t xml:space="preserve">Carola </w:t>
      </w:r>
      <w:proofErr w:type="spellStart"/>
      <w:r w:rsidR="000C4A71" w:rsidRPr="006A43BB">
        <w:rPr>
          <w:sz w:val="18"/>
          <w:szCs w:val="18"/>
        </w:rPr>
        <w:t>Glinski</w:t>
      </w:r>
      <w:proofErr w:type="spellEnd"/>
      <w:r w:rsidR="000C4A71" w:rsidRPr="006A43BB">
        <w:rPr>
          <w:sz w:val="18"/>
          <w:szCs w:val="18"/>
        </w:rPr>
        <w:t xml:space="preserve">, 'The </w:t>
      </w:r>
      <w:proofErr w:type="spellStart"/>
      <w:r w:rsidR="000C4A71" w:rsidRPr="006A43BB">
        <w:rPr>
          <w:sz w:val="18"/>
          <w:szCs w:val="18"/>
        </w:rPr>
        <w:t>Ruggie</w:t>
      </w:r>
      <w:proofErr w:type="spellEnd"/>
      <w:r w:rsidR="000C4A71" w:rsidRPr="006A43BB">
        <w:rPr>
          <w:sz w:val="18"/>
          <w:szCs w:val="18"/>
        </w:rPr>
        <w:t xml:space="preserve"> Framework, Tort Law And Business Human Rights Self-Regulation: Increasing Standards Through Mutual Impact And Learning' [2017] SSRN Electronic Journal.</w:t>
      </w:r>
    </w:p>
  </w:footnote>
  <w:footnote w:id="184">
    <w:p w14:paraId="73291C13" w14:textId="1419E452"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000C4A71" w:rsidRPr="006A43BB">
        <w:rPr>
          <w:rStyle w:val="NoneA"/>
          <w:rFonts w:eastAsia="Arial Unicode MS" w:cs="Arial Unicode MS"/>
          <w:sz w:val="18"/>
          <w:szCs w:val="18"/>
        </w:rPr>
        <w:t xml:space="preserve"> </w:t>
      </w:r>
      <w:proofErr w:type="spellStart"/>
      <w:r w:rsidR="000C4A71" w:rsidRPr="006A43BB">
        <w:rPr>
          <w:rStyle w:val="NoneA"/>
          <w:rFonts w:eastAsia="Arial Unicode MS" w:cs="Arial Unicode MS"/>
          <w:sz w:val="18"/>
          <w:szCs w:val="18"/>
        </w:rPr>
        <w:t>DeSchutter</w:t>
      </w:r>
      <w:proofErr w:type="spellEnd"/>
      <w:r w:rsidR="000C4A71" w:rsidRPr="006A43BB">
        <w:rPr>
          <w:rStyle w:val="NoneA"/>
          <w:rFonts w:eastAsia="Arial Unicode MS" w:cs="Arial Unicode MS"/>
          <w:sz w:val="18"/>
          <w:szCs w:val="18"/>
        </w:rPr>
        <w:t xml:space="preserve"> (n </w:t>
      </w:r>
      <w:r w:rsidR="006E2B4D" w:rsidRPr="006A43BB">
        <w:rPr>
          <w:rStyle w:val="NoneA"/>
          <w:rFonts w:eastAsia="Arial Unicode MS" w:cs="Arial Unicode MS"/>
          <w:sz w:val="18"/>
          <w:szCs w:val="18"/>
        </w:rPr>
        <w:t>5</w:t>
      </w:r>
      <w:r w:rsidR="000C4A71" w:rsidRPr="006A43BB">
        <w:rPr>
          <w:rStyle w:val="NoneA"/>
          <w:rFonts w:eastAsia="Arial Unicode MS" w:cs="Arial Unicode MS"/>
          <w:sz w:val="18"/>
          <w:szCs w:val="18"/>
        </w:rPr>
        <w:t xml:space="preserve">) </w:t>
      </w:r>
      <w:r w:rsidRPr="006A43BB">
        <w:rPr>
          <w:rStyle w:val="NoneA"/>
          <w:rFonts w:eastAsia="Arial Unicode MS" w:cs="Arial Unicode MS"/>
          <w:sz w:val="18"/>
          <w:szCs w:val="18"/>
        </w:rPr>
        <w:t>49.</w:t>
      </w:r>
    </w:p>
  </w:footnote>
  <w:footnote w:id="185">
    <w:p w14:paraId="73291C14"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Ibid 292.</w:t>
      </w:r>
    </w:p>
  </w:footnote>
  <w:footnote w:id="186">
    <w:p w14:paraId="73291C15"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Ibid 293.</w:t>
      </w:r>
    </w:p>
  </w:footnote>
  <w:footnote w:id="187">
    <w:p w14:paraId="73291C16"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Andrew </w:t>
      </w:r>
      <w:proofErr w:type="spellStart"/>
      <w:r w:rsidRPr="006A43BB">
        <w:rPr>
          <w:rStyle w:val="NoneA"/>
          <w:rFonts w:eastAsia="Arial Unicode MS" w:cs="Arial Unicode MS"/>
          <w:sz w:val="18"/>
          <w:szCs w:val="18"/>
        </w:rPr>
        <w:t>Clapham</w:t>
      </w:r>
      <w:proofErr w:type="spellEnd"/>
      <w:r w:rsidRPr="006A43BB">
        <w:rPr>
          <w:rStyle w:val="NoneA"/>
          <w:rFonts w:eastAsia="Arial Unicode MS" w:cs="Arial Unicode MS"/>
          <w:sz w:val="18"/>
          <w:szCs w:val="18"/>
        </w:rPr>
        <w:t xml:space="preserve">, ‘The Question of Jurisdiction Under International Criminal Law Over Legal Persons’ in Menno T </w:t>
      </w:r>
      <w:proofErr w:type="spellStart"/>
      <w:r w:rsidRPr="006A43BB">
        <w:rPr>
          <w:rStyle w:val="NoneA"/>
          <w:rFonts w:eastAsia="Arial Unicode MS" w:cs="Arial Unicode MS"/>
          <w:sz w:val="18"/>
          <w:szCs w:val="18"/>
        </w:rPr>
        <w:t>Kammiga</w:t>
      </w:r>
      <w:proofErr w:type="spellEnd"/>
      <w:r w:rsidRPr="006A43BB">
        <w:rPr>
          <w:rStyle w:val="NoneA"/>
          <w:rFonts w:eastAsia="Arial Unicode MS" w:cs="Arial Unicode MS"/>
          <w:sz w:val="18"/>
          <w:szCs w:val="18"/>
        </w:rPr>
        <w:t xml:space="preserve"> and Saman Zi-</w:t>
      </w:r>
      <w:proofErr w:type="spellStart"/>
      <w:r w:rsidRPr="006A43BB">
        <w:rPr>
          <w:rStyle w:val="NoneA"/>
          <w:rFonts w:eastAsia="Arial Unicode MS" w:cs="Arial Unicode MS"/>
          <w:sz w:val="18"/>
          <w:szCs w:val="18"/>
        </w:rPr>
        <w:t>Zafari</w:t>
      </w:r>
      <w:proofErr w:type="spellEnd"/>
      <w:r w:rsidRPr="006A43BB">
        <w:rPr>
          <w:rStyle w:val="NoneA"/>
          <w:rFonts w:eastAsia="Arial Unicode MS" w:cs="Arial Unicode MS"/>
          <w:sz w:val="18"/>
          <w:szCs w:val="18"/>
        </w:rPr>
        <w:t xml:space="preserve"> (eds), Liability of Multinational Corporations Under International Law (The Hague, Kluwer, 2000)</w:t>
      </w:r>
    </w:p>
  </w:footnote>
  <w:footnote w:id="188">
    <w:p w14:paraId="73291C17" w14:textId="77777777" w:rsidR="003B207D" w:rsidRDefault="00C96635" w:rsidP="00D00735">
      <w:pPr>
        <w:pStyle w:val="FootnoteText"/>
        <w:jc w:val="both"/>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Ibid.</w:t>
      </w:r>
      <w:r>
        <w:rPr>
          <w:rStyle w:val="NoneA"/>
          <w:rFonts w:eastAsia="Arial Unicode MS" w:cs="Arial Unicode MS"/>
        </w:rPr>
        <w:t xml:space="preserve"> </w:t>
      </w:r>
    </w:p>
  </w:footnote>
  <w:footnote w:id="189">
    <w:p w14:paraId="73291C18" w14:textId="4058DC0E"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Koh, 'Separating Myth From Reality About Corporate Responsibility Litigation' (2004) 7 Journal of International Economic Law.</w:t>
      </w:r>
    </w:p>
  </w:footnote>
  <w:footnote w:id="190">
    <w:p w14:paraId="73291C19" w14:textId="77777777" w:rsidR="003B207D" w:rsidRPr="006A43BB" w:rsidRDefault="00C96635" w:rsidP="00D00735">
      <w:pPr>
        <w:pStyle w:val="FootnoteText"/>
        <w:jc w:val="both"/>
        <w:rPr>
          <w:sz w:val="18"/>
          <w:szCs w:val="18"/>
          <w:lang w:val="fr-FR"/>
        </w:rPr>
      </w:pPr>
      <w:r w:rsidRPr="006A43BB">
        <w:rPr>
          <w:rStyle w:val="None"/>
          <w:sz w:val="18"/>
          <w:szCs w:val="18"/>
          <w:shd w:val="clear" w:color="auto" w:fill="FFFFFF"/>
          <w:vertAlign w:val="superscript"/>
          <w:lang w:val="fr-FR"/>
          <w14:textOutline w14:w="12700" w14:cap="flat" w14:cmpd="sng" w14:algn="ctr">
            <w14:noFill/>
            <w14:prstDash w14:val="solid"/>
            <w14:miter w14:lim="400000"/>
          </w14:textOutline>
        </w:rPr>
        <w:footnoteRef/>
      </w:r>
      <w:r w:rsidRPr="006A43BB">
        <w:rPr>
          <w:rStyle w:val="None"/>
          <w:sz w:val="18"/>
          <w:szCs w:val="18"/>
          <w:lang w:val="fr-FR"/>
        </w:rPr>
        <w:t xml:space="preserve"> French Code de Droit </w:t>
      </w:r>
      <w:proofErr w:type="spellStart"/>
      <w:r w:rsidRPr="006A43BB">
        <w:rPr>
          <w:rStyle w:val="None"/>
          <w:sz w:val="18"/>
          <w:szCs w:val="18"/>
          <w:lang w:val="fr-FR"/>
        </w:rPr>
        <w:t>Penal</w:t>
      </w:r>
      <w:proofErr w:type="spellEnd"/>
      <w:r w:rsidRPr="006A43BB">
        <w:rPr>
          <w:rStyle w:val="None"/>
          <w:sz w:val="18"/>
          <w:szCs w:val="18"/>
          <w:lang w:val="fr-FR"/>
        </w:rPr>
        <w:t xml:space="preserve"> 1994, Art 450</w:t>
      </w:r>
    </w:p>
  </w:footnote>
  <w:footnote w:id="191">
    <w:p w14:paraId="73291C1A" w14:textId="77777777" w:rsidR="003B207D" w:rsidRPr="006A43BB" w:rsidRDefault="00C96635" w:rsidP="00D00735">
      <w:pPr>
        <w:pStyle w:val="FootnoteText"/>
        <w:jc w:val="both"/>
        <w:rPr>
          <w:sz w:val="18"/>
          <w:szCs w:val="18"/>
          <w:lang w:val="it-IT"/>
        </w:rPr>
      </w:pPr>
      <w:r w:rsidRPr="006A43BB">
        <w:rPr>
          <w:rStyle w:val="None"/>
          <w:sz w:val="18"/>
          <w:szCs w:val="18"/>
          <w:shd w:val="clear" w:color="auto" w:fill="FFFFFF"/>
          <w:vertAlign w:val="superscript"/>
          <w:lang w:val="it-IT"/>
          <w14:textOutline w14:w="12700" w14:cap="flat" w14:cmpd="sng" w14:algn="ctr">
            <w14:noFill/>
            <w14:prstDash w14:val="solid"/>
            <w14:miter w14:lim="400000"/>
          </w14:textOutline>
        </w:rPr>
        <w:footnoteRef/>
      </w:r>
      <w:r w:rsidRPr="006A43BB">
        <w:rPr>
          <w:rStyle w:val="None"/>
          <w:sz w:val="18"/>
          <w:szCs w:val="18"/>
          <w:lang w:val="it-IT"/>
        </w:rPr>
        <w:t xml:space="preserve"> </w:t>
      </w:r>
      <w:proofErr w:type="spellStart"/>
      <w:r w:rsidRPr="006A43BB">
        <w:rPr>
          <w:rStyle w:val="None"/>
          <w:sz w:val="18"/>
          <w:szCs w:val="18"/>
          <w:lang w:val="it-IT"/>
        </w:rPr>
        <w:t>Italian</w:t>
      </w:r>
      <w:proofErr w:type="spellEnd"/>
      <w:r w:rsidRPr="006A43BB">
        <w:rPr>
          <w:rStyle w:val="None"/>
          <w:sz w:val="18"/>
          <w:szCs w:val="18"/>
          <w:lang w:val="it-IT"/>
        </w:rPr>
        <w:t xml:space="preserve"> Code di Diritti Penale 1930, Art 416</w:t>
      </w:r>
    </w:p>
  </w:footnote>
  <w:footnote w:id="192">
    <w:p w14:paraId="73291C1B" w14:textId="2BFEDCC1"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DeSchutter</w:t>
      </w:r>
      <w:proofErr w:type="spellEnd"/>
      <w:r w:rsidRPr="006A43BB">
        <w:rPr>
          <w:rStyle w:val="NoneA"/>
          <w:rFonts w:eastAsia="Arial Unicode MS" w:cs="Arial Unicode MS"/>
          <w:sz w:val="18"/>
          <w:szCs w:val="18"/>
        </w:rPr>
        <w:t xml:space="preserve"> (n </w:t>
      </w:r>
      <w:r w:rsidR="008800DF" w:rsidRPr="006A43BB">
        <w:rPr>
          <w:rStyle w:val="NoneA"/>
          <w:rFonts w:eastAsia="Arial Unicode MS" w:cs="Arial Unicode MS"/>
          <w:sz w:val="18"/>
          <w:szCs w:val="18"/>
        </w:rPr>
        <w:t>5</w:t>
      </w:r>
      <w:r w:rsidRPr="006A43BB">
        <w:rPr>
          <w:rStyle w:val="NoneA"/>
          <w:rFonts w:eastAsia="Arial Unicode MS" w:cs="Arial Unicode MS"/>
          <w:sz w:val="18"/>
          <w:szCs w:val="18"/>
        </w:rPr>
        <w:t>) 294</w:t>
      </w:r>
    </w:p>
  </w:footnote>
  <w:footnote w:id="193">
    <w:p w14:paraId="73291C1C"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Ibid 295</w:t>
      </w:r>
    </w:p>
  </w:footnote>
  <w:footnote w:id="194">
    <w:p w14:paraId="73291C1D" w14:textId="76A46C10"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Ibid</w:t>
      </w:r>
      <w:r w:rsidR="007725C0">
        <w:rPr>
          <w:rStyle w:val="NoneA"/>
          <w:rFonts w:eastAsia="Arial Unicode MS" w:cs="Arial Unicode MS"/>
          <w:sz w:val="18"/>
          <w:szCs w:val="18"/>
        </w:rPr>
        <w:t>.</w:t>
      </w:r>
    </w:p>
  </w:footnote>
  <w:footnote w:id="195">
    <w:p w14:paraId="73291C1E" w14:textId="77777777" w:rsidR="003B207D" w:rsidRDefault="00C96635" w:rsidP="00D00735">
      <w:pPr>
        <w:pStyle w:val="FootnoteText"/>
        <w:jc w:val="both"/>
      </w:pPr>
      <w:r w:rsidRPr="006A43BB">
        <w:rPr>
          <w:rStyle w:val="None"/>
          <w:sz w:val="18"/>
          <w:szCs w:val="18"/>
          <w:shd w:val="clear" w:color="auto" w:fill="FFFFFF"/>
          <w:vertAlign w:val="superscript"/>
          <w14:textOutline w14:w="12700" w14:cap="flat" w14:cmpd="sng" w14:algn="ctr">
            <w14:noFill/>
            <w14:prstDash w14:val="solid"/>
            <w14:miter w14:lim="400000"/>
          </w14:textOutline>
        </w:rPr>
        <w:footnoteRef/>
      </w:r>
      <w:r w:rsidRPr="006A43BB">
        <w:rPr>
          <w:rStyle w:val="NoneA"/>
          <w:rFonts w:eastAsia="Arial Unicode MS" w:cs="Arial Unicode MS"/>
          <w:sz w:val="18"/>
          <w:szCs w:val="18"/>
        </w:rPr>
        <w:t xml:space="preserve"> Sally Kyd, Tracey </w:t>
      </w:r>
      <w:proofErr w:type="spellStart"/>
      <w:r w:rsidRPr="006A43BB">
        <w:rPr>
          <w:rStyle w:val="NoneA"/>
          <w:rFonts w:eastAsia="Arial Unicode MS" w:cs="Arial Unicode MS"/>
          <w:sz w:val="18"/>
          <w:szCs w:val="18"/>
        </w:rPr>
        <w:t>Tracey</w:t>
      </w:r>
      <w:proofErr w:type="spellEnd"/>
      <w:r w:rsidRPr="006A43BB">
        <w:rPr>
          <w:rStyle w:val="NoneA"/>
          <w:rFonts w:eastAsia="Arial Unicode MS" w:cs="Arial Unicode MS"/>
          <w:sz w:val="18"/>
          <w:szCs w:val="18"/>
        </w:rPr>
        <w:t xml:space="preserve"> Elliott and Mark Austin Walters, Clarkson &amp; Keating: Criminal Law: Text And Materials (10th </w:t>
      </w:r>
      <w:proofErr w:type="spellStart"/>
      <w:r w:rsidRPr="006A43BB">
        <w:rPr>
          <w:rStyle w:val="NoneA"/>
          <w:rFonts w:eastAsia="Arial Unicode MS" w:cs="Arial Unicode MS"/>
          <w:sz w:val="18"/>
          <w:szCs w:val="18"/>
        </w:rPr>
        <w:t>edn</w:t>
      </w:r>
      <w:proofErr w:type="spellEnd"/>
      <w:r w:rsidRPr="006A43BB">
        <w:rPr>
          <w:rStyle w:val="NoneA"/>
          <w:rFonts w:eastAsia="Arial Unicode MS" w:cs="Arial Unicode MS"/>
          <w:sz w:val="18"/>
          <w:szCs w:val="18"/>
        </w:rPr>
        <w:t>, Sweet &amp; Maxwell 2020).</w:t>
      </w:r>
    </w:p>
  </w:footnote>
  <w:footnote w:id="196">
    <w:p w14:paraId="73291C1F" w14:textId="6B679F85" w:rsidR="003B207D" w:rsidRPr="00175833" w:rsidRDefault="00C96635" w:rsidP="00D00735">
      <w:pPr>
        <w:pStyle w:val="FootnoteText"/>
      </w:pPr>
      <w:r>
        <w:rPr>
          <w:rStyle w:val="None"/>
          <w:shd w:val="clear" w:color="auto" w:fill="FFFFFF"/>
          <w:vertAlign w:val="superscript"/>
          <w:lang w:val="de-DE"/>
          <w14:textOutline w14:w="12700" w14:cap="flat" w14:cmpd="sng" w14:algn="ctr">
            <w14:noFill/>
            <w14:prstDash w14:val="solid"/>
            <w14:miter w14:lim="400000"/>
          </w14:textOutline>
        </w:rPr>
        <w:footnoteRef/>
      </w:r>
      <w:r w:rsidRPr="00175833">
        <w:rPr>
          <w:rStyle w:val="None"/>
        </w:rPr>
        <w:t xml:space="preserve">   </w:t>
      </w:r>
      <w:proofErr w:type="spellStart"/>
      <w:r w:rsidRPr="00175833">
        <w:rPr>
          <w:rStyle w:val="None"/>
        </w:rPr>
        <w:t>DeSchutter</w:t>
      </w:r>
      <w:proofErr w:type="spellEnd"/>
      <w:r w:rsidRPr="00175833">
        <w:rPr>
          <w:rStyle w:val="None"/>
        </w:rPr>
        <w:t xml:space="preserve"> (n </w:t>
      </w:r>
      <w:r w:rsidR="00D2760C" w:rsidRPr="00175833">
        <w:rPr>
          <w:rStyle w:val="None"/>
        </w:rPr>
        <w:t>5</w:t>
      </w:r>
      <w:r w:rsidRPr="00175833">
        <w:rPr>
          <w:rStyle w:val="None"/>
        </w:rPr>
        <w:t>) 296</w:t>
      </w:r>
      <w:r w:rsidR="00D2760C" w:rsidRPr="00175833">
        <w:rPr>
          <w:rStyle w:val="None"/>
        </w:rPr>
        <w:t>.</w:t>
      </w:r>
    </w:p>
  </w:footnote>
  <w:footnote w:id="197">
    <w:p w14:paraId="73291C20" w14:textId="015F8F21"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lang w:val="de-DE"/>
        </w:rPr>
        <w:footnoteRef/>
      </w:r>
      <w:r w:rsidRPr="006A43BB">
        <w:rPr>
          <w:rStyle w:val="None"/>
          <w:sz w:val="18"/>
          <w:szCs w:val="18"/>
        </w:rPr>
        <w:t xml:space="preserve"> </w:t>
      </w:r>
      <w:proofErr w:type="spellStart"/>
      <w:r w:rsidRPr="006A43BB">
        <w:rPr>
          <w:rStyle w:val="None"/>
          <w:sz w:val="18"/>
          <w:szCs w:val="18"/>
        </w:rPr>
        <w:t>Zerk</w:t>
      </w:r>
      <w:proofErr w:type="spellEnd"/>
      <w:r w:rsidR="00C67732" w:rsidRPr="006A43BB">
        <w:rPr>
          <w:rStyle w:val="None"/>
          <w:sz w:val="18"/>
          <w:szCs w:val="18"/>
        </w:rPr>
        <w:t xml:space="preserve"> (n 65)</w:t>
      </w:r>
      <w:r w:rsidRPr="006A43BB">
        <w:rPr>
          <w:rStyle w:val="None"/>
          <w:sz w:val="18"/>
          <w:szCs w:val="18"/>
        </w:rPr>
        <w:t xml:space="preserve"> 84</w:t>
      </w:r>
      <w:r w:rsidR="00C67732" w:rsidRPr="006A43BB">
        <w:rPr>
          <w:rStyle w:val="None"/>
          <w:sz w:val="18"/>
          <w:szCs w:val="18"/>
        </w:rPr>
        <w:t>.</w:t>
      </w:r>
    </w:p>
  </w:footnote>
  <w:footnote w:id="198">
    <w:p w14:paraId="73291C21"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rPr>
        <w:footnoteRef/>
      </w:r>
      <w:r w:rsidRPr="006A43BB">
        <w:rPr>
          <w:rStyle w:val="None"/>
          <w:sz w:val="18"/>
          <w:szCs w:val="18"/>
        </w:rPr>
        <w:t xml:space="preserve"> </w:t>
      </w:r>
      <w:proofErr w:type="spellStart"/>
      <w:r w:rsidRPr="006A43BB">
        <w:rPr>
          <w:rStyle w:val="None"/>
          <w:sz w:val="18"/>
          <w:szCs w:val="18"/>
        </w:rPr>
        <w:t>Velásquez</w:t>
      </w:r>
      <w:proofErr w:type="spellEnd"/>
      <w:r w:rsidRPr="006A43BB">
        <w:rPr>
          <w:rStyle w:val="None"/>
          <w:sz w:val="18"/>
          <w:szCs w:val="18"/>
        </w:rPr>
        <w:t xml:space="preserve"> Rodríguez Case [29 July 1988] Inter-</w:t>
      </w:r>
      <w:proofErr w:type="spellStart"/>
      <w:r w:rsidRPr="006A43BB">
        <w:rPr>
          <w:rStyle w:val="None"/>
          <w:sz w:val="18"/>
          <w:szCs w:val="18"/>
        </w:rPr>
        <w:t>Am.Ct.H.R</w:t>
      </w:r>
      <w:proofErr w:type="spellEnd"/>
      <w:r w:rsidRPr="006A43BB">
        <w:rPr>
          <w:rStyle w:val="None"/>
          <w:sz w:val="18"/>
          <w:szCs w:val="18"/>
        </w:rPr>
        <w:t xml:space="preserve">. (Ser. </w:t>
      </w:r>
      <w:r w:rsidRPr="006A43BB">
        <w:rPr>
          <w:rStyle w:val="NoneAA"/>
          <w:sz w:val="18"/>
          <w:szCs w:val="18"/>
        </w:rPr>
        <w:t>C) No. 4</w:t>
      </w:r>
    </w:p>
  </w:footnote>
  <w:footnote w:id="199">
    <w:p w14:paraId="73291C22" w14:textId="4A02A859"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Zerk</w:t>
      </w:r>
      <w:proofErr w:type="spellEnd"/>
      <w:r w:rsidRPr="006A43BB">
        <w:rPr>
          <w:rStyle w:val="NoneA"/>
          <w:rFonts w:eastAsia="Arial Unicode MS" w:cs="Arial Unicode MS"/>
          <w:sz w:val="18"/>
          <w:szCs w:val="18"/>
        </w:rPr>
        <w:t xml:space="preserve"> </w:t>
      </w:r>
      <w:r w:rsidR="00C67732" w:rsidRPr="006A43BB">
        <w:rPr>
          <w:rStyle w:val="NoneA"/>
          <w:rFonts w:eastAsia="Arial Unicode MS" w:cs="Arial Unicode MS"/>
          <w:sz w:val="18"/>
          <w:szCs w:val="18"/>
        </w:rPr>
        <w:t xml:space="preserve">(n 65) </w:t>
      </w:r>
      <w:r w:rsidRPr="006A43BB">
        <w:rPr>
          <w:rStyle w:val="NoneA"/>
          <w:rFonts w:eastAsia="Arial Unicode MS" w:cs="Arial Unicode MS"/>
          <w:sz w:val="18"/>
          <w:szCs w:val="18"/>
        </w:rPr>
        <w:t>86</w:t>
      </w:r>
      <w:r w:rsidR="00C67732" w:rsidRPr="006A43BB">
        <w:rPr>
          <w:rStyle w:val="NoneA"/>
          <w:rFonts w:eastAsia="Arial Unicode MS" w:cs="Arial Unicode MS"/>
          <w:sz w:val="18"/>
          <w:szCs w:val="18"/>
        </w:rPr>
        <w:t>.</w:t>
      </w:r>
    </w:p>
  </w:footnote>
  <w:footnote w:id="200">
    <w:p w14:paraId="73291C23"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The International Covenant on Civil and Political Rights 1966, Art 2</w:t>
      </w:r>
    </w:p>
  </w:footnote>
  <w:footnote w:id="201">
    <w:p w14:paraId="73291C24" w14:textId="77777777" w:rsidR="003B207D" w:rsidRPr="006A43BB" w:rsidRDefault="00C96635" w:rsidP="00D00735">
      <w:pPr>
        <w:pStyle w:val="FootnoteText"/>
        <w:jc w:val="both"/>
        <w:rPr>
          <w:lang w:val="de-DE"/>
        </w:rPr>
      </w:pPr>
      <w:r w:rsidRPr="006A43BB">
        <w:rPr>
          <w:rStyle w:val="None"/>
          <w:sz w:val="18"/>
          <w:szCs w:val="18"/>
          <w:shd w:val="clear" w:color="auto" w:fill="FFFFFF"/>
          <w:vertAlign w:val="superscript"/>
        </w:rPr>
        <w:footnoteRef/>
      </w:r>
      <w:r w:rsidRPr="006A43BB">
        <w:rPr>
          <w:rStyle w:val="NoneAA"/>
          <w:sz w:val="18"/>
          <w:szCs w:val="18"/>
        </w:rPr>
        <w:t xml:space="preserve"> UN CESCR General Comment No. 14 ‘The Right to the Highest Attainable Standard of Health’ 11 August 2000, UN Doc. </w:t>
      </w:r>
      <w:r w:rsidRPr="006A43BB">
        <w:rPr>
          <w:rStyle w:val="None"/>
          <w:sz w:val="18"/>
          <w:szCs w:val="18"/>
          <w:lang w:val="de-DE"/>
        </w:rPr>
        <w:t>E/C.12/2000/4, Art 12</w:t>
      </w:r>
    </w:p>
  </w:footnote>
  <w:footnote w:id="202">
    <w:p w14:paraId="73291C25" w14:textId="6301437C" w:rsidR="003B207D" w:rsidRPr="006A43BB" w:rsidRDefault="00C96635" w:rsidP="00337E67">
      <w:pPr>
        <w:pStyle w:val="FootnoteText"/>
        <w:jc w:val="both"/>
        <w:rPr>
          <w:sz w:val="18"/>
          <w:szCs w:val="18"/>
          <w:lang w:val="de-DE"/>
        </w:rPr>
      </w:pPr>
      <w:r w:rsidRPr="006A43BB">
        <w:rPr>
          <w:rStyle w:val="None"/>
          <w:sz w:val="18"/>
          <w:szCs w:val="18"/>
          <w:shd w:val="clear" w:color="auto" w:fill="FFFFFF"/>
          <w:vertAlign w:val="superscript"/>
          <w:lang w:val="de-DE"/>
        </w:rPr>
        <w:footnoteRef/>
      </w:r>
      <w:r w:rsidRPr="006A43BB">
        <w:rPr>
          <w:rStyle w:val="None"/>
          <w:sz w:val="18"/>
          <w:szCs w:val="18"/>
          <w:lang w:val="de-DE"/>
        </w:rPr>
        <w:t xml:space="preserve"> </w:t>
      </w:r>
      <w:proofErr w:type="spellStart"/>
      <w:r w:rsidRPr="006A43BB">
        <w:rPr>
          <w:rStyle w:val="None"/>
          <w:sz w:val="18"/>
          <w:szCs w:val="18"/>
          <w:lang w:val="de-DE"/>
        </w:rPr>
        <w:t>Zerk</w:t>
      </w:r>
      <w:proofErr w:type="spellEnd"/>
      <w:r w:rsidR="00C67732" w:rsidRPr="006A43BB">
        <w:rPr>
          <w:rStyle w:val="None"/>
          <w:sz w:val="18"/>
          <w:szCs w:val="18"/>
          <w:lang w:val="de-DE"/>
        </w:rPr>
        <w:t xml:space="preserve"> (n</w:t>
      </w:r>
      <w:r w:rsidR="00705DC1" w:rsidRPr="006A43BB">
        <w:rPr>
          <w:rStyle w:val="None"/>
          <w:sz w:val="18"/>
          <w:szCs w:val="18"/>
          <w:lang w:val="de-DE"/>
        </w:rPr>
        <w:t xml:space="preserve"> 65)</w:t>
      </w:r>
      <w:r w:rsidRPr="006A43BB">
        <w:rPr>
          <w:rStyle w:val="None"/>
          <w:sz w:val="18"/>
          <w:szCs w:val="18"/>
          <w:lang w:val="de-DE"/>
        </w:rPr>
        <w:t xml:space="preserve"> 89</w:t>
      </w:r>
      <w:r w:rsidR="00D85048" w:rsidRPr="006A43BB">
        <w:rPr>
          <w:rStyle w:val="None"/>
          <w:sz w:val="18"/>
          <w:szCs w:val="18"/>
          <w:lang w:val="de-DE"/>
        </w:rPr>
        <w:t>.</w:t>
      </w:r>
    </w:p>
  </w:footnote>
  <w:footnote w:id="203">
    <w:p w14:paraId="73291C26" w14:textId="4A566520" w:rsidR="003B207D" w:rsidRPr="006A43BB" w:rsidRDefault="00C96635" w:rsidP="00337E67">
      <w:pPr>
        <w:pStyle w:val="FootnoteText"/>
        <w:jc w:val="both"/>
        <w:rPr>
          <w:sz w:val="18"/>
          <w:szCs w:val="18"/>
          <w:lang w:val="de-DE"/>
        </w:rPr>
      </w:pPr>
      <w:r w:rsidRPr="006A43BB">
        <w:rPr>
          <w:rStyle w:val="None"/>
          <w:sz w:val="18"/>
          <w:szCs w:val="18"/>
          <w:shd w:val="clear" w:color="auto" w:fill="FFFFFF"/>
          <w:vertAlign w:val="superscript"/>
          <w:lang w:val="de-DE"/>
        </w:rPr>
        <w:footnoteRef/>
      </w:r>
      <w:r w:rsidRPr="006A43BB">
        <w:rPr>
          <w:rStyle w:val="None"/>
          <w:sz w:val="18"/>
          <w:szCs w:val="18"/>
          <w:lang w:val="de-DE"/>
        </w:rPr>
        <w:t xml:space="preserve"> </w:t>
      </w:r>
      <w:r w:rsidR="00B17021" w:rsidRPr="006A43BB">
        <w:rPr>
          <w:rStyle w:val="None"/>
          <w:sz w:val="18"/>
          <w:szCs w:val="18"/>
          <w:lang w:val="de-DE"/>
        </w:rPr>
        <w:t xml:space="preserve">De </w:t>
      </w:r>
      <w:proofErr w:type="spellStart"/>
      <w:r w:rsidR="00B17021" w:rsidRPr="006A43BB">
        <w:rPr>
          <w:rStyle w:val="None"/>
          <w:sz w:val="18"/>
          <w:szCs w:val="18"/>
          <w:lang w:val="de-DE"/>
        </w:rPr>
        <w:t>Shutter</w:t>
      </w:r>
      <w:proofErr w:type="spellEnd"/>
      <w:r w:rsidR="00B17021" w:rsidRPr="006A43BB">
        <w:rPr>
          <w:rStyle w:val="None"/>
          <w:sz w:val="18"/>
          <w:szCs w:val="18"/>
          <w:lang w:val="de-DE"/>
        </w:rPr>
        <w:t xml:space="preserve"> (n</w:t>
      </w:r>
      <w:r w:rsidR="00705DC1" w:rsidRPr="006A43BB">
        <w:rPr>
          <w:rStyle w:val="None"/>
          <w:sz w:val="18"/>
          <w:szCs w:val="18"/>
          <w:lang w:val="de-DE"/>
        </w:rPr>
        <w:t xml:space="preserve"> 5</w:t>
      </w:r>
      <w:r w:rsidR="00B17021" w:rsidRPr="006A43BB">
        <w:rPr>
          <w:rStyle w:val="None"/>
          <w:sz w:val="18"/>
          <w:szCs w:val="18"/>
          <w:lang w:val="de-DE"/>
        </w:rPr>
        <w:t xml:space="preserve">) </w:t>
      </w:r>
    </w:p>
  </w:footnote>
  <w:footnote w:id="204">
    <w:p w14:paraId="73291C27" w14:textId="0EE7D65D" w:rsidR="003B207D" w:rsidRPr="006A43BB" w:rsidRDefault="00C96635" w:rsidP="00337E67">
      <w:pPr>
        <w:pStyle w:val="FootnoteText"/>
        <w:jc w:val="both"/>
        <w:rPr>
          <w:sz w:val="18"/>
          <w:szCs w:val="18"/>
          <w:lang w:val="de-DE"/>
        </w:rPr>
      </w:pPr>
      <w:r w:rsidRPr="006A43BB">
        <w:rPr>
          <w:rStyle w:val="None"/>
          <w:sz w:val="18"/>
          <w:szCs w:val="18"/>
          <w:shd w:val="clear" w:color="auto" w:fill="FFFFFF"/>
          <w:vertAlign w:val="superscript"/>
          <w:lang w:val="de-DE"/>
        </w:rPr>
        <w:footnoteRef/>
      </w:r>
      <w:r w:rsidRPr="006A43BB">
        <w:rPr>
          <w:rStyle w:val="None"/>
          <w:sz w:val="18"/>
          <w:szCs w:val="18"/>
          <w:lang w:val="de-DE"/>
        </w:rPr>
        <w:t xml:space="preserve"> </w:t>
      </w:r>
      <w:proofErr w:type="spellStart"/>
      <w:r w:rsidRPr="006A43BB">
        <w:rPr>
          <w:rStyle w:val="None"/>
          <w:sz w:val="18"/>
          <w:szCs w:val="18"/>
          <w:lang w:val="de-DE"/>
        </w:rPr>
        <w:t>Zerk</w:t>
      </w:r>
      <w:proofErr w:type="spellEnd"/>
      <w:r w:rsidR="00705DC1" w:rsidRPr="006A43BB">
        <w:rPr>
          <w:rStyle w:val="None"/>
          <w:sz w:val="18"/>
          <w:szCs w:val="18"/>
          <w:lang w:val="de-DE"/>
        </w:rPr>
        <w:t xml:space="preserve"> (n 65) </w:t>
      </w:r>
      <w:r w:rsidRPr="006A43BB">
        <w:rPr>
          <w:rStyle w:val="None"/>
          <w:sz w:val="18"/>
          <w:szCs w:val="18"/>
          <w:lang w:val="de-DE"/>
        </w:rPr>
        <w:t>106</w:t>
      </w:r>
      <w:r w:rsidR="00D85048" w:rsidRPr="006A43BB">
        <w:rPr>
          <w:rStyle w:val="None"/>
          <w:sz w:val="18"/>
          <w:szCs w:val="18"/>
          <w:lang w:val="de-DE"/>
        </w:rPr>
        <w:t>.</w:t>
      </w:r>
    </w:p>
  </w:footnote>
  <w:footnote w:id="205">
    <w:p w14:paraId="73291C28" w14:textId="77777777" w:rsidR="003B207D" w:rsidRPr="006A43BB" w:rsidRDefault="00C96635" w:rsidP="00337E67">
      <w:pPr>
        <w:pStyle w:val="FootnoteText"/>
        <w:jc w:val="both"/>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The Export Administration Act of 1979  (50 USC, PARA 2405</w:t>
      </w:r>
    </w:p>
  </w:footnote>
  <w:footnote w:id="206">
    <w:p w14:paraId="73291C29" w14:textId="6F177424" w:rsidR="003B207D" w:rsidRPr="006A43BB" w:rsidRDefault="00C96635" w:rsidP="00337E67">
      <w:pPr>
        <w:pStyle w:val="FootnoteText"/>
        <w:jc w:val="both"/>
        <w:rPr>
          <w:sz w:val="18"/>
          <w:szCs w:val="18"/>
          <w:lang w:val="nl-NL"/>
        </w:rPr>
      </w:pPr>
      <w:r w:rsidRPr="006A43BB">
        <w:rPr>
          <w:rStyle w:val="None"/>
          <w:sz w:val="18"/>
          <w:szCs w:val="18"/>
          <w:shd w:val="clear" w:color="auto" w:fill="FFFFFF"/>
          <w:vertAlign w:val="superscript"/>
          <w:lang w:val="de-DE"/>
        </w:rPr>
        <w:footnoteRef/>
      </w:r>
      <w:r w:rsidRPr="006A43BB">
        <w:rPr>
          <w:rStyle w:val="None"/>
          <w:sz w:val="18"/>
          <w:szCs w:val="18"/>
          <w:lang w:val="nl-NL"/>
        </w:rPr>
        <w:t xml:space="preserve"> </w:t>
      </w:r>
      <w:r w:rsidR="005E4212" w:rsidRPr="006A43BB">
        <w:rPr>
          <w:rStyle w:val="None"/>
          <w:sz w:val="18"/>
          <w:szCs w:val="18"/>
          <w:lang w:val="nl-NL"/>
        </w:rPr>
        <w:t xml:space="preserve">De </w:t>
      </w:r>
      <w:proofErr w:type="spellStart"/>
      <w:r w:rsidR="005E4212" w:rsidRPr="006A43BB">
        <w:rPr>
          <w:rStyle w:val="None"/>
          <w:sz w:val="18"/>
          <w:szCs w:val="18"/>
          <w:lang w:val="nl-NL"/>
        </w:rPr>
        <w:t>Shutter</w:t>
      </w:r>
      <w:proofErr w:type="spellEnd"/>
      <w:r w:rsidR="005E4212" w:rsidRPr="006A43BB">
        <w:rPr>
          <w:rStyle w:val="None"/>
          <w:sz w:val="18"/>
          <w:szCs w:val="18"/>
          <w:lang w:val="nl-NL"/>
        </w:rPr>
        <w:t xml:space="preserve"> (n</w:t>
      </w:r>
      <w:r w:rsidR="00705DC1" w:rsidRPr="006A43BB">
        <w:rPr>
          <w:rStyle w:val="None"/>
          <w:sz w:val="18"/>
          <w:szCs w:val="18"/>
          <w:lang w:val="nl-NL"/>
        </w:rPr>
        <w:t xml:space="preserve"> 5</w:t>
      </w:r>
      <w:r w:rsidR="005E4212" w:rsidRPr="006A43BB">
        <w:rPr>
          <w:rStyle w:val="None"/>
          <w:sz w:val="18"/>
          <w:szCs w:val="18"/>
          <w:lang w:val="nl-NL"/>
        </w:rPr>
        <w:t xml:space="preserve">) </w:t>
      </w:r>
    </w:p>
  </w:footnote>
  <w:footnote w:id="207">
    <w:p w14:paraId="73291C2A" w14:textId="3F4B9E14" w:rsidR="003B207D" w:rsidRPr="006A43BB" w:rsidRDefault="00C96635" w:rsidP="00337E67">
      <w:pPr>
        <w:pStyle w:val="FootnoteText"/>
        <w:jc w:val="both"/>
        <w:rPr>
          <w:lang w:val="nl-NL"/>
        </w:rPr>
      </w:pPr>
      <w:r w:rsidRPr="006A43BB">
        <w:rPr>
          <w:rStyle w:val="None"/>
          <w:sz w:val="18"/>
          <w:szCs w:val="18"/>
          <w:shd w:val="clear" w:color="auto" w:fill="FFFFFF"/>
          <w:vertAlign w:val="superscript"/>
        </w:rPr>
        <w:footnoteRef/>
      </w:r>
      <w:r w:rsidRPr="006A43BB">
        <w:rPr>
          <w:rStyle w:val="None"/>
          <w:sz w:val="18"/>
          <w:szCs w:val="18"/>
          <w:lang w:val="nl-NL"/>
        </w:rPr>
        <w:t xml:space="preserve"> Zerk</w:t>
      </w:r>
      <w:r w:rsidR="00705DC1" w:rsidRPr="006A43BB">
        <w:rPr>
          <w:rStyle w:val="None"/>
          <w:sz w:val="18"/>
          <w:szCs w:val="18"/>
          <w:lang w:val="nl-NL"/>
        </w:rPr>
        <w:t xml:space="preserve"> (n </w:t>
      </w:r>
      <w:r w:rsidR="00D85048" w:rsidRPr="006A43BB">
        <w:rPr>
          <w:rStyle w:val="None"/>
          <w:sz w:val="18"/>
          <w:szCs w:val="18"/>
          <w:lang w:val="nl-NL"/>
        </w:rPr>
        <w:t>65)</w:t>
      </w:r>
      <w:r w:rsidRPr="006A43BB">
        <w:rPr>
          <w:rStyle w:val="None"/>
          <w:sz w:val="18"/>
          <w:szCs w:val="18"/>
          <w:lang w:val="nl-NL"/>
        </w:rPr>
        <w:t xml:space="preserve"> 109</w:t>
      </w:r>
      <w:r w:rsidR="00D85048" w:rsidRPr="006A43BB">
        <w:rPr>
          <w:rStyle w:val="None"/>
          <w:sz w:val="18"/>
          <w:szCs w:val="18"/>
          <w:lang w:val="nl-NL"/>
        </w:rPr>
        <w:t>.</w:t>
      </w:r>
    </w:p>
  </w:footnote>
  <w:footnote w:id="208">
    <w:p w14:paraId="73291C2B" w14:textId="60F19FE1" w:rsidR="003B207D" w:rsidRPr="006A43BB" w:rsidRDefault="00C96635" w:rsidP="00337E67">
      <w:pPr>
        <w:pStyle w:val="FootnoteText"/>
        <w:jc w:val="both"/>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w:t>
      </w:r>
      <w:r w:rsidR="00CC0F73">
        <w:rPr>
          <w:rStyle w:val="NoneA"/>
          <w:rFonts w:eastAsia="Arial Unicode MS" w:cs="Arial Unicode MS"/>
          <w:sz w:val="18"/>
          <w:szCs w:val="18"/>
        </w:rPr>
        <w:t>Ibid</w:t>
      </w:r>
      <w:r w:rsidR="00337E67">
        <w:rPr>
          <w:rStyle w:val="NoneA"/>
          <w:rFonts w:eastAsia="Arial Unicode MS" w:cs="Arial Unicode MS"/>
          <w:sz w:val="18"/>
          <w:szCs w:val="18"/>
        </w:rPr>
        <w:t xml:space="preserve"> </w:t>
      </w:r>
      <w:r w:rsidRPr="006A43BB">
        <w:rPr>
          <w:rStyle w:val="NoneA"/>
          <w:rFonts w:eastAsia="Arial Unicode MS" w:cs="Arial Unicode MS"/>
          <w:sz w:val="18"/>
          <w:szCs w:val="18"/>
        </w:rPr>
        <w:t>112</w:t>
      </w:r>
      <w:r w:rsidR="00337E67">
        <w:rPr>
          <w:rStyle w:val="NoneA"/>
          <w:rFonts w:eastAsia="Arial Unicode MS" w:cs="Arial Unicode MS"/>
          <w:sz w:val="18"/>
          <w:szCs w:val="18"/>
        </w:rPr>
        <w:t>.</w:t>
      </w:r>
    </w:p>
  </w:footnote>
  <w:footnote w:id="209">
    <w:p w14:paraId="73291C2C" w14:textId="77777777" w:rsidR="003B207D" w:rsidRPr="006A43BB" w:rsidRDefault="00C96635" w:rsidP="00D00735">
      <w:pPr>
        <w:pStyle w:val="FootnoteText"/>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Arrest Warrant Case, Congo v. Belgium [11 April 2000] ICJ GL No 121</w:t>
      </w:r>
    </w:p>
  </w:footnote>
  <w:footnote w:id="210">
    <w:p w14:paraId="73291C2D" w14:textId="77777777" w:rsidR="003B207D" w:rsidRPr="006A43BB" w:rsidRDefault="00C96635" w:rsidP="00D00735">
      <w:pPr>
        <w:pStyle w:val="FootnoteText"/>
        <w:rPr>
          <w:sz w:val="18"/>
          <w:szCs w:val="18"/>
          <w:lang w:val="nl-NL"/>
        </w:rPr>
      </w:pPr>
      <w:r w:rsidRPr="006A43BB">
        <w:rPr>
          <w:rStyle w:val="None"/>
          <w:sz w:val="18"/>
          <w:szCs w:val="18"/>
          <w:shd w:val="clear" w:color="auto" w:fill="FFFFFF"/>
          <w:vertAlign w:val="superscript"/>
        </w:rPr>
        <w:footnoteRef/>
      </w:r>
      <w:r w:rsidRPr="006A43BB">
        <w:rPr>
          <w:rStyle w:val="None"/>
          <w:sz w:val="18"/>
          <w:szCs w:val="18"/>
          <w:lang w:val="nl-NL"/>
        </w:rPr>
        <w:t xml:space="preserve"> Doe v. </w:t>
      </w:r>
      <w:proofErr w:type="spellStart"/>
      <w:r w:rsidRPr="006A43BB">
        <w:rPr>
          <w:rStyle w:val="None"/>
          <w:sz w:val="18"/>
          <w:szCs w:val="18"/>
          <w:lang w:val="nl-NL"/>
        </w:rPr>
        <w:t>Unocal</w:t>
      </w:r>
      <w:proofErr w:type="spellEnd"/>
      <w:r w:rsidRPr="006A43BB">
        <w:rPr>
          <w:rStyle w:val="None"/>
          <w:sz w:val="18"/>
          <w:szCs w:val="18"/>
          <w:lang w:val="nl-NL"/>
        </w:rPr>
        <w:t xml:space="preserve"> [2002] 395 F.3d 932</w:t>
      </w:r>
    </w:p>
  </w:footnote>
  <w:footnote w:id="211">
    <w:p w14:paraId="73291C2E" w14:textId="2D1C6FD5" w:rsidR="003B207D" w:rsidRPr="006A43BB" w:rsidRDefault="00C96635" w:rsidP="00D00735">
      <w:pPr>
        <w:pStyle w:val="FootnoteText"/>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Zerk</w:t>
      </w:r>
      <w:proofErr w:type="spellEnd"/>
      <w:r w:rsidR="00D85048" w:rsidRPr="006A43BB">
        <w:rPr>
          <w:rStyle w:val="NoneA"/>
          <w:rFonts w:eastAsia="Arial Unicode MS" w:cs="Arial Unicode MS"/>
          <w:sz w:val="18"/>
          <w:szCs w:val="18"/>
        </w:rPr>
        <w:t xml:space="preserve"> (n 65)</w:t>
      </w:r>
      <w:r w:rsidRPr="006A43BB">
        <w:rPr>
          <w:rStyle w:val="NoneA"/>
          <w:rFonts w:eastAsia="Arial Unicode MS" w:cs="Arial Unicode MS"/>
          <w:sz w:val="18"/>
          <w:szCs w:val="18"/>
        </w:rPr>
        <w:t xml:space="preserve"> 112 - 113</w:t>
      </w:r>
    </w:p>
  </w:footnote>
  <w:footnote w:id="212">
    <w:p w14:paraId="73291C2F" w14:textId="77777777" w:rsidR="003B207D" w:rsidRPr="006A43BB" w:rsidRDefault="00C96635" w:rsidP="00D00735">
      <w:pPr>
        <w:pStyle w:val="FootnoteText"/>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Antonio Cassese, International Law (Oxford University Press, 2005)</w:t>
      </w:r>
    </w:p>
  </w:footnote>
  <w:footnote w:id="213">
    <w:p w14:paraId="73291C30" w14:textId="55A9DE62" w:rsidR="003B207D" w:rsidRDefault="00C96635" w:rsidP="00D00735">
      <w:pPr>
        <w:pStyle w:val="FootnoteText"/>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Zerk</w:t>
      </w:r>
      <w:proofErr w:type="spellEnd"/>
      <w:r w:rsidR="00CC22C6" w:rsidRPr="006A43BB">
        <w:rPr>
          <w:rStyle w:val="NoneA"/>
          <w:rFonts w:eastAsia="Arial Unicode MS" w:cs="Arial Unicode MS"/>
          <w:sz w:val="18"/>
          <w:szCs w:val="18"/>
        </w:rPr>
        <w:t xml:space="preserve"> (n 65)</w:t>
      </w:r>
      <w:r w:rsidRPr="006A43BB">
        <w:rPr>
          <w:rStyle w:val="NoneA"/>
          <w:rFonts w:eastAsia="Arial Unicode MS" w:cs="Arial Unicode MS"/>
          <w:sz w:val="18"/>
          <w:szCs w:val="18"/>
        </w:rPr>
        <w:t xml:space="preserve"> 132</w:t>
      </w:r>
      <w:r>
        <w:rPr>
          <w:rStyle w:val="NoneA"/>
          <w:rFonts w:eastAsia="Arial Unicode MS" w:cs="Arial Unicode MS"/>
        </w:rPr>
        <w:t xml:space="preserve"> </w:t>
      </w:r>
    </w:p>
  </w:footnote>
  <w:footnote w:id="214">
    <w:p w14:paraId="73291C31"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OHCRC, ‘Report of the Special Representative of the Secretary-General on the Issue of human rights and  transnational corporations and other business enterprises’ 2007 UN Doc A/HRC/4/35/</w:t>
      </w:r>
    </w:p>
  </w:footnote>
  <w:footnote w:id="215">
    <w:p w14:paraId="73291C32" w14:textId="77777777" w:rsidR="003B207D" w:rsidRPr="006A43BB" w:rsidRDefault="00C96635" w:rsidP="00D00735">
      <w:pPr>
        <w:pStyle w:val="FootnoteText"/>
        <w:jc w:val="both"/>
        <w:rPr>
          <w:sz w:val="18"/>
          <w:szCs w:val="18"/>
        </w:rPr>
      </w:pPr>
      <w:r w:rsidRPr="006A43BB">
        <w:rPr>
          <w:rStyle w:val="None"/>
          <w:i/>
          <w:iCs/>
          <w:sz w:val="18"/>
          <w:szCs w:val="18"/>
          <w:shd w:val="clear" w:color="auto" w:fill="FFFFFF"/>
          <w:vertAlign w:val="superscript"/>
        </w:rPr>
        <w:footnoteRef/>
      </w:r>
      <w:r w:rsidRPr="006A43BB">
        <w:rPr>
          <w:rStyle w:val="NoneA"/>
          <w:rFonts w:eastAsia="Arial Unicode MS" w:cs="Arial Unicode MS"/>
          <w:sz w:val="18"/>
          <w:szCs w:val="18"/>
        </w:rPr>
        <w:t xml:space="preserve"> UNHRC, ‘General Comment No.31: The nature of the general legal obligation imposed on States Parties to the covenant’ 2004, UN Doc CCPR/C/21/Rev.1/Add.13</w:t>
      </w:r>
    </w:p>
  </w:footnote>
  <w:footnote w:id="216">
    <w:p w14:paraId="73291C33"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UN Committee on the Rights of Persons with Disabilities ‘Views Adopted by the Committee at its 9th Session  15 to 19 April 2013’ 2013, UN Doc CRPD/C/9/D/1/2010</w:t>
      </w:r>
    </w:p>
  </w:footnote>
  <w:footnote w:id="217">
    <w:p w14:paraId="73291C34"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UN Committee on the Rights of the Child, ‘Concluding Observations, Australia’, 2012, CRC/C/AUS/CO/4, para 27 and 28(a).</w:t>
      </w:r>
    </w:p>
  </w:footnote>
  <w:footnote w:id="218">
    <w:p w14:paraId="73291C35" w14:textId="58AB48DC" w:rsidR="003B207D" w:rsidRDefault="00C96635" w:rsidP="00D00735">
      <w:pPr>
        <w:pStyle w:val="FootnoteText"/>
        <w:jc w:val="both"/>
      </w:pPr>
      <w:r w:rsidRPr="006A43BB">
        <w:rPr>
          <w:rStyle w:val="None"/>
          <w:sz w:val="18"/>
          <w:szCs w:val="18"/>
          <w:shd w:val="clear" w:color="auto" w:fill="FFFFFF"/>
          <w:vertAlign w:val="superscript"/>
        </w:rPr>
        <w:footnoteRef/>
      </w:r>
      <w:r w:rsidRPr="006A43BB">
        <w:rPr>
          <w:rStyle w:val="NoneA"/>
          <w:sz w:val="18"/>
          <w:szCs w:val="18"/>
        </w:rPr>
        <w:t xml:space="preserve"> </w:t>
      </w:r>
      <w:r w:rsidR="00F602E2" w:rsidRPr="00F602E2">
        <w:rPr>
          <w:rStyle w:val="NoneA"/>
          <w:sz w:val="18"/>
          <w:szCs w:val="18"/>
        </w:rPr>
        <w:t>UN Committee on the Rights of the Child</w:t>
      </w:r>
      <w:r w:rsidR="00F602E2" w:rsidRPr="00F602E2" w:rsidDel="00F602E2">
        <w:rPr>
          <w:rStyle w:val="NoneA"/>
          <w:sz w:val="18"/>
          <w:szCs w:val="18"/>
        </w:rPr>
        <w:t xml:space="preserve"> </w:t>
      </w:r>
      <w:r w:rsidR="00F602E2">
        <w:rPr>
          <w:rStyle w:val="NoneA"/>
          <w:sz w:val="18"/>
          <w:szCs w:val="18"/>
        </w:rPr>
        <w:t>(n 222).</w:t>
      </w:r>
    </w:p>
  </w:footnote>
  <w:footnote w:id="219">
    <w:p w14:paraId="73291C36" w14:textId="77777777" w:rsidR="003B207D" w:rsidRPr="006A43BB" w:rsidRDefault="00C96635" w:rsidP="00D00735">
      <w:pPr>
        <w:pStyle w:val="FootnoteText"/>
        <w:rPr>
          <w:sz w:val="18"/>
          <w:szCs w:val="18"/>
        </w:rPr>
      </w:pPr>
      <w:r w:rsidRPr="006A43BB">
        <w:rPr>
          <w:rStyle w:val="None"/>
          <w:sz w:val="18"/>
          <w:szCs w:val="18"/>
          <w:shd w:val="clear" w:color="auto" w:fill="FFFFFF"/>
          <w:vertAlign w:val="superscript"/>
        </w:rPr>
        <w:footnoteRef/>
      </w:r>
      <w:r w:rsidRPr="006A43BB">
        <w:rPr>
          <w:rStyle w:val="NoneA"/>
          <w:sz w:val="18"/>
          <w:szCs w:val="18"/>
        </w:rPr>
        <w:t xml:space="preserve"> Olivier De </w:t>
      </w:r>
      <w:proofErr w:type="spellStart"/>
      <w:r w:rsidRPr="006A43BB">
        <w:rPr>
          <w:rStyle w:val="NoneA"/>
          <w:sz w:val="18"/>
          <w:szCs w:val="18"/>
        </w:rPr>
        <w:t>Schutter</w:t>
      </w:r>
      <w:proofErr w:type="spellEnd"/>
      <w:r w:rsidRPr="006A43BB">
        <w:rPr>
          <w:rStyle w:val="NoneA"/>
          <w:sz w:val="18"/>
          <w:szCs w:val="18"/>
        </w:rPr>
        <w:t>, International Human Rights Law: Cases, Materials, Commentary (Cambridge University Press 2010).</w:t>
      </w:r>
    </w:p>
  </w:footnote>
  <w:footnote w:id="220">
    <w:p w14:paraId="73291C37" w14:textId="77777777" w:rsidR="003B207D" w:rsidRPr="006A43BB" w:rsidRDefault="00C96635" w:rsidP="00D00735">
      <w:pPr>
        <w:pStyle w:val="FootnoteText"/>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Ibid.</w:t>
      </w:r>
    </w:p>
  </w:footnote>
  <w:footnote w:id="221">
    <w:p w14:paraId="73291C38" w14:textId="77777777" w:rsidR="003B207D" w:rsidRPr="006A43BB" w:rsidRDefault="00C96635" w:rsidP="00D00735">
      <w:pPr>
        <w:pStyle w:val="FootnoteText"/>
        <w:rPr>
          <w:sz w:val="18"/>
          <w:szCs w:val="18"/>
        </w:rPr>
      </w:pPr>
      <w:r w:rsidRPr="006A43BB">
        <w:rPr>
          <w:rStyle w:val="None"/>
          <w:sz w:val="18"/>
          <w:szCs w:val="18"/>
          <w:shd w:val="clear" w:color="auto" w:fill="FFFFFF"/>
          <w:vertAlign w:val="superscript"/>
        </w:rPr>
        <w:footnoteRef/>
      </w:r>
      <w:r w:rsidRPr="006A43BB">
        <w:rPr>
          <w:rStyle w:val="NoneA"/>
          <w:sz w:val="18"/>
          <w:szCs w:val="18"/>
        </w:rPr>
        <w:t xml:space="preserve"> </w:t>
      </w:r>
      <w:proofErr w:type="spellStart"/>
      <w:r w:rsidRPr="006A43BB">
        <w:rPr>
          <w:rStyle w:val="NoneA"/>
          <w:sz w:val="18"/>
          <w:szCs w:val="18"/>
        </w:rPr>
        <w:t>Vassils</w:t>
      </w:r>
      <w:proofErr w:type="spellEnd"/>
      <w:r w:rsidRPr="006A43BB">
        <w:rPr>
          <w:rStyle w:val="NoneA"/>
          <w:sz w:val="18"/>
          <w:szCs w:val="18"/>
        </w:rPr>
        <w:t xml:space="preserve"> P. </w:t>
      </w:r>
      <w:proofErr w:type="spellStart"/>
      <w:r w:rsidRPr="006A43BB">
        <w:rPr>
          <w:rStyle w:val="NoneA"/>
          <w:sz w:val="18"/>
          <w:szCs w:val="18"/>
        </w:rPr>
        <w:t>Tzevelekos</w:t>
      </w:r>
      <w:proofErr w:type="spellEnd"/>
      <w:r w:rsidRPr="006A43BB">
        <w:rPr>
          <w:rStyle w:val="NoneA"/>
          <w:sz w:val="18"/>
          <w:szCs w:val="18"/>
        </w:rPr>
        <w:t xml:space="preserve">, ‘In Search of Alternative Solutions: Can the State of Origin be Held Internationally </w:t>
      </w:r>
    </w:p>
    <w:p w14:paraId="73291C39" w14:textId="77777777" w:rsidR="003B207D" w:rsidRPr="006A43BB" w:rsidRDefault="00C96635" w:rsidP="00D00735">
      <w:pPr>
        <w:pStyle w:val="FootnoteText"/>
        <w:rPr>
          <w:sz w:val="18"/>
          <w:szCs w:val="18"/>
        </w:rPr>
      </w:pPr>
      <w:r w:rsidRPr="006A43BB">
        <w:rPr>
          <w:rStyle w:val="NoneA"/>
          <w:sz w:val="18"/>
          <w:szCs w:val="18"/>
        </w:rPr>
        <w:t xml:space="preserve">Responsible for Investors Human Rights Abuses that are not Attributable to it?’ (2010) 35 Brook Journal of </w:t>
      </w:r>
    </w:p>
    <w:p w14:paraId="73291C3A" w14:textId="77777777" w:rsidR="003B207D" w:rsidRPr="006A43BB" w:rsidRDefault="00C96635" w:rsidP="00D00735">
      <w:pPr>
        <w:pStyle w:val="FootnoteText"/>
        <w:rPr>
          <w:sz w:val="18"/>
          <w:szCs w:val="18"/>
        </w:rPr>
      </w:pPr>
      <w:r w:rsidRPr="006A43BB">
        <w:rPr>
          <w:rStyle w:val="NoneA"/>
          <w:sz w:val="18"/>
          <w:szCs w:val="18"/>
        </w:rPr>
        <w:t>International Law 155</w:t>
      </w:r>
    </w:p>
  </w:footnote>
  <w:footnote w:id="222">
    <w:p w14:paraId="73291C3B" w14:textId="77777777" w:rsidR="003B207D" w:rsidRPr="006A43BB" w:rsidRDefault="00C96635" w:rsidP="00D00735">
      <w:pPr>
        <w:pStyle w:val="FootnoteText"/>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Ibid 181.</w:t>
      </w:r>
    </w:p>
  </w:footnote>
  <w:footnote w:id="223">
    <w:p w14:paraId="73291C3C" w14:textId="77777777" w:rsidR="003B207D" w:rsidRPr="006A43BB" w:rsidRDefault="00C96635" w:rsidP="00D00735">
      <w:pPr>
        <w:pStyle w:val="FootnoteText"/>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Ilascu</w:t>
      </w:r>
      <w:proofErr w:type="spellEnd"/>
      <w:r w:rsidRPr="006A43BB">
        <w:rPr>
          <w:rStyle w:val="NoneA"/>
          <w:rFonts w:eastAsia="Arial Unicode MS" w:cs="Arial Unicode MS"/>
          <w:sz w:val="18"/>
          <w:szCs w:val="18"/>
        </w:rPr>
        <w:t xml:space="preserve"> and others v Moldova and Russia [8 July 2000] Appl No. 4878/99</w:t>
      </w:r>
    </w:p>
  </w:footnote>
  <w:footnote w:id="224">
    <w:p w14:paraId="73291C3D" w14:textId="77777777" w:rsidR="003B207D" w:rsidRPr="006A43BB" w:rsidRDefault="00C96635" w:rsidP="00D00735">
      <w:pPr>
        <w:pStyle w:val="FootnoteText"/>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Velásquez</w:t>
      </w:r>
      <w:proofErr w:type="spellEnd"/>
      <w:r w:rsidRPr="006A43BB">
        <w:rPr>
          <w:rStyle w:val="NoneA"/>
          <w:rFonts w:eastAsia="Arial Unicode MS" w:cs="Arial Unicode MS"/>
          <w:sz w:val="18"/>
          <w:szCs w:val="18"/>
        </w:rPr>
        <w:t xml:space="preserve"> Rodríguez Case [29 July 1988] Inter-</w:t>
      </w:r>
      <w:proofErr w:type="spellStart"/>
      <w:r w:rsidRPr="006A43BB">
        <w:rPr>
          <w:rStyle w:val="NoneA"/>
          <w:rFonts w:eastAsia="Arial Unicode MS" w:cs="Arial Unicode MS"/>
          <w:sz w:val="18"/>
          <w:szCs w:val="18"/>
        </w:rPr>
        <w:t>Am.Ct.H.R</w:t>
      </w:r>
      <w:proofErr w:type="spellEnd"/>
      <w:r w:rsidRPr="006A43BB">
        <w:rPr>
          <w:rStyle w:val="NoneA"/>
          <w:rFonts w:eastAsia="Arial Unicode MS" w:cs="Arial Unicode MS"/>
          <w:sz w:val="18"/>
          <w:szCs w:val="18"/>
        </w:rPr>
        <w:t>. (Ser. C) No. 4</w:t>
      </w:r>
    </w:p>
  </w:footnote>
  <w:footnote w:id="225">
    <w:p w14:paraId="73291C3E" w14:textId="77777777" w:rsidR="003B207D" w:rsidRDefault="00C96635" w:rsidP="00D00735">
      <w:pPr>
        <w:pStyle w:val="FootnoteText"/>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Osman v United Kingdom [1998] 29 EHRR 245</w:t>
      </w:r>
    </w:p>
  </w:footnote>
  <w:footnote w:id="226">
    <w:p w14:paraId="73291C3F"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Robert McCorquodale and Penelope Simmons, ‘Responsibility beyond Borders: State Responsibility for </w:t>
      </w:r>
    </w:p>
    <w:p w14:paraId="73291C40" w14:textId="77777777" w:rsidR="003B207D" w:rsidRPr="006A43BB" w:rsidRDefault="00C96635" w:rsidP="00D00735">
      <w:pPr>
        <w:pStyle w:val="FootnoteText"/>
        <w:jc w:val="both"/>
        <w:rPr>
          <w:sz w:val="18"/>
          <w:szCs w:val="18"/>
        </w:rPr>
      </w:pPr>
      <w:r w:rsidRPr="006A43BB">
        <w:rPr>
          <w:rStyle w:val="NoneA"/>
          <w:rFonts w:eastAsia="Arial Unicode MS" w:cs="Arial Unicode MS"/>
          <w:sz w:val="18"/>
          <w:szCs w:val="18"/>
        </w:rPr>
        <w:t>Extraterritorial Violations by Corporations of International Human Rights Law’ (2007) 70 Modern Law Review</w:t>
      </w:r>
    </w:p>
  </w:footnote>
  <w:footnote w:id="227">
    <w:p w14:paraId="73291C41"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w:t>
      </w:r>
      <w:proofErr w:type="spellStart"/>
      <w:r w:rsidRPr="006A43BB">
        <w:rPr>
          <w:rStyle w:val="NoneA"/>
          <w:rFonts w:eastAsia="Arial Unicode MS" w:cs="Arial Unicode MS"/>
          <w:sz w:val="18"/>
          <w:szCs w:val="18"/>
        </w:rPr>
        <w:t>Loizidou</w:t>
      </w:r>
      <w:proofErr w:type="spellEnd"/>
      <w:r w:rsidRPr="006A43BB">
        <w:rPr>
          <w:rStyle w:val="NoneA"/>
          <w:rFonts w:eastAsia="Arial Unicode MS" w:cs="Arial Unicode MS"/>
          <w:sz w:val="18"/>
          <w:szCs w:val="18"/>
        </w:rPr>
        <w:t xml:space="preserve"> v Turkey [1995] ECtHR 15318/89</w:t>
      </w:r>
    </w:p>
  </w:footnote>
  <w:footnote w:id="228">
    <w:p w14:paraId="73291C42"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Marko Milanovic, Extraterritorial Application of Human Rights Treaties (Oxford University Press, 2011)</w:t>
      </w:r>
    </w:p>
  </w:footnote>
  <w:footnote w:id="229">
    <w:p w14:paraId="73291C43" w14:textId="77777777" w:rsidR="003B207D" w:rsidRDefault="00C96635" w:rsidP="00D00735">
      <w:pPr>
        <w:pStyle w:val="FootnoteText"/>
        <w:jc w:val="both"/>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Sarah Joseph, Corporations And Transnational Human Rights Litigation (Hart Publishing, 2004) 12.</w:t>
      </w:r>
    </w:p>
  </w:footnote>
  <w:footnote w:id="230">
    <w:p w14:paraId="73291C44"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Jens Martens and Karolin Seitz, The Struggle for a UN Treaty: Towards global regulation on human rights and business (Global Policy Forum, 2016)</w:t>
      </w:r>
    </w:p>
  </w:footnote>
  <w:footnote w:id="231">
    <w:p w14:paraId="73291C45"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The 24th session of the Human Rights Council, Statement on behalf of a Group of Countries (1 September,</w:t>
      </w:r>
    </w:p>
    <w:p w14:paraId="73291C46" w14:textId="77777777" w:rsidR="003B207D" w:rsidRPr="006A43BB" w:rsidRDefault="00C96635" w:rsidP="00D00735">
      <w:pPr>
        <w:pStyle w:val="FootnoteText"/>
        <w:jc w:val="both"/>
        <w:rPr>
          <w:sz w:val="18"/>
          <w:szCs w:val="18"/>
        </w:rPr>
      </w:pPr>
      <w:r w:rsidRPr="006A43BB">
        <w:rPr>
          <w:rStyle w:val="NoneA"/>
          <w:rFonts w:eastAsia="Arial Unicode MS" w:cs="Arial Unicode MS"/>
          <w:sz w:val="18"/>
          <w:szCs w:val="18"/>
        </w:rPr>
        <w:t>2013) &lt;https://www.business-humanrights.org/sites/default/files/media/documents/statement-unhrc-legallybinding.pdf&gt; accessed  16 May 2021</w:t>
      </w:r>
    </w:p>
  </w:footnote>
  <w:footnote w:id="232">
    <w:p w14:paraId="73291C47" w14:textId="77777777" w:rsidR="003B207D" w:rsidRPr="006A43BB" w:rsidRDefault="00C96635" w:rsidP="00D00735">
      <w:pPr>
        <w:pStyle w:val="FootnoteText"/>
        <w:jc w:val="both"/>
        <w:rPr>
          <w:sz w:val="18"/>
          <w:szCs w:val="18"/>
        </w:rPr>
      </w:pPr>
      <w:r w:rsidRPr="006A43BB">
        <w:rPr>
          <w:rStyle w:val="None"/>
          <w:i/>
          <w:iCs/>
          <w:sz w:val="18"/>
          <w:szCs w:val="18"/>
          <w:shd w:val="clear" w:color="auto" w:fill="FFFFFF"/>
          <w:vertAlign w:val="superscript"/>
        </w:rPr>
        <w:footnoteRef/>
      </w:r>
      <w:r w:rsidRPr="006A43BB">
        <w:rPr>
          <w:rStyle w:val="NoneA"/>
          <w:rFonts w:eastAsia="Arial Unicode MS" w:cs="Arial Unicode MS"/>
          <w:sz w:val="18"/>
          <w:szCs w:val="18"/>
        </w:rPr>
        <w:t xml:space="preserve"> Ibid.</w:t>
      </w:r>
    </w:p>
  </w:footnote>
  <w:footnote w:id="233">
    <w:p w14:paraId="73291C48"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UNHRC, ‘Elaboration of an international legally binding instrument on transnational corporations and other business enterprises with respect to human rights’ 14 July 2014 UN Doc A/HRC/RES/26/9.</w:t>
      </w:r>
    </w:p>
  </w:footnote>
  <w:footnote w:id="234">
    <w:p w14:paraId="73291C49" w14:textId="77777777" w:rsidR="003B207D" w:rsidRDefault="00C96635" w:rsidP="00D00735">
      <w:pPr>
        <w:pStyle w:val="FootnoteText"/>
        <w:jc w:val="both"/>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'Experts Reflect On The Zero Draft Of The Legally Binding Treaty On Business And Human Rights - </w:t>
      </w:r>
      <w:bookmarkStart w:id="19" w:name="_Hlk73266942"/>
      <w:r w:rsidRPr="006A43BB">
        <w:rPr>
          <w:rStyle w:val="NoneA"/>
          <w:rFonts w:eastAsia="Arial Unicode MS" w:cs="Arial Unicode MS"/>
          <w:sz w:val="18"/>
          <w:szCs w:val="18"/>
        </w:rPr>
        <w:t>Business &amp; Human Rights Resource Centre</w:t>
      </w:r>
      <w:bookmarkEnd w:id="19"/>
      <w:r w:rsidRPr="006A43BB">
        <w:rPr>
          <w:rStyle w:val="NoneA"/>
          <w:rFonts w:eastAsia="Arial Unicode MS" w:cs="Arial Unicode MS"/>
          <w:sz w:val="18"/>
          <w:szCs w:val="18"/>
        </w:rPr>
        <w:t>' (Business &amp; Human Rights Resource Centre, 2021) &lt;https://www.business-humanrights.org/en/latest-news/experts-reflect-on-the-zero-draft-of-the-legally-binding-treaty-on-business-and-human-rights/&gt; accessed 16 May 2021</w:t>
      </w:r>
    </w:p>
  </w:footnote>
  <w:footnote w:id="235">
    <w:p w14:paraId="73291C4A" w14:textId="3E16F890"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w:t>
      </w:r>
      <w:r w:rsidR="00B3520E" w:rsidRPr="006A43BB">
        <w:rPr>
          <w:rStyle w:val="NoneA"/>
          <w:rFonts w:eastAsia="Arial Unicode MS" w:cs="Arial Unicode MS"/>
          <w:sz w:val="18"/>
          <w:szCs w:val="18"/>
        </w:rPr>
        <w:t>Business &amp; Human Rights Resource Centre</w:t>
      </w:r>
      <w:r w:rsidR="00B3520E" w:rsidRPr="006A43BB" w:rsidDel="00B3520E">
        <w:rPr>
          <w:rStyle w:val="NoneA"/>
          <w:rFonts w:eastAsia="Arial Unicode MS" w:cs="Arial Unicode MS"/>
          <w:sz w:val="18"/>
          <w:szCs w:val="18"/>
        </w:rPr>
        <w:t xml:space="preserve"> </w:t>
      </w:r>
      <w:r w:rsidR="00B3520E" w:rsidRPr="006A43BB">
        <w:rPr>
          <w:rStyle w:val="NoneA"/>
          <w:rFonts w:eastAsia="Arial Unicode MS" w:cs="Arial Unicode MS"/>
          <w:sz w:val="18"/>
          <w:szCs w:val="18"/>
        </w:rPr>
        <w:t>(n 239).</w:t>
      </w:r>
    </w:p>
  </w:footnote>
  <w:footnote w:id="236">
    <w:p w14:paraId="73291C4B" w14:textId="77777777" w:rsidR="003B207D" w:rsidRPr="006A43BB" w:rsidRDefault="00C96635" w:rsidP="00D00735">
      <w:pPr>
        <w:pStyle w:val="FootnoteText"/>
        <w:jc w:val="both"/>
        <w:rPr>
          <w:sz w:val="18"/>
          <w:szCs w:val="18"/>
        </w:rPr>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The United Nations Declaration on the Rights of Indigenous Peoples 2007. </w:t>
      </w:r>
    </w:p>
  </w:footnote>
  <w:footnote w:id="237">
    <w:p w14:paraId="73291C4C" w14:textId="77777777" w:rsidR="003B207D" w:rsidRDefault="00C96635" w:rsidP="00D00735">
      <w:pPr>
        <w:pStyle w:val="FootnoteText"/>
        <w:jc w:val="both"/>
      </w:pPr>
      <w:r w:rsidRPr="006A43BB">
        <w:rPr>
          <w:rStyle w:val="None"/>
          <w:sz w:val="18"/>
          <w:szCs w:val="18"/>
          <w:shd w:val="clear" w:color="auto" w:fill="FFFFFF"/>
          <w:vertAlign w:val="superscript"/>
        </w:rPr>
        <w:footnoteRef/>
      </w:r>
      <w:r w:rsidRPr="006A43BB">
        <w:rPr>
          <w:rStyle w:val="NoneA"/>
          <w:rFonts w:eastAsia="Arial Unicode MS" w:cs="Arial Unicode MS"/>
          <w:sz w:val="18"/>
          <w:szCs w:val="18"/>
        </w:rPr>
        <w:t xml:space="preserve"> UNHRC, ‘Report on the fourth session of the open-ended intergovernmental working group on transnational corporations and other business enterprises with respect to human rights’ 2 January 2019, UN Doc A/HRC/40/48</w:t>
      </w:r>
    </w:p>
  </w:footnote>
  <w:footnote w:id="238">
    <w:p w14:paraId="73291C4D" w14:textId="124A8196" w:rsidR="003B207D" w:rsidRPr="006A43BB" w:rsidRDefault="00C96635" w:rsidP="00D00735">
      <w:pPr>
        <w:pStyle w:val="FootnoteText"/>
        <w:rPr>
          <w:lang w:val="en-IE"/>
        </w:rPr>
      </w:pPr>
      <w:r>
        <w:rPr>
          <w:rStyle w:val="None"/>
          <w:shd w:val="clear" w:color="auto" w:fill="FFFFFF"/>
          <w:vertAlign w:val="superscript"/>
          <w14:textOutline w14:w="12700" w14:cap="flat" w14:cmpd="sng" w14:algn="ctr">
            <w14:noFill/>
            <w14:prstDash w14:val="solid"/>
            <w14:miter w14:lim="400000"/>
          </w14:textOutline>
        </w:rPr>
        <w:footnoteRef/>
      </w:r>
      <w:r w:rsidRPr="00175833">
        <w:rPr>
          <w:rStyle w:val="None"/>
          <w:lang w:val="en-IE"/>
        </w:rPr>
        <w:t xml:space="preserve"> De </w:t>
      </w:r>
      <w:proofErr w:type="spellStart"/>
      <w:r w:rsidRPr="00175833">
        <w:rPr>
          <w:rStyle w:val="None"/>
          <w:lang w:val="en-IE"/>
        </w:rPr>
        <w:t>Schutter</w:t>
      </w:r>
      <w:proofErr w:type="spellEnd"/>
      <w:r w:rsidRPr="00175833">
        <w:rPr>
          <w:rStyle w:val="None"/>
          <w:lang w:val="en-IE"/>
        </w:rPr>
        <w:t xml:space="preserve"> </w:t>
      </w:r>
      <w:r w:rsidR="00BE3C51" w:rsidRPr="00175833">
        <w:rPr>
          <w:rStyle w:val="None"/>
          <w:lang w:val="en-IE"/>
        </w:rPr>
        <w:t>(n 224)</w:t>
      </w:r>
      <w:r w:rsidRPr="00175833">
        <w:rPr>
          <w:rStyle w:val="None"/>
          <w:lang w:val="en-IE"/>
        </w:rPr>
        <w:t xml:space="preserve"> 245.</w:t>
      </w:r>
    </w:p>
  </w:footnote>
  <w:footnote w:id="239">
    <w:p w14:paraId="73291C4E" w14:textId="4F59FFBA" w:rsidR="003B207D" w:rsidRPr="006A43BB" w:rsidRDefault="00C96635" w:rsidP="00D00735">
      <w:pPr>
        <w:pStyle w:val="FootnoteText"/>
        <w:rPr>
          <w:lang w:val="en-IE"/>
        </w:rPr>
      </w:pPr>
      <w:r>
        <w:rPr>
          <w:rStyle w:val="None"/>
          <w:sz w:val="24"/>
          <w:szCs w:val="24"/>
          <w:shd w:val="clear" w:color="auto" w:fill="FFFFFF"/>
          <w:vertAlign w:val="superscript"/>
          <w:lang w:val="nl-NL"/>
        </w:rPr>
        <w:footnoteRef/>
      </w:r>
      <w:r w:rsidRPr="006A43BB">
        <w:rPr>
          <w:rStyle w:val="None"/>
          <w:lang w:val="en-IE"/>
        </w:rPr>
        <w:t xml:space="preserve"> </w:t>
      </w:r>
      <w:r w:rsidR="005A59E7" w:rsidRPr="006A43BB">
        <w:rPr>
          <w:rStyle w:val="None"/>
          <w:lang w:val="en-IE"/>
        </w:rPr>
        <w:t>UN CHR ‘Human Rights and Transnational Corporations and Other Business Enterprises’</w:t>
      </w:r>
      <w:r w:rsidR="005A59E7">
        <w:rPr>
          <w:rStyle w:val="None"/>
          <w:lang w:val="en-IE"/>
        </w:rPr>
        <w:t xml:space="preserve"> (n 79).</w:t>
      </w:r>
    </w:p>
  </w:footnote>
  <w:footnote w:id="240">
    <w:p w14:paraId="73291C4F" w14:textId="4AB4712A" w:rsidR="003B207D" w:rsidRPr="006A43BB" w:rsidRDefault="00C96635" w:rsidP="00D00735">
      <w:pPr>
        <w:pStyle w:val="FootnoteText"/>
        <w:rPr>
          <w:lang w:val="en-IE"/>
        </w:rPr>
      </w:pPr>
      <w:r>
        <w:rPr>
          <w:rStyle w:val="None"/>
          <w:sz w:val="24"/>
          <w:szCs w:val="24"/>
          <w:shd w:val="clear" w:color="auto" w:fill="FFFFFF"/>
          <w:vertAlign w:val="superscript"/>
          <w:lang w:val="nl-NL"/>
        </w:rPr>
        <w:footnoteRef/>
      </w:r>
      <w:r w:rsidRPr="006A43BB">
        <w:rPr>
          <w:rStyle w:val="None"/>
          <w:lang w:val="en-IE"/>
        </w:rPr>
        <w:t xml:space="preserve"> </w:t>
      </w:r>
      <w:proofErr w:type="spellStart"/>
      <w:r w:rsidR="005A59E7" w:rsidRPr="006A43BB">
        <w:rPr>
          <w:rStyle w:val="None"/>
          <w:lang w:val="en-IE"/>
        </w:rPr>
        <w:t>Kiobel</w:t>
      </w:r>
      <w:proofErr w:type="spellEnd"/>
      <w:r w:rsidR="005A59E7" w:rsidRPr="006A43BB">
        <w:rPr>
          <w:rStyle w:val="None"/>
          <w:lang w:val="en-IE"/>
        </w:rPr>
        <w:t xml:space="preserve"> v Royal Dutch Petroleum Co and Shell Transport and Trading Company Plc</w:t>
      </w:r>
      <w:r w:rsidR="005A59E7" w:rsidRPr="006A43BB" w:rsidDel="005A59E7">
        <w:rPr>
          <w:rStyle w:val="None"/>
          <w:lang w:val="en-IE"/>
        </w:rPr>
        <w:t xml:space="preserve"> </w:t>
      </w:r>
      <w:r w:rsidR="005A59E7">
        <w:rPr>
          <w:rStyle w:val="None"/>
          <w:lang w:val="en-IE"/>
        </w:rPr>
        <w:t>(n 69).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F6B14"/>
    <w:multiLevelType w:val="hybridMultilevel"/>
    <w:tmpl w:val="380C7516"/>
    <w:numStyleLink w:val="ImportedStyle31"/>
  </w:abstractNum>
  <w:abstractNum w:abstractNumId="1" w15:restartNumberingAfterBreak="0">
    <w:nsid w:val="0A26080A"/>
    <w:multiLevelType w:val="multilevel"/>
    <w:tmpl w:val="2B7471D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A8002C9"/>
    <w:multiLevelType w:val="hybridMultilevel"/>
    <w:tmpl w:val="E69C8608"/>
    <w:numStyleLink w:val="ImportedStyle1"/>
  </w:abstractNum>
  <w:abstractNum w:abstractNumId="3" w15:restartNumberingAfterBreak="0">
    <w:nsid w:val="16BA2297"/>
    <w:multiLevelType w:val="hybridMultilevel"/>
    <w:tmpl w:val="8BF83BFE"/>
    <w:numStyleLink w:val="ImportedStyle20"/>
  </w:abstractNum>
  <w:abstractNum w:abstractNumId="4" w15:restartNumberingAfterBreak="0">
    <w:nsid w:val="20232369"/>
    <w:multiLevelType w:val="multilevel"/>
    <w:tmpl w:val="39D2B41C"/>
    <w:styleLink w:val="ImportedStyle11"/>
    <w:lvl w:ilvl="0">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ind w:left="72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ind w:left="72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4">
      <w:start w:val="1"/>
      <w:numFmt w:val="decimal"/>
      <w:lvlText w:val="%2.%3.%4.%5."/>
      <w:lvlJc w:val="left"/>
      <w:pPr>
        <w:ind w:left="108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5">
      <w:start w:val="1"/>
      <w:numFmt w:val="decimal"/>
      <w:lvlText w:val="%2.%3.%4.%5.%6."/>
      <w:lvlJc w:val="left"/>
      <w:pPr>
        <w:ind w:left="108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6">
      <w:start w:val="1"/>
      <w:numFmt w:val="decimal"/>
      <w:lvlText w:val="%2.%3.%4.%5.%6.%7."/>
      <w:lvlJc w:val="left"/>
      <w:pPr>
        <w:ind w:left="1440" w:hanging="1440"/>
      </w:pPr>
      <w:rPr>
        <w:rFonts w:hAnsi="Arial Unicode MS"/>
        <w:b/>
        <w:bCs/>
        <w:caps w:val="0"/>
        <w:smallCaps w:val="0"/>
        <w:strike w:val="0"/>
        <w:dstrike w:val="0"/>
        <w:outline w:val="0"/>
        <w:emboss w:val="0"/>
        <w:imprint w:val="0"/>
        <w:spacing w:val="0"/>
        <w:w w:val="100"/>
        <w:kern w:val="0"/>
        <w:position w:val="0"/>
        <w:highlight w:val="none"/>
        <w:vertAlign w:val="baseline"/>
      </w:rPr>
    </w:lvl>
    <w:lvl w:ilvl="7">
      <w:start w:val="1"/>
      <w:numFmt w:val="decimal"/>
      <w:lvlText w:val="%2.%3.%4.%5.%6.%7.%8."/>
      <w:lvlJc w:val="left"/>
      <w:pPr>
        <w:ind w:left="1440" w:hanging="1440"/>
      </w:pPr>
      <w:rPr>
        <w:rFonts w:hAnsi="Arial Unicode MS"/>
        <w:b/>
        <w:bCs/>
        <w:caps w:val="0"/>
        <w:smallCaps w:val="0"/>
        <w:strike w:val="0"/>
        <w:dstrike w:val="0"/>
        <w:outline w:val="0"/>
        <w:emboss w:val="0"/>
        <w:imprint w:val="0"/>
        <w:spacing w:val="0"/>
        <w:w w:val="100"/>
        <w:kern w:val="0"/>
        <w:position w:val="0"/>
        <w:highlight w:val="none"/>
        <w:vertAlign w:val="baseline"/>
      </w:rPr>
    </w:lvl>
    <w:lvl w:ilvl="8">
      <w:start w:val="1"/>
      <w:numFmt w:val="decimal"/>
      <w:lvlText w:val="%2.%3.%4.%5.%6.%7.%8.%9."/>
      <w:lvlJc w:val="left"/>
      <w:pPr>
        <w:ind w:left="1800" w:hanging="1800"/>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2A0D762D"/>
    <w:multiLevelType w:val="multilevel"/>
    <w:tmpl w:val="39D2B41C"/>
    <w:numStyleLink w:val="ImportedStyle11"/>
  </w:abstractNum>
  <w:abstractNum w:abstractNumId="6" w15:restartNumberingAfterBreak="0">
    <w:nsid w:val="2CAF6064"/>
    <w:multiLevelType w:val="hybridMultilevel"/>
    <w:tmpl w:val="380C7516"/>
    <w:styleLink w:val="ImportedStyle31"/>
    <w:lvl w:ilvl="0" w:tplc="2F58ACE0">
      <w:start w:val="1"/>
      <w:numFmt w:val="bullet"/>
      <w:lvlText w:val="·"/>
      <w:lvlJc w:val="left"/>
      <w:pPr>
        <w:ind w:left="10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A60CB5C2">
      <w:start w:val="1"/>
      <w:numFmt w:val="bullet"/>
      <w:lvlText w:val="o"/>
      <w:lvlJc w:val="left"/>
      <w:pPr>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C221A62">
      <w:start w:val="1"/>
      <w:numFmt w:val="bullet"/>
      <w:lvlText w:val="▪"/>
      <w:lvlJc w:val="left"/>
      <w:pPr>
        <w:ind w:left="25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69E87BF6">
      <w:start w:val="1"/>
      <w:numFmt w:val="bullet"/>
      <w:lvlText w:val="·"/>
      <w:lvlJc w:val="left"/>
      <w:pPr>
        <w:ind w:left="32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5CA64E6">
      <w:start w:val="1"/>
      <w:numFmt w:val="bullet"/>
      <w:lvlText w:val="o"/>
      <w:lvlJc w:val="left"/>
      <w:pPr>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577C8740">
      <w:start w:val="1"/>
      <w:numFmt w:val="bullet"/>
      <w:lvlText w:val="▪"/>
      <w:lvlJc w:val="left"/>
      <w:pPr>
        <w:ind w:left="46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EB8E66E">
      <w:start w:val="1"/>
      <w:numFmt w:val="bullet"/>
      <w:lvlText w:val="·"/>
      <w:lvlJc w:val="left"/>
      <w:pPr>
        <w:ind w:left="540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BC30F236">
      <w:start w:val="1"/>
      <w:numFmt w:val="bullet"/>
      <w:lvlText w:val="o"/>
      <w:lvlJc w:val="left"/>
      <w:pPr>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B462668">
      <w:start w:val="1"/>
      <w:numFmt w:val="bullet"/>
      <w:lvlText w:val="▪"/>
      <w:lvlJc w:val="left"/>
      <w:pPr>
        <w:ind w:left="68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2E42673F"/>
    <w:multiLevelType w:val="hybridMultilevel"/>
    <w:tmpl w:val="377A9AE4"/>
    <w:styleLink w:val="ImportedStyle2"/>
    <w:lvl w:ilvl="0" w:tplc="B3704B0E">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B066F5E">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08AC15B6">
      <w:start w:val="1"/>
      <w:numFmt w:val="lowerRoman"/>
      <w:lvlText w:val="%3."/>
      <w:lvlJc w:val="left"/>
      <w:pPr>
        <w:ind w:left="216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2ACA13B6">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2B83B32">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6D62AFB8">
      <w:start w:val="1"/>
      <w:numFmt w:val="lowerRoman"/>
      <w:lvlText w:val="%6."/>
      <w:lvlJc w:val="left"/>
      <w:pPr>
        <w:ind w:left="432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CE7282BE">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5B4CEE5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43B28EF4">
      <w:start w:val="1"/>
      <w:numFmt w:val="lowerRoman"/>
      <w:lvlText w:val="%9."/>
      <w:lvlJc w:val="left"/>
      <w:pPr>
        <w:ind w:left="648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372F55C3"/>
    <w:multiLevelType w:val="hybridMultilevel"/>
    <w:tmpl w:val="E69C8608"/>
    <w:styleLink w:val="ImportedStyle1"/>
    <w:lvl w:ilvl="0" w:tplc="7E52AF3E">
      <w:start w:val="1"/>
      <w:numFmt w:val="decimal"/>
      <w:lvlText w:val="%1."/>
      <w:lvlJc w:val="left"/>
      <w:pPr>
        <w:ind w:left="425"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6E3675D4">
      <w:start w:val="1"/>
      <w:numFmt w:val="lowerLetter"/>
      <w:lvlText w:val="%2."/>
      <w:lvlJc w:val="left"/>
      <w:pPr>
        <w:ind w:left="1145"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BB02E7E4">
      <w:start w:val="1"/>
      <w:numFmt w:val="lowerRoman"/>
      <w:lvlText w:val="%3."/>
      <w:lvlJc w:val="left"/>
      <w:pPr>
        <w:ind w:left="1865" w:hanging="480"/>
      </w:pPr>
      <w:rPr>
        <w:rFonts w:hAnsi="Arial Unicode MS"/>
        <w:b/>
        <w:bCs/>
        <w:caps w:val="0"/>
        <w:smallCaps w:val="0"/>
        <w:strike w:val="0"/>
        <w:dstrike w:val="0"/>
        <w:outline w:val="0"/>
        <w:emboss w:val="0"/>
        <w:imprint w:val="0"/>
        <w:spacing w:val="0"/>
        <w:w w:val="100"/>
        <w:kern w:val="0"/>
        <w:position w:val="0"/>
        <w:highlight w:val="none"/>
        <w:vertAlign w:val="baseline"/>
      </w:rPr>
    </w:lvl>
    <w:lvl w:ilvl="3" w:tplc="CDEEABD0">
      <w:start w:val="1"/>
      <w:numFmt w:val="decimal"/>
      <w:lvlText w:val="%4."/>
      <w:lvlJc w:val="left"/>
      <w:pPr>
        <w:ind w:left="2585"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C99A976A">
      <w:start w:val="1"/>
      <w:numFmt w:val="lowerLetter"/>
      <w:lvlText w:val="%5."/>
      <w:lvlJc w:val="left"/>
      <w:pPr>
        <w:ind w:left="3305"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3DD6C144">
      <w:start w:val="1"/>
      <w:numFmt w:val="lowerRoman"/>
      <w:lvlText w:val="%6."/>
      <w:lvlJc w:val="left"/>
      <w:pPr>
        <w:ind w:left="4025" w:hanging="480"/>
      </w:pPr>
      <w:rPr>
        <w:rFonts w:hAnsi="Arial Unicode MS"/>
        <w:b/>
        <w:bCs/>
        <w:caps w:val="0"/>
        <w:smallCaps w:val="0"/>
        <w:strike w:val="0"/>
        <w:dstrike w:val="0"/>
        <w:outline w:val="0"/>
        <w:emboss w:val="0"/>
        <w:imprint w:val="0"/>
        <w:spacing w:val="0"/>
        <w:w w:val="100"/>
        <w:kern w:val="0"/>
        <w:position w:val="0"/>
        <w:highlight w:val="none"/>
        <w:vertAlign w:val="baseline"/>
      </w:rPr>
    </w:lvl>
    <w:lvl w:ilvl="6" w:tplc="09D6D5DE">
      <w:start w:val="1"/>
      <w:numFmt w:val="decimal"/>
      <w:lvlText w:val="%7."/>
      <w:lvlJc w:val="left"/>
      <w:pPr>
        <w:ind w:left="4745"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3578834A">
      <w:start w:val="1"/>
      <w:numFmt w:val="lowerLetter"/>
      <w:lvlText w:val="%8."/>
      <w:lvlJc w:val="left"/>
      <w:pPr>
        <w:ind w:left="5465"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33605E54">
      <w:start w:val="1"/>
      <w:numFmt w:val="lowerRoman"/>
      <w:lvlText w:val="%9."/>
      <w:lvlJc w:val="left"/>
      <w:pPr>
        <w:ind w:left="6185" w:hanging="480"/>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429E6340"/>
    <w:multiLevelType w:val="multilevel"/>
    <w:tmpl w:val="B3EE6382"/>
    <w:lvl w:ilvl="0">
      <w:start w:val="1"/>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0" w15:restartNumberingAfterBreak="0">
    <w:nsid w:val="47DF0785"/>
    <w:multiLevelType w:val="hybridMultilevel"/>
    <w:tmpl w:val="6BD07A70"/>
    <w:styleLink w:val="ImportedStyle3"/>
    <w:lvl w:ilvl="0" w:tplc="B3EE3F92">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3D740ED4">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3C9A5182">
      <w:start w:val="1"/>
      <w:numFmt w:val="lowerRoman"/>
      <w:lvlText w:val="%3."/>
      <w:lvlJc w:val="left"/>
      <w:pPr>
        <w:ind w:left="216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6BD42C22">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5F1C4370">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B39A95BA">
      <w:start w:val="1"/>
      <w:numFmt w:val="lowerRoman"/>
      <w:lvlText w:val="%6."/>
      <w:lvlJc w:val="left"/>
      <w:pPr>
        <w:ind w:left="432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920A25F8">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1A01DC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C7CEBA26">
      <w:start w:val="1"/>
      <w:numFmt w:val="lowerRoman"/>
      <w:lvlText w:val="%9."/>
      <w:lvlJc w:val="left"/>
      <w:pPr>
        <w:ind w:left="648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49A217EE"/>
    <w:multiLevelType w:val="hybridMultilevel"/>
    <w:tmpl w:val="8BF83BFE"/>
    <w:styleLink w:val="ImportedStyle20"/>
    <w:lvl w:ilvl="0" w:tplc="FC806E72">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8A0C8FC6">
      <w:start w:val="1"/>
      <w:numFmt w:val="bullet"/>
      <w:lvlText w:val="o"/>
      <w:lvlJc w:val="left"/>
      <w:pPr>
        <w:ind w:left="14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396430F6">
      <w:start w:val="1"/>
      <w:numFmt w:val="bullet"/>
      <w:lvlText w:val="▪"/>
      <w:lvlJc w:val="left"/>
      <w:pPr>
        <w:ind w:left="21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C296B0D8">
      <w:start w:val="1"/>
      <w:numFmt w:val="bullet"/>
      <w:lvlText w:val="•"/>
      <w:lvlJc w:val="left"/>
      <w:pPr>
        <w:ind w:left="28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D352AA48">
      <w:start w:val="1"/>
      <w:numFmt w:val="bullet"/>
      <w:lvlText w:val="o"/>
      <w:lvlJc w:val="left"/>
      <w:pPr>
        <w:ind w:left="360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1882B6AE">
      <w:start w:val="1"/>
      <w:numFmt w:val="bullet"/>
      <w:lvlText w:val="▪"/>
      <w:lvlJc w:val="left"/>
      <w:pPr>
        <w:ind w:left="43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BE568E9E">
      <w:start w:val="1"/>
      <w:numFmt w:val="bullet"/>
      <w:lvlText w:val="•"/>
      <w:lvlJc w:val="left"/>
      <w:pPr>
        <w:ind w:left="504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D938F468">
      <w:start w:val="1"/>
      <w:numFmt w:val="bullet"/>
      <w:lvlText w:val="o"/>
      <w:lvlJc w:val="left"/>
      <w:pPr>
        <w:ind w:left="576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E132F58E">
      <w:start w:val="1"/>
      <w:numFmt w:val="bullet"/>
      <w:lvlText w:val="▪"/>
      <w:lvlJc w:val="left"/>
      <w:pPr>
        <w:ind w:left="648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4D7F3922"/>
    <w:multiLevelType w:val="multilevel"/>
    <w:tmpl w:val="23B6762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4EC76F86"/>
    <w:multiLevelType w:val="hybridMultilevel"/>
    <w:tmpl w:val="6BD07A70"/>
    <w:numStyleLink w:val="ImportedStyle3"/>
  </w:abstractNum>
  <w:abstractNum w:abstractNumId="14" w15:restartNumberingAfterBreak="0">
    <w:nsid w:val="535F2616"/>
    <w:multiLevelType w:val="hybridMultilevel"/>
    <w:tmpl w:val="4844D9A4"/>
    <w:numStyleLink w:val="ImportedStyle21"/>
  </w:abstractNum>
  <w:abstractNum w:abstractNumId="15" w15:restartNumberingAfterBreak="0">
    <w:nsid w:val="56053B85"/>
    <w:multiLevelType w:val="hybridMultilevel"/>
    <w:tmpl w:val="C5F60050"/>
    <w:numStyleLink w:val="ImportedStyle10"/>
  </w:abstractNum>
  <w:abstractNum w:abstractNumId="16" w15:restartNumberingAfterBreak="0">
    <w:nsid w:val="56942D1D"/>
    <w:multiLevelType w:val="hybridMultilevel"/>
    <w:tmpl w:val="C5F60050"/>
    <w:styleLink w:val="ImportedStyle10"/>
    <w:lvl w:ilvl="0" w:tplc="497681C6">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5A08452">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B61E1AE4">
      <w:start w:val="1"/>
      <w:numFmt w:val="lowerRoman"/>
      <w:lvlText w:val="%3."/>
      <w:lvlJc w:val="left"/>
      <w:pPr>
        <w:ind w:left="216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0B30826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350F4C2">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56928BBE">
      <w:start w:val="1"/>
      <w:numFmt w:val="lowerRoman"/>
      <w:lvlText w:val="%6."/>
      <w:lvlJc w:val="left"/>
      <w:pPr>
        <w:ind w:left="432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7F2ACF34">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95C42D9A">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B42227D2">
      <w:start w:val="1"/>
      <w:numFmt w:val="lowerRoman"/>
      <w:lvlText w:val="%9."/>
      <w:lvlJc w:val="left"/>
      <w:pPr>
        <w:ind w:left="648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71406913"/>
    <w:multiLevelType w:val="hybridMultilevel"/>
    <w:tmpl w:val="377A9AE4"/>
    <w:numStyleLink w:val="ImportedStyle2"/>
  </w:abstractNum>
  <w:abstractNum w:abstractNumId="18" w15:restartNumberingAfterBreak="0">
    <w:nsid w:val="7F16557F"/>
    <w:multiLevelType w:val="hybridMultilevel"/>
    <w:tmpl w:val="4844D9A4"/>
    <w:styleLink w:val="ImportedStyle21"/>
    <w:lvl w:ilvl="0" w:tplc="2422A98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612C30E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78C219D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CC7EBD3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98E05B0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71D459A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64F6C8F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6E0C648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920073D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8"/>
  </w:num>
  <w:num w:numId="2">
    <w:abstractNumId w:val="2"/>
  </w:num>
  <w:num w:numId="3">
    <w:abstractNumId w:val="4"/>
  </w:num>
  <w:num w:numId="4">
    <w:abstractNumId w:val="5"/>
  </w:num>
  <w:num w:numId="5">
    <w:abstractNumId w:val="18"/>
  </w:num>
  <w:num w:numId="6">
    <w:abstractNumId w:val="14"/>
  </w:num>
  <w:num w:numId="7">
    <w:abstractNumId w:val="6"/>
  </w:num>
  <w:num w:numId="8">
    <w:abstractNumId w:val="0"/>
  </w:num>
  <w:num w:numId="9">
    <w:abstractNumId w:val="16"/>
  </w:num>
  <w:num w:numId="10">
    <w:abstractNumId w:val="15"/>
  </w:num>
  <w:num w:numId="11">
    <w:abstractNumId w:val="11"/>
  </w:num>
  <w:num w:numId="12">
    <w:abstractNumId w:val="3"/>
  </w:num>
  <w:num w:numId="13">
    <w:abstractNumId w:val="7"/>
  </w:num>
  <w:num w:numId="14">
    <w:abstractNumId w:val="17"/>
  </w:num>
  <w:num w:numId="15">
    <w:abstractNumId w:val="10"/>
  </w:num>
  <w:num w:numId="16">
    <w:abstractNumId w:val="13"/>
  </w:num>
  <w:num w:numId="17">
    <w:abstractNumId w:val="9"/>
  </w:num>
  <w:num w:numId="18">
    <w:abstractNumId w:val="1"/>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isplayBackgroundShape/>
  <w:proofState w:spelling="clean"/>
  <w:defaultTabStop w:val="720"/>
  <w:characterSpacingControl w:val="doNotCompress"/>
  <w:hdrShapeDefaults>
    <o:shapedefaults v:ext="edit" spidmax="4097"/>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207D"/>
    <w:rsid w:val="00010E5B"/>
    <w:rsid w:val="0003022A"/>
    <w:rsid w:val="0003502E"/>
    <w:rsid w:val="000426D8"/>
    <w:rsid w:val="00053D9E"/>
    <w:rsid w:val="000543E8"/>
    <w:rsid w:val="00067DA9"/>
    <w:rsid w:val="00070CA0"/>
    <w:rsid w:val="0007206D"/>
    <w:rsid w:val="00075787"/>
    <w:rsid w:val="00093791"/>
    <w:rsid w:val="00095F1B"/>
    <w:rsid w:val="000A61ED"/>
    <w:rsid w:val="000C4A71"/>
    <w:rsid w:val="000D57A8"/>
    <w:rsid w:val="000D7BED"/>
    <w:rsid w:val="000E475A"/>
    <w:rsid w:val="000F2CAB"/>
    <w:rsid w:val="000F2F41"/>
    <w:rsid w:val="00101552"/>
    <w:rsid w:val="00102DEE"/>
    <w:rsid w:val="00103968"/>
    <w:rsid w:val="00105B72"/>
    <w:rsid w:val="00111482"/>
    <w:rsid w:val="001128BF"/>
    <w:rsid w:val="001257FD"/>
    <w:rsid w:val="00130C2D"/>
    <w:rsid w:val="001314F0"/>
    <w:rsid w:val="00143CBB"/>
    <w:rsid w:val="00146AB5"/>
    <w:rsid w:val="001575BE"/>
    <w:rsid w:val="00160228"/>
    <w:rsid w:val="00162910"/>
    <w:rsid w:val="00166FEE"/>
    <w:rsid w:val="00171AA9"/>
    <w:rsid w:val="00175833"/>
    <w:rsid w:val="00180A0E"/>
    <w:rsid w:val="00190967"/>
    <w:rsid w:val="001A4056"/>
    <w:rsid w:val="001A5748"/>
    <w:rsid w:val="001B2C46"/>
    <w:rsid w:val="001B603C"/>
    <w:rsid w:val="001C1EE4"/>
    <w:rsid w:val="001C4ACD"/>
    <w:rsid w:val="001D194F"/>
    <w:rsid w:val="001D6AA3"/>
    <w:rsid w:val="001E3FBD"/>
    <w:rsid w:val="001F16A8"/>
    <w:rsid w:val="00205227"/>
    <w:rsid w:val="00222B03"/>
    <w:rsid w:val="00231A6D"/>
    <w:rsid w:val="0023685D"/>
    <w:rsid w:val="002430B5"/>
    <w:rsid w:val="00243570"/>
    <w:rsid w:val="002501A4"/>
    <w:rsid w:val="0026134A"/>
    <w:rsid w:val="0026704E"/>
    <w:rsid w:val="002722B5"/>
    <w:rsid w:val="002722B8"/>
    <w:rsid w:val="00274F7E"/>
    <w:rsid w:val="0027525B"/>
    <w:rsid w:val="002816B8"/>
    <w:rsid w:val="0029070B"/>
    <w:rsid w:val="00293C63"/>
    <w:rsid w:val="002A380B"/>
    <w:rsid w:val="002A5DE6"/>
    <w:rsid w:val="002A6494"/>
    <w:rsid w:val="002A6B75"/>
    <w:rsid w:val="002B1B5D"/>
    <w:rsid w:val="002D32BA"/>
    <w:rsid w:val="002D4785"/>
    <w:rsid w:val="002E124C"/>
    <w:rsid w:val="002E2DC9"/>
    <w:rsid w:val="002E3A14"/>
    <w:rsid w:val="002F2DFF"/>
    <w:rsid w:val="002F62E7"/>
    <w:rsid w:val="00321415"/>
    <w:rsid w:val="00321426"/>
    <w:rsid w:val="00323298"/>
    <w:rsid w:val="00327618"/>
    <w:rsid w:val="00327BF6"/>
    <w:rsid w:val="00332F22"/>
    <w:rsid w:val="003363FF"/>
    <w:rsid w:val="00337E67"/>
    <w:rsid w:val="0034671F"/>
    <w:rsid w:val="003505BE"/>
    <w:rsid w:val="003579C2"/>
    <w:rsid w:val="00363CE5"/>
    <w:rsid w:val="0036468B"/>
    <w:rsid w:val="00365EDC"/>
    <w:rsid w:val="0036695B"/>
    <w:rsid w:val="00372CB1"/>
    <w:rsid w:val="0039275B"/>
    <w:rsid w:val="003B207D"/>
    <w:rsid w:val="003B6BF4"/>
    <w:rsid w:val="003D5F05"/>
    <w:rsid w:val="003E009D"/>
    <w:rsid w:val="003E0660"/>
    <w:rsid w:val="003E1385"/>
    <w:rsid w:val="003F4B57"/>
    <w:rsid w:val="004147E2"/>
    <w:rsid w:val="00423DF1"/>
    <w:rsid w:val="00424B04"/>
    <w:rsid w:val="00457E73"/>
    <w:rsid w:val="00485D26"/>
    <w:rsid w:val="004A5D0A"/>
    <w:rsid w:val="004B51A0"/>
    <w:rsid w:val="004B54C6"/>
    <w:rsid w:val="004B6B2F"/>
    <w:rsid w:val="004E6F19"/>
    <w:rsid w:val="004F27EE"/>
    <w:rsid w:val="004F7158"/>
    <w:rsid w:val="005035A3"/>
    <w:rsid w:val="00512861"/>
    <w:rsid w:val="0051294D"/>
    <w:rsid w:val="005237F9"/>
    <w:rsid w:val="00524939"/>
    <w:rsid w:val="00536322"/>
    <w:rsid w:val="00552463"/>
    <w:rsid w:val="0056676C"/>
    <w:rsid w:val="00567790"/>
    <w:rsid w:val="00576555"/>
    <w:rsid w:val="00586D96"/>
    <w:rsid w:val="0059009C"/>
    <w:rsid w:val="00596262"/>
    <w:rsid w:val="005A59E7"/>
    <w:rsid w:val="005A5AD1"/>
    <w:rsid w:val="005A5D48"/>
    <w:rsid w:val="005A72EB"/>
    <w:rsid w:val="005B1524"/>
    <w:rsid w:val="005B1986"/>
    <w:rsid w:val="005C1FE6"/>
    <w:rsid w:val="005C20B2"/>
    <w:rsid w:val="005E1495"/>
    <w:rsid w:val="005E4212"/>
    <w:rsid w:val="005F06BD"/>
    <w:rsid w:val="005F3263"/>
    <w:rsid w:val="005F3F7A"/>
    <w:rsid w:val="005F71CE"/>
    <w:rsid w:val="00602AAD"/>
    <w:rsid w:val="00627652"/>
    <w:rsid w:val="006322A8"/>
    <w:rsid w:val="00633240"/>
    <w:rsid w:val="006472A9"/>
    <w:rsid w:val="00651B8A"/>
    <w:rsid w:val="00653B13"/>
    <w:rsid w:val="006568AE"/>
    <w:rsid w:val="0066703F"/>
    <w:rsid w:val="00673F2F"/>
    <w:rsid w:val="0067665C"/>
    <w:rsid w:val="006775A4"/>
    <w:rsid w:val="00680D0F"/>
    <w:rsid w:val="00682CF9"/>
    <w:rsid w:val="00686FF7"/>
    <w:rsid w:val="00694E6C"/>
    <w:rsid w:val="00696BBA"/>
    <w:rsid w:val="006A43BB"/>
    <w:rsid w:val="006C7409"/>
    <w:rsid w:val="006D0379"/>
    <w:rsid w:val="006E2B4D"/>
    <w:rsid w:val="006E3FE2"/>
    <w:rsid w:val="006E5222"/>
    <w:rsid w:val="006F0653"/>
    <w:rsid w:val="006F41E8"/>
    <w:rsid w:val="006F6103"/>
    <w:rsid w:val="006F6976"/>
    <w:rsid w:val="0070478F"/>
    <w:rsid w:val="00705C40"/>
    <w:rsid w:val="00705DC1"/>
    <w:rsid w:val="00711619"/>
    <w:rsid w:val="0071463C"/>
    <w:rsid w:val="0071638A"/>
    <w:rsid w:val="007164F7"/>
    <w:rsid w:val="00726ADE"/>
    <w:rsid w:val="00731C13"/>
    <w:rsid w:val="00740EB2"/>
    <w:rsid w:val="00741476"/>
    <w:rsid w:val="00744871"/>
    <w:rsid w:val="007530AE"/>
    <w:rsid w:val="007603D7"/>
    <w:rsid w:val="00771893"/>
    <w:rsid w:val="007725C0"/>
    <w:rsid w:val="00776CA7"/>
    <w:rsid w:val="00783972"/>
    <w:rsid w:val="00785EA5"/>
    <w:rsid w:val="00787421"/>
    <w:rsid w:val="00787E7F"/>
    <w:rsid w:val="0079063F"/>
    <w:rsid w:val="00792BA0"/>
    <w:rsid w:val="00793271"/>
    <w:rsid w:val="007A087C"/>
    <w:rsid w:val="007A4442"/>
    <w:rsid w:val="007B7BA9"/>
    <w:rsid w:val="007C0BBD"/>
    <w:rsid w:val="007C3464"/>
    <w:rsid w:val="007C3E95"/>
    <w:rsid w:val="007C6ABB"/>
    <w:rsid w:val="007D1233"/>
    <w:rsid w:val="007D58B4"/>
    <w:rsid w:val="007D652C"/>
    <w:rsid w:val="007D77CC"/>
    <w:rsid w:val="007F0818"/>
    <w:rsid w:val="007F13B6"/>
    <w:rsid w:val="007F20BF"/>
    <w:rsid w:val="00807A87"/>
    <w:rsid w:val="0081262C"/>
    <w:rsid w:val="0082015D"/>
    <w:rsid w:val="00823D76"/>
    <w:rsid w:val="00842867"/>
    <w:rsid w:val="0084579E"/>
    <w:rsid w:val="008512C3"/>
    <w:rsid w:val="00866978"/>
    <w:rsid w:val="00870175"/>
    <w:rsid w:val="00875D86"/>
    <w:rsid w:val="008800DF"/>
    <w:rsid w:val="00881B69"/>
    <w:rsid w:val="008B1BCE"/>
    <w:rsid w:val="008C19DA"/>
    <w:rsid w:val="008D3A89"/>
    <w:rsid w:val="008D5587"/>
    <w:rsid w:val="008E02CF"/>
    <w:rsid w:val="008E3D2C"/>
    <w:rsid w:val="008F2C3E"/>
    <w:rsid w:val="008F76B7"/>
    <w:rsid w:val="009043EC"/>
    <w:rsid w:val="009129F0"/>
    <w:rsid w:val="00914855"/>
    <w:rsid w:val="00923B33"/>
    <w:rsid w:val="00930B2B"/>
    <w:rsid w:val="00954C9C"/>
    <w:rsid w:val="00956229"/>
    <w:rsid w:val="00956B3B"/>
    <w:rsid w:val="009572B6"/>
    <w:rsid w:val="0096317E"/>
    <w:rsid w:val="00963AA1"/>
    <w:rsid w:val="00974C24"/>
    <w:rsid w:val="0098248E"/>
    <w:rsid w:val="00994874"/>
    <w:rsid w:val="009A2B55"/>
    <w:rsid w:val="009A75CB"/>
    <w:rsid w:val="009B734E"/>
    <w:rsid w:val="009C0E36"/>
    <w:rsid w:val="009C423D"/>
    <w:rsid w:val="009D5A96"/>
    <w:rsid w:val="009D716E"/>
    <w:rsid w:val="009D723C"/>
    <w:rsid w:val="009E1104"/>
    <w:rsid w:val="00A04462"/>
    <w:rsid w:val="00A07143"/>
    <w:rsid w:val="00A32BF4"/>
    <w:rsid w:val="00A4783B"/>
    <w:rsid w:val="00A505E2"/>
    <w:rsid w:val="00A5345D"/>
    <w:rsid w:val="00A62F3D"/>
    <w:rsid w:val="00A86C9E"/>
    <w:rsid w:val="00AA0BB7"/>
    <w:rsid w:val="00AA45C9"/>
    <w:rsid w:val="00AA504A"/>
    <w:rsid w:val="00AA62FD"/>
    <w:rsid w:val="00AB13F7"/>
    <w:rsid w:val="00AB7568"/>
    <w:rsid w:val="00AB75C4"/>
    <w:rsid w:val="00AD0644"/>
    <w:rsid w:val="00AE5535"/>
    <w:rsid w:val="00AF0077"/>
    <w:rsid w:val="00AF06F5"/>
    <w:rsid w:val="00AF3D75"/>
    <w:rsid w:val="00AF5809"/>
    <w:rsid w:val="00AF6CE3"/>
    <w:rsid w:val="00B017B2"/>
    <w:rsid w:val="00B06D5D"/>
    <w:rsid w:val="00B1135E"/>
    <w:rsid w:val="00B15A1C"/>
    <w:rsid w:val="00B17021"/>
    <w:rsid w:val="00B23894"/>
    <w:rsid w:val="00B3520E"/>
    <w:rsid w:val="00B40142"/>
    <w:rsid w:val="00B4193B"/>
    <w:rsid w:val="00B41A8A"/>
    <w:rsid w:val="00B468C8"/>
    <w:rsid w:val="00B46E63"/>
    <w:rsid w:val="00B5754D"/>
    <w:rsid w:val="00B61239"/>
    <w:rsid w:val="00B71985"/>
    <w:rsid w:val="00B72802"/>
    <w:rsid w:val="00B73912"/>
    <w:rsid w:val="00B77A13"/>
    <w:rsid w:val="00B80C95"/>
    <w:rsid w:val="00B91A67"/>
    <w:rsid w:val="00B92362"/>
    <w:rsid w:val="00BA38BF"/>
    <w:rsid w:val="00BA6ED1"/>
    <w:rsid w:val="00BC34DD"/>
    <w:rsid w:val="00BC521F"/>
    <w:rsid w:val="00BC53B5"/>
    <w:rsid w:val="00BD1952"/>
    <w:rsid w:val="00BD2C93"/>
    <w:rsid w:val="00BD5C5B"/>
    <w:rsid w:val="00BD66C3"/>
    <w:rsid w:val="00BE2251"/>
    <w:rsid w:val="00BE3C51"/>
    <w:rsid w:val="00BE7DAE"/>
    <w:rsid w:val="00C02C2D"/>
    <w:rsid w:val="00C07220"/>
    <w:rsid w:val="00C10745"/>
    <w:rsid w:val="00C10B8B"/>
    <w:rsid w:val="00C11B48"/>
    <w:rsid w:val="00C20D36"/>
    <w:rsid w:val="00C23562"/>
    <w:rsid w:val="00C33451"/>
    <w:rsid w:val="00C3433D"/>
    <w:rsid w:val="00C35A9F"/>
    <w:rsid w:val="00C46C00"/>
    <w:rsid w:val="00C54425"/>
    <w:rsid w:val="00C5497A"/>
    <w:rsid w:val="00C6089F"/>
    <w:rsid w:val="00C6582E"/>
    <w:rsid w:val="00C67581"/>
    <w:rsid w:val="00C67732"/>
    <w:rsid w:val="00C739E0"/>
    <w:rsid w:val="00C7418A"/>
    <w:rsid w:val="00C768B9"/>
    <w:rsid w:val="00C76D70"/>
    <w:rsid w:val="00C9508B"/>
    <w:rsid w:val="00C96635"/>
    <w:rsid w:val="00CA78CC"/>
    <w:rsid w:val="00CC0F73"/>
    <w:rsid w:val="00CC22C6"/>
    <w:rsid w:val="00CC3F75"/>
    <w:rsid w:val="00CD0A00"/>
    <w:rsid w:val="00CE0516"/>
    <w:rsid w:val="00CE313A"/>
    <w:rsid w:val="00CE432C"/>
    <w:rsid w:val="00CE56A3"/>
    <w:rsid w:val="00D00735"/>
    <w:rsid w:val="00D1052A"/>
    <w:rsid w:val="00D22823"/>
    <w:rsid w:val="00D2661C"/>
    <w:rsid w:val="00D2760C"/>
    <w:rsid w:val="00D332E0"/>
    <w:rsid w:val="00D3630F"/>
    <w:rsid w:val="00D36DDA"/>
    <w:rsid w:val="00D45B79"/>
    <w:rsid w:val="00D5401B"/>
    <w:rsid w:val="00D61AE9"/>
    <w:rsid w:val="00D6365E"/>
    <w:rsid w:val="00D73F9B"/>
    <w:rsid w:val="00D75E10"/>
    <w:rsid w:val="00D81942"/>
    <w:rsid w:val="00D81BE7"/>
    <w:rsid w:val="00D845CA"/>
    <w:rsid w:val="00D85048"/>
    <w:rsid w:val="00D86709"/>
    <w:rsid w:val="00D970C6"/>
    <w:rsid w:val="00DA1B4E"/>
    <w:rsid w:val="00DA30A2"/>
    <w:rsid w:val="00DC0E65"/>
    <w:rsid w:val="00DC4500"/>
    <w:rsid w:val="00DD36D0"/>
    <w:rsid w:val="00DE1A43"/>
    <w:rsid w:val="00DE1B2C"/>
    <w:rsid w:val="00DE5DD4"/>
    <w:rsid w:val="00DF1BAC"/>
    <w:rsid w:val="00DF4A87"/>
    <w:rsid w:val="00DF5B36"/>
    <w:rsid w:val="00DF6459"/>
    <w:rsid w:val="00E02ADB"/>
    <w:rsid w:val="00E02C53"/>
    <w:rsid w:val="00E06281"/>
    <w:rsid w:val="00E17B98"/>
    <w:rsid w:val="00E23070"/>
    <w:rsid w:val="00E24148"/>
    <w:rsid w:val="00E27C13"/>
    <w:rsid w:val="00E30AFB"/>
    <w:rsid w:val="00E37703"/>
    <w:rsid w:val="00E40940"/>
    <w:rsid w:val="00E4271F"/>
    <w:rsid w:val="00E43C2D"/>
    <w:rsid w:val="00E43EF6"/>
    <w:rsid w:val="00E50333"/>
    <w:rsid w:val="00E56118"/>
    <w:rsid w:val="00E6778A"/>
    <w:rsid w:val="00E73C1B"/>
    <w:rsid w:val="00E8041D"/>
    <w:rsid w:val="00E81C29"/>
    <w:rsid w:val="00EB1B84"/>
    <w:rsid w:val="00EC1542"/>
    <w:rsid w:val="00EC3B46"/>
    <w:rsid w:val="00EC5BEB"/>
    <w:rsid w:val="00ED4F6A"/>
    <w:rsid w:val="00ED5F6C"/>
    <w:rsid w:val="00ED6235"/>
    <w:rsid w:val="00EF4834"/>
    <w:rsid w:val="00EF6C12"/>
    <w:rsid w:val="00F00F5A"/>
    <w:rsid w:val="00F01C90"/>
    <w:rsid w:val="00F0241F"/>
    <w:rsid w:val="00F0538C"/>
    <w:rsid w:val="00F0610A"/>
    <w:rsid w:val="00F13CE8"/>
    <w:rsid w:val="00F1593B"/>
    <w:rsid w:val="00F22AA1"/>
    <w:rsid w:val="00F26C81"/>
    <w:rsid w:val="00F27884"/>
    <w:rsid w:val="00F602E2"/>
    <w:rsid w:val="00F62922"/>
    <w:rsid w:val="00F66D2C"/>
    <w:rsid w:val="00F74313"/>
    <w:rsid w:val="00F74B03"/>
    <w:rsid w:val="00F860FF"/>
    <w:rsid w:val="00F86905"/>
    <w:rsid w:val="00F91FC0"/>
    <w:rsid w:val="00F92E48"/>
    <w:rsid w:val="00F93309"/>
    <w:rsid w:val="00F95DD6"/>
    <w:rsid w:val="00FA44A8"/>
    <w:rsid w:val="00FB5435"/>
    <w:rsid w:val="00FC1E51"/>
    <w:rsid w:val="00FC66EE"/>
    <w:rsid w:val="00FD1866"/>
    <w:rsid w:val="00FD3BD5"/>
    <w:rsid w:val="00FD57B4"/>
    <w:rsid w:val="00FD652E"/>
    <w:rsid w:val="00FF560C"/>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32917BD"/>
  <w15:docId w15:val="{F3B2D09A-F00D-46ED-B268-B066F1761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IE" w:eastAsia="en-IE"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paragraph" w:styleId="Heading1">
    <w:name w:val="heading 1"/>
    <w:basedOn w:val="Normal"/>
    <w:next w:val="Normal"/>
    <w:link w:val="Heading1Char"/>
    <w:uiPriority w:val="9"/>
    <w:qFormat/>
    <w:rsid w:val="00783972"/>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BodyA">
    <w:name w:val="Body A"/>
    <w:pPr>
      <w:spacing w:line="276" w:lineRule="auto"/>
    </w:pPr>
    <w:rPr>
      <w:rFonts w:ascii="Arial" w:hAnsi="Arial" w:cs="Arial Unicode MS"/>
      <w:color w:val="000000"/>
      <w:sz w:val="22"/>
      <w:szCs w:val="22"/>
      <w:u w:color="000000"/>
      <w:lang w:val="en-US"/>
      <w14:textOutline w14:w="12700" w14:cap="flat" w14:cmpd="sng" w14:algn="ctr">
        <w14:noFill/>
        <w14:prstDash w14:val="solid"/>
        <w14:miter w14:lim="400000"/>
      </w14:textOutline>
    </w:rPr>
  </w:style>
  <w:style w:type="paragraph" w:customStyle="1" w:styleId="Body">
    <w:name w:val="Body"/>
    <w:rPr>
      <w:rFonts w:cs="Arial Unicode MS"/>
      <w:color w:val="000000"/>
      <w:sz w:val="24"/>
      <w:szCs w:val="24"/>
      <w:u w:color="000000"/>
      <w14:textOutline w14:w="0" w14:cap="flat" w14:cmpd="sng" w14:algn="ctr">
        <w14:noFill/>
        <w14:prstDash w14:val="solid"/>
        <w14:bevel/>
      </w14:textOutline>
    </w:rPr>
  </w:style>
  <w:style w:type="character" w:customStyle="1" w:styleId="NoneA">
    <w:name w:val="None A"/>
    <w:rPr>
      <w:lang w:val="en-US"/>
    </w:rPr>
  </w:style>
  <w:style w:type="numbering" w:customStyle="1" w:styleId="ImportedStyle1">
    <w:name w:val="Imported Style 1"/>
    <w:pPr>
      <w:numPr>
        <w:numId w:val="1"/>
      </w:numPr>
    </w:pPr>
  </w:style>
  <w:style w:type="character" w:styleId="FootnoteReference">
    <w:name w:val="footnote reference"/>
    <w:rPr>
      <w:vertAlign w:val="superscript"/>
    </w:rPr>
  </w:style>
  <w:style w:type="paragraph" w:styleId="FootnoteText">
    <w:name w:val="footnote text"/>
    <w:link w:val="FootnoteTextChar"/>
    <w:rPr>
      <w:rFonts w:eastAsia="Times New Roman"/>
      <w:color w:val="000000"/>
      <w:u w:color="000000"/>
      <w:lang w:val="en-US"/>
    </w:rPr>
  </w:style>
  <w:style w:type="character" w:customStyle="1" w:styleId="NoneAA">
    <w:name w:val="None A A"/>
    <w:rPr>
      <w:lang w:val="en-US"/>
    </w:rPr>
  </w:style>
  <w:style w:type="numbering" w:customStyle="1" w:styleId="ImportedStyle11">
    <w:name w:val="Imported Style 11"/>
    <w:pPr>
      <w:numPr>
        <w:numId w:val="3"/>
      </w:numPr>
    </w:pPr>
  </w:style>
  <w:style w:type="paragraph" w:styleId="NoSpacing">
    <w:name w:val="No Spacing"/>
    <w:rPr>
      <w:rFonts w:eastAsia="Times New Roman"/>
      <w:color w:val="000000"/>
      <w:sz w:val="24"/>
      <w:szCs w:val="24"/>
      <w:u w:color="000000"/>
      <w:lang w:val="en-US"/>
    </w:rPr>
  </w:style>
  <w:style w:type="character" w:customStyle="1" w:styleId="None">
    <w:name w:val="None"/>
  </w:style>
  <w:style w:type="character" w:customStyle="1" w:styleId="Hyperlink0">
    <w:name w:val="Hyperlink.0"/>
    <w:basedOn w:val="None"/>
    <w:rPr>
      <w:rFonts w:ascii="Times New Roman" w:eastAsia="Times New Roman" w:hAnsi="Times New Roman" w:cs="Times New Roman"/>
      <w:outline w:val="0"/>
      <w:color w:val="1155CC"/>
      <w:sz w:val="18"/>
      <w:szCs w:val="18"/>
      <w:u w:val="single" w:color="1155CC"/>
      <w:shd w:val="clear" w:color="auto" w:fill="FFFFFF"/>
      <w:lang w:val="en-US"/>
    </w:rPr>
  </w:style>
  <w:style w:type="paragraph" w:customStyle="1" w:styleId="Default">
    <w:name w:val="Default"/>
    <w:pPr>
      <w:spacing w:before="160" w:line="288" w:lineRule="auto"/>
    </w:pPr>
    <w:rPr>
      <w:rFonts w:ascii="Helvetica Neue" w:eastAsia="Helvetica Neue" w:hAnsi="Helvetica Neue" w:cs="Helvetica Neue"/>
      <w:color w:val="000000"/>
      <w:sz w:val="24"/>
      <w:szCs w:val="24"/>
      <w:u w:color="000000"/>
      <w:lang w:val="en-US"/>
      <w14:textOutline w14:w="12700" w14:cap="flat" w14:cmpd="sng" w14:algn="ctr">
        <w14:noFill/>
        <w14:prstDash w14:val="solid"/>
        <w14:miter w14:lim="400000"/>
      </w14:textOutline>
    </w:rPr>
  </w:style>
  <w:style w:type="numbering" w:customStyle="1" w:styleId="ImportedStyle21">
    <w:name w:val="Imported Style 21"/>
    <w:pPr>
      <w:numPr>
        <w:numId w:val="5"/>
      </w:numPr>
    </w:pPr>
  </w:style>
  <w:style w:type="numbering" w:customStyle="1" w:styleId="ImportedStyle31">
    <w:name w:val="Imported Style 31"/>
    <w:pPr>
      <w:numPr>
        <w:numId w:val="7"/>
      </w:numPr>
    </w:pPr>
  </w:style>
  <w:style w:type="numbering" w:customStyle="1" w:styleId="ImportedStyle10">
    <w:name w:val="Imported Style 1.0"/>
    <w:pPr>
      <w:numPr>
        <w:numId w:val="9"/>
      </w:numPr>
    </w:pPr>
  </w:style>
  <w:style w:type="numbering" w:customStyle="1" w:styleId="ImportedStyle20">
    <w:name w:val="Imported Style 2.0"/>
    <w:pPr>
      <w:numPr>
        <w:numId w:val="11"/>
      </w:numPr>
    </w:pPr>
  </w:style>
  <w:style w:type="numbering" w:customStyle="1" w:styleId="ImportedStyle2">
    <w:name w:val="Imported Style 2"/>
    <w:pPr>
      <w:numPr>
        <w:numId w:val="13"/>
      </w:numPr>
    </w:pPr>
  </w:style>
  <w:style w:type="paragraph" w:styleId="ListParagraph">
    <w:name w:val="List Paragraph"/>
    <w:uiPriority w:val="34"/>
    <w:qFormat/>
    <w:pPr>
      <w:ind w:left="720"/>
    </w:pPr>
    <w:rPr>
      <w:rFonts w:cs="Arial Unicode MS"/>
      <w:color w:val="000000"/>
      <w:sz w:val="24"/>
      <w:szCs w:val="24"/>
      <w:u w:color="000000"/>
      <w:lang w:val="en-US"/>
    </w:rPr>
  </w:style>
  <w:style w:type="numbering" w:customStyle="1" w:styleId="ImportedStyle3">
    <w:name w:val="Imported Style 3"/>
    <w:pPr>
      <w:numPr>
        <w:numId w:val="15"/>
      </w:numPr>
    </w:p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lang w:val="en-US" w:eastAsia="en-US"/>
    </w:rPr>
  </w:style>
  <w:style w:type="character" w:styleId="CommentReference">
    <w:name w:val="annotation reference"/>
    <w:basedOn w:val="DefaultParagraphFont"/>
    <w:uiPriority w:val="99"/>
    <w:semiHidden/>
    <w:unhideWhenUsed/>
    <w:rPr>
      <w:sz w:val="16"/>
      <w:szCs w:val="16"/>
    </w:rPr>
  </w:style>
  <w:style w:type="character" w:customStyle="1" w:styleId="FootnoteTextChar">
    <w:name w:val="Footnote Text Char"/>
    <w:basedOn w:val="DefaultParagraphFont"/>
    <w:link w:val="FootnoteText"/>
    <w:rsid w:val="00E24148"/>
    <w:rPr>
      <w:rFonts w:eastAsia="Times New Roman"/>
      <w:color w:val="000000"/>
      <w:u w:color="000000"/>
      <w:lang w:val="en-US"/>
    </w:rPr>
  </w:style>
  <w:style w:type="paragraph" w:styleId="Header">
    <w:name w:val="header"/>
    <w:basedOn w:val="Normal"/>
    <w:link w:val="HeaderChar"/>
    <w:uiPriority w:val="99"/>
    <w:unhideWhenUsed/>
    <w:rsid w:val="004B51A0"/>
    <w:pPr>
      <w:tabs>
        <w:tab w:val="center" w:pos="4513"/>
        <w:tab w:val="right" w:pos="9026"/>
      </w:tabs>
    </w:pPr>
  </w:style>
  <w:style w:type="character" w:customStyle="1" w:styleId="HeaderChar">
    <w:name w:val="Header Char"/>
    <w:basedOn w:val="DefaultParagraphFont"/>
    <w:link w:val="Header"/>
    <w:uiPriority w:val="99"/>
    <w:rsid w:val="004B51A0"/>
    <w:rPr>
      <w:sz w:val="24"/>
      <w:szCs w:val="24"/>
      <w:lang w:val="en-US" w:eastAsia="en-US"/>
    </w:rPr>
  </w:style>
  <w:style w:type="paragraph" w:styleId="Footer">
    <w:name w:val="footer"/>
    <w:basedOn w:val="Normal"/>
    <w:link w:val="FooterChar"/>
    <w:uiPriority w:val="99"/>
    <w:unhideWhenUsed/>
    <w:rsid w:val="004B51A0"/>
    <w:pPr>
      <w:tabs>
        <w:tab w:val="center" w:pos="4513"/>
        <w:tab w:val="right" w:pos="9026"/>
      </w:tabs>
    </w:pPr>
  </w:style>
  <w:style w:type="character" w:customStyle="1" w:styleId="FooterChar">
    <w:name w:val="Footer Char"/>
    <w:basedOn w:val="DefaultParagraphFont"/>
    <w:link w:val="Footer"/>
    <w:uiPriority w:val="99"/>
    <w:rsid w:val="004B51A0"/>
    <w:rPr>
      <w:sz w:val="24"/>
      <w:szCs w:val="24"/>
      <w:lang w:val="en-US" w:eastAsia="en-US"/>
    </w:rPr>
  </w:style>
  <w:style w:type="character" w:customStyle="1" w:styleId="Heading1Char">
    <w:name w:val="Heading 1 Char"/>
    <w:basedOn w:val="DefaultParagraphFont"/>
    <w:link w:val="Heading1"/>
    <w:uiPriority w:val="9"/>
    <w:rsid w:val="00783972"/>
    <w:rPr>
      <w:rFonts w:asciiTheme="majorHAnsi" w:eastAsiaTheme="majorEastAsia" w:hAnsiTheme="majorHAnsi" w:cstheme="majorBidi"/>
      <w:color w:val="365F91" w:themeColor="accent1" w:themeShade="BF"/>
      <w:sz w:val="32"/>
      <w:szCs w:val="32"/>
      <w:lang w:val="en-US" w:eastAsia="en-US"/>
    </w:rPr>
  </w:style>
  <w:style w:type="paragraph" w:styleId="TOCHeading">
    <w:name w:val="TOC Heading"/>
    <w:basedOn w:val="Heading1"/>
    <w:next w:val="Normal"/>
    <w:uiPriority w:val="39"/>
    <w:unhideWhenUsed/>
    <w:qFormat/>
    <w:rsid w:val="00783972"/>
    <w:pPr>
      <w:pBdr>
        <w:top w:val="none" w:sz="0" w:space="0" w:color="auto"/>
        <w:left w:val="none" w:sz="0" w:space="0" w:color="auto"/>
        <w:bottom w:val="none" w:sz="0" w:space="0" w:color="auto"/>
        <w:right w:val="none" w:sz="0" w:space="0" w:color="auto"/>
        <w:between w:val="none" w:sz="0" w:space="0" w:color="auto"/>
        <w:bar w:val="none" w:sz="0" w:color="auto"/>
      </w:pBdr>
      <w:spacing w:line="259" w:lineRule="auto"/>
      <w:outlineLvl w:val="9"/>
    </w:pPr>
    <w:rPr>
      <w:bdr w:val="none" w:sz="0" w:space="0" w:color="auto"/>
    </w:rPr>
  </w:style>
  <w:style w:type="paragraph" w:styleId="TOC2">
    <w:name w:val="toc 2"/>
    <w:basedOn w:val="Normal"/>
    <w:next w:val="Normal"/>
    <w:autoRedefine/>
    <w:uiPriority w:val="39"/>
    <w:unhideWhenUsed/>
    <w:rsid w:val="007C3E95"/>
    <w:pPr>
      <w:pBdr>
        <w:top w:val="none" w:sz="0" w:space="0" w:color="auto"/>
        <w:left w:val="none" w:sz="0" w:space="0" w:color="auto"/>
        <w:bottom w:val="none" w:sz="0" w:space="0" w:color="auto"/>
        <w:right w:val="none" w:sz="0" w:space="0" w:color="auto"/>
        <w:between w:val="none" w:sz="0" w:space="0" w:color="auto"/>
        <w:bar w:val="none" w:sz="0" w:color="auto"/>
      </w:pBdr>
      <w:spacing w:after="100" w:line="259" w:lineRule="auto"/>
      <w:ind w:left="220"/>
    </w:pPr>
    <w:rPr>
      <w:rFonts w:asciiTheme="minorHAnsi" w:eastAsiaTheme="minorEastAsia" w:hAnsiTheme="minorHAnsi"/>
      <w:sz w:val="22"/>
      <w:szCs w:val="22"/>
      <w:bdr w:val="none" w:sz="0" w:space="0" w:color="auto"/>
    </w:rPr>
  </w:style>
  <w:style w:type="paragraph" w:styleId="TOC1">
    <w:name w:val="toc 1"/>
    <w:basedOn w:val="Normal"/>
    <w:next w:val="Normal"/>
    <w:autoRedefine/>
    <w:uiPriority w:val="39"/>
    <w:unhideWhenUsed/>
    <w:rsid w:val="007C3E95"/>
    <w:pPr>
      <w:pBdr>
        <w:top w:val="none" w:sz="0" w:space="0" w:color="auto"/>
        <w:left w:val="none" w:sz="0" w:space="0" w:color="auto"/>
        <w:bottom w:val="none" w:sz="0" w:space="0" w:color="auto"/>
        <w:right w:val="none" w:sz="0" w:space="0" w:color="auto"/>
        <w:between w:val="none" w:sz="0" w:space="0" w:color="auto"/>
        <w:bar w:val="none" w:sz="0" w:color="auto"/>
      </w:pBdr>
      <w:spacing w:after="100" w:line="259" w:lineRule="auto"/>
    </w:pPr>
    <w:rPr>
      <w:rFonts w:asciiTheme="minorHAnsi" w:eastAsiaTheme="minorEastAsia" w:hAnsiTheme="minorHAnsi"/>
      <w:sz w:val="22"/>
      <w:szCs w:val="22"/>
      <w:bdr w:val="none" w:sz="0" w:space="0" w:color="auto"/>
    </w:rPr>
  </w:style>
  <w:style w:type="paragraph" w:styleId="TOC3">
    <w:name w:val="toc 3"/>
    <w:basedOn w:val="Normal"/>
    <w:next w:val="Normal"/>
    <w:autoRedefine/>
    <w:uiPriority w:val="39"/>
    <w:unhideWhenUsed/>
    <w:rsid w:val="007C3E95"/>
    <w:pPr>
      <w:pBdr>
        <w:top w:val="none" w:sz="0" w:space="0" w:color="auto"/>
        <w:left w:val="none" w:sz="0" w:space="0" w:color="auto"/>
        <w:bottom w:val="none" w:sz="0" w:space="0" w:color="auto"/>
        <w:right w:val="none" w:sz="0" w:space="0" w:color="auto"/>
        <w:between w:val="none" w:sz="0" w:space="0" w:color="auto"/>
        <w:bar w:val="none" w:sz="0" w:color="auto"/>
      </w:pBdr>
      <w:spacing w:after="100" w:line="259" w:lineRule="auto"/>
      <w:ind w:left="440"/>
    </w:pPr>
    <w:rPr>
      <w:rFonts w:asciiTheme="minorHAnsi" w:eastAsiaTheme="minorEastAsia" w:hAnsiTheme="minorHAnsi"/>
      <w:sz w:val="22"/>
      <w:szCs w:val="22"/>
      <w:bdr w:val="none" w:sz="0" w:space="0" w:color="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customXml" Target="ink/ink1.xml"/><Relationship Id="rId14" Type="http://schemas.openxmlformats.org/officeDocument/2006/relationships/image" Target="media/image4.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1-06-01T21:08:04.002"/>
    </inkml:context>
    <inkml:brush xml:id="br0">
      <inkml:brushProperty name="width" value="0.05" units="cm"/>
      <inkml:brushProperty name="height" value="0.05" units="cm"/>
      <inkml:brushProperty name="ignorePressure" value="1"/>
    </inkml:brush>
  </inkml:definitions>
  <inkml:trace contextRef="#ctx0" brushRef="#br0">0 0,'4'0,"1"0</inkml:trace>
</inkml:ink>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50614E-5E18-471E-9879-663EF640BF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16350</Words>
  <Characters>93200</Characters>
  <Application>Microsoft Office Word</Application>
  <DocSecurity>0</DocSecurity>
  <Lines>776</Lines>
  <Paragraphs>218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Karina Savchuk</cp:lastModifiedBy>
  <cp:revision>411</cp:revision>
  <dcterms:created xsi:type="dcterms:W3CDTF">2021-05-28T19:50:00Z</dcterms:created>
  <dcterms:modified xsi:type="dcterms:W3CDTF">2021-06-01T22:11:00Z</dcterms:modified>
</cp:coreProperties>
</file>