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5BDF30" w14:textId="77777777" w:rsidR="00DC4459" w:rsidRDefault="00077D4E">
      <w:pPr>
        <w:pStyle w:val="Heading"/>
        <w:jc w:val="center"/>
      </w:pPr>
      <w:bookmarkStart w:id="0" w:name="_Toc73738976"/>
      <w:r>
        <w:rPr>
          <w:lang w:val="de-DE"/>
        </w:rPr>
        <w:t>TITLE PAGE</w:t>
      </w:r>
      <w:bookmarkEnd w:id="0"/>
    </w:p>
    <w:p w14:paraId="0B8DE9DD" w14:textId="77777777" w:rsidR="00DC4459" w:rsidRDefault="00077D4E">
      <w:pPr>
        <w:pStyle w:val="Body"/>
        <w:spacing w:before="100" w:after="100" w:line="360" w:lineRule="auto"/>
        <w:jc w:val="center"/>
        <w:rPr>
          <w:rFonts w:ascii="Times New Roman" w:eastAsia="Times New Roman" w:hAnsi="Times New Roman" w:cs="Times New Roman"/>
          <w:b/>
          <w:bCs/>
          <w:sz w:val="36"/>
          <w:szCs w:val="36"/>
        </w:rPr>
      </w:pPr>
      <w:r>
        <w:rPr>
          <w:rFonts w:ascii="Times New Roman" w:hAnsi="Times New Roman"/>
          <w:b/>
          <w:bCs/>
          <w:sz w:val="36"/>
          <w:szCs w:val="36"/>
          <w:lang w:val="en-US"/>
        </w:rPr>
        <w:t>FACTORS DETERMINING THE ADHERENCE TO CORPORATE GOVERNANCE CODES: CASE STUDY OF THE BANKING SECTOR IN IRELAND</w:t>
      </w:r>
    </w:p>
    <w:p w14:paraId="5E518A51" w14:textId="77777777" w:rsidR="00DC4459" w:rsidRDefault="00DC4459">
      <w:pPr>
        <w:pStyle w:val="Body"/>
        <w:spacing w:before="100" w:after="100" w:line="360" w:lineRule="auto"/>
        <w:jc w:val="center"/>
        <w:rPr>
          <w:rFonts w:ascii="Times New Roman" w:eastAsia="Times New Roman" w:hAnsi="Times New Roman" w:cs="Times New Roman"/>
          <w:b/>
          <w:bCs/>
          <w:sz w:val="36"/>
          <w:szCs w:val="36"/>
        </w:rPr>
      </w:pPr>
    </w:p>
    <w:p w14:paraId="793426C1" w14:textId="77777777" w:rsidR="00DC4459" w:rsidRDefault="00077D4E">
      <w:pPr>
        <w:pStyle w:val="Body"/>
        <w:spacing w:before="100" w:after="100" w:line="360" w:lineRule="auto"/>
        <w:jc w:val="center"/>
        <w:rPr>
          <w:rFonts w:ascii="Times New Roman" w:eastAsia="Times New Roman" w:hAnsi="Times New Roman" w:cs="Times New Roman"/>
          <w:b/>
          <w:bCs/>
          <w:sz w:val="24"/>
          <w:szCs w:val="24"/>
        </w:rPr>
      </w:pPr>
      <w:r>
        <w:rPr>
          <w:rFonts w:ascii="Times New Roman" w:hAnsi="Times New Roman"/>
          <w:sz w:val="24"/>
          <w:szCs w:val="24"/>
          <w:lang w:val="en-US"/>
        </w:rPr>
        <w:t xml:space="preserve">Research dissertation presented in partial fulfilment of the requirements </w:t>
      </w:r>
      <w:r>
        <w:rPr>
          <w:rFonts w:ascii="Times New Roman" w:eastAsia="Times New Roman" w:hAnsi="Times New Roman" w:cs="Times New Roman"/>
          <w:sz w:val="24"/>
          <w:szCs w:val="24"/>
        </w:rPr>
        <w:br/>
      </w:r>
      <w:r>
        <w:rPr>
          <w:rFonts w:ascii="Times New Roman" w:hAnsi="Times New Roman"/>
          <w:sz w:val="24"/>
          <w:szCs w:val="24"/>
          <w:lang w:val="en-US"/>
        </w:rPr>
        <w:t>for the degree of</w:t>
      </w:r>
      <w:r>
        <w:rPr>
          <w:rFonts w:ascii="Times New Roman" w:eastAsia="Times New Roman" w:hAnsi="Times New Roman" w:cs="Times New Roman"/>
          <w:sz w:val="24"/>
          <w:szCs w:val="24"/>
        </w:rPr>
        <w:br/>
      </w:r>
      <w:r>
        <w:rPr>
          <w:rFonts w:ascii="Times New Roman" w:hAnsi="Times New Roman"/>
          <w:b/>
          <w:bCs/>
          <w:sz w:val="24"/>
          <w:szCs w:val="24"/>
          <w:lang w:val="en-US"/>
        </w:rPr>
        <w:t>MSc in International Business and Law</w:t>
      </w:r>
    </w:p>
    <w:p w14:paraId="60BFB871" w14:textId="77777777" w:rsidR="00DC4459" w:rsidRDefault="00077D4E">
      <w:pPr>
        <w:pStyle w:val="Body"/>
        <w:spacing w:before="100" w:after="100" w:line="360" w:lineRule="auto"/>
        <w:jc w:val="center"/>
        <w:rPr>
          <w:rFonts w:ascii="Times New Roman" w:eastAsia="Times New Roman" w:hAnsi="Times New Roman" w:cs="Times New Roman"/>
          <w:sz w:val="24"/>
          <w:szCs w:val="24"/>
        </w:rPr>
      </w:pPr>
      <w:r>
        <w:rPr>
          <w:rFonts w:ascii="Times New Roman" w:hAnsi="Times New Roman"/>
          <w:sz w:val="24"/>
          <w:szCs w:val="24"/>
          <w:lang w:val="en-US"/>
        </w:rPr>
        <w:t>Griffith College Dublin</w:t>
      </w:r>
    </w:p>
    <w:p w14:paraId="3613AA7B" w14:textId="77777777" w:rsidR="00DC4459" w:rsidRDefault="00DC4459">
      <w:pPr>
        <w:pStyle w:val="Body"/>
        <w:spacing w:before="100" w:after="100" w:line="360" w:lineRule="auto"/>
        <w:jc w:val="center"/>
        <w:rPr>
          <w:rFonts w:ascii="Times New Roman" w:eastAsia="Times New Roman" w:hAnsi="Times New Roman" w:cs="Times New Roman"/>
          <w:sz w:val="24"/>
          <w:szCs w:val="24"/>
        </w:rPr>
      </w:pPr>
    </w:p>
    <w:p w14:paraId="2B800BF3" w14:textId="77777777" w:rsidR="00DC4459" w:rsidRDefault="00DC4459">
      <w:pPr>
        <w:pStyle w:val="Body"/>
        <w:spacing w:before="100" w:after="100" w:line="360" w:lineRule="auto"/>
        <w:jc w:val="center"/>
        <w:rPr>
          <w:rFonts w:ascii="Times New Roman" w:eastAsia="Times New Roman" w:hAnsi="Times New Roman" w:cs="Times New Roman"/>
          <w:sz w:val="24"/>
          <w:szCs w:val="24"/>
        </w:rPr>
      </w:pPr>
    </w:p>
    <w:p w14:paraId="6A5725E4" w14:textId="58AB8361" w:rsidR="00DC4459" w:rsidRDefault="00077D4E">
      <w:pPr>
        <w:pStyle w:val="Body"/>
        <w:spacing w:before="100" w:after="100" w:line="360" w:lineRule="auto"/>
        <w:jc w:val="center"/>
        <w:rPr>
          <w:rFonts w:ascii="Times New Roman" w:eastAsia="Times New Roman" w:hAnsi="Times New Roman" w:cs="Times New Roman"/>
          <w:b/>
          <w:bCs/>
          <w:sz w:val="24"/>
          <w:szCs w:val="24"/>
        </w:rPr>
      </w:pPr>
      <w:r>
        <w:rPr>
          <w:rFonts w:ascii="Times New Roman" w:hAnsi="Times New Roman"/>
          <w:sz w:val="24"/>
          <w:szCs w:val="24"/>
          <w:lang w:val="en-US"/>
        </w:rPr>
        <w:t xml:space="preserve">Dissertation Supervisor: </w:t>
      </w:r>
      <w:r w:rsidR="00CE7827">
        <w:rPr>
          <w:rFonts w:ascii="Times New Roman" w:hAnsi="Times New Roman"/>
          <w:b/>
          <w:bCs/>
          <w:sz w:val="24"/>
          <w:szCs w:val="24"/>
          <w:lang w:val="en-US"/>
        </w:rPr>
        <w:t xml:space="preserve">Dr. </w:t>
      </w:r>
      <w:r w:rsidR="00CE7827" w:rsidRPr="00CE7827">
        <w:rPr>
          <w:rFonts w:ascii="Times New Roman" w:hAnsi="Times New Roman"/>
          <w:b/>
          <w:bCs/>
          <w:sz w:val="24"/>
          <w:szCs w:val="24"/>
        </w:rPr>
        <w:t>THAMIL ANANTHAVINAYAGAN</w:t>
      </w:r>
    </w:p>
    <w:p w14:paraId="2C559A02" w14:textId="77777777" w:rsidR="00DC4459" w:rsidRDefault="00DC4459">
      <w:pPr>
        <w:pStyle w:val="Body"/>
        <w:spacing w:before="100" w:after="100" w:line="360" w:lineRule="auto"/>
        <w:jc w:val="center"/>
        <w:rPr>
          <w:rFonts w:ascii="Times New Roman" w:eastAsia="Times New Roman" w:hAnsi="Times New Roman" w:cs="Times New Roman"/>
          <w:sz w:val="24"/>
          <w:szCs w:val="24"/>
        </w:rPr>
      </w:pPr>
    </w:p>
    <w:p w14:paraId="6B021411" w14:textId="77777777" w:rsidR="00DC4459" w:rsidRDefault="00DC4459">
      <w:pPr>
        <w:pStyle w:val="Body"/>
        <w:spacing w:before="100" w:after="100" w:line="360" w:lineRule="auto"/>
        <w:jc w:val="center"/>
        <w:rPr>
          <w:rFonts w:ascii="Times New Roman" w:eastAsia="Times New Roman" w:hAnsi="Times New Roman" w:cs="Times New Roman"/>
          <w:sz w:val="24"/>
          <w:szCs w:val="24"/>
        </w:rPr>
      </w:pPr>
    </w:p>
    <w:p w14:paraId="49C8CC1B" w14:textId="77777777" w:rsidR="00DC4459" w:rsidRDefault="00077D4E">
      <w:pPr>
        <w:pStyle w:val="Body"/>
        <w:spacing w:before="100" w:after="100" w:line="360" w:lineRule="auto"/>
        <w:jc w:val="center"/>
        <w:rPr>
          <w:rFonts w:ascii="Times New Roman" w:eastAsia="Times New Roman" w:hAnsi="Times New Roman" w:cs="Times New Roman"/>
          <w:b/>
          <w:bCs/>
          <w:sz w:val="24"/>
          <w:szCs w:val="24"/>
        </w:rPr>
      </w:pPr>
      <w:r>
        <w:rPr>
          <w:rFonts w:ascii="Times New Roman" w:hAnsi="Times New Roman"/>
          <w:b/>
          <w:bCs/>
          <w:sz w:val="24"/>
          <w:szCs w:val="24"/>
          <w:lang w:val="en-US"/>
        </w:rPr>
        <w:t xml:space="preserve">Student Name: NNAMDI ELVIS AROH </w:t>
      </w:r>
    </w:p>
    <w:p w14:paraId="374B126F" w14:textId="33F57DAD" w:rsidR="00DC4459" w:rsidRDefault="00077D4E">
      <w:pPr>
        <w:pStyle w:val="Body"/>
        <w:spacing w:line="360" w:lineRule="auto"/>
        <w:jc w:val="center"/>
        <w:rPr>
          <w:rFonts w:ascii="Times New Roman" w:eastAsia="Times New Roman" w:hAnsi="Times New Roman" w:cs="Times New Roman"/>
          <w:b/>
          <w:bCs/>
          <w:sz w:val="24"/>
          <w:szCs w:val="24"/>
        </w:rPr>
      </w:pPr>
      <w:r>
        <w:rPr>
          <w:rFonts w:ascii="Times New Roman" w:hAnsi="Times New Roman"/>
          <w:b/>
          <w:bCs/>
          <w:sz w:val="24"/>
          <w:szCs w:val="24"/>
        </w:rPr>
        <w:t>0</w:t>
      </w:r>
      <w:r w:rsidR="00532651">
        <w:rPr>
          <w:rFonts w:ascii="Times New Roman" w:hAnsi="Times New Roman"/>
          <w:b/>
          <w:bCs/>
          <w:sz w:val="24"/>
          <w:szCs w:val="24"/>
        </w:rPr>
        <w:t>3</w:t>
      </w:r>
      <w:r>
        <w:rPr>
          <w:rFonts w:ascii="Times New Roman" w:hAnsi="Times New Roman"/>
          <w:b/>
          <w:bCs/>
          <w:sz w:val="24"/>
          <w:szCs w:val="24"/>
        </w:rPr>
        <w:t>/06/2021</w:t>
      </w:r>
    </w:p>
    <w:p w14:paraId="560EF202" w14:textId="77777777" w:rsidR="00DC4459" w:rsidRDefault="00DC4459">
      <w:pPr>
        <w:pStyle w:val="Body"/>
        <w:spacing w:line="360" w:lineRule="auto"/>
        <w:jc w:val="center"/>
        <w:rPr>
          <w:rFonts w:ascii="Times New Roman" w:eastAsia="Times New Roman" w:hAnsi="Times New Roman" w:cs="Times New Roman"/>
          <w:sz w:val="24"/>
          <w:szCs w:val="24"/>
        </w:rPr>
      </w:pPr>
    </w:p>
    <w:p w14:paraId="16670DB9" w14:textId="77777777" w:rsidR="00DC4459" w:rsidRDefault="00077D4E">
      <w:pPr>
        <w:pStyle w:val="Heading"/>
      </w:pPr>
      <w:r>
        <w:rPr>
          <w:rFonts w:ascii="Arial Unicode MS" w:eastAsia="Arial Unicode MS" w:hAnsi="Arial Unicode MS" w:cs="Arial Unicode MS"/>
          <w:b w:val="0"/>
          <w:bCs w:val="0"/>
        </w:rPr>
        <w:br w:type="page"/>
      </w:r>
    </w:p>
    <w:p w14:paraId="0A862144" w14:textId="77777777" w:rsidR="00DC4459" w:rsidRDefault="00077D4E">
      <w:pPr>
        <w:pStyle w:val="Heading"/>
      </w:pPr>
      <w:bookmarkStart w:id="1" w:name="_Toc73738977"/>
      <w:r>
        <w:rPr>
          <w:rFonts w:eastAsia="Arial Unicode MS" w:cs="Arial Unicode MS"/>
          <w:lang w:val="en-US"/>
        </w:rPr>
        <w:lastRenderedPageBreak/>
        <w:t>CANDIDATE DECLARATION</w:t>
      </w:r>
      <w:bookmarkEnd w:id="1"/>
    </w:p>
    <w:p w14:paraId="56B6E3E0" w14:textId="77777777" w:rsidR="00DC4459" w:rsidRDefault="00DC4459">
      <w:pPr>
        <w:pStyle w:val="Body"/>
        <w:spacing w:line="360" w:lineRule="auto"/>
        <w:jc w:val="both"/>
        <w:rPr>
          <w:rFonts w:ascii="Times New Roman" w:eastAsia="Times New Roman" w:hAnsi="Times New Roman" w:cs="Times New Roman"/>
          <w:sz w:val="24"/>
          <w:szCs w:val="24"/>
        </w:rPr>
      </w:pPr>
    </w:p>
    <w:p w14:paraId="4150EEBA" w14:textId="5F6E033C" w:rsidR="00DC4459" w:rsidRDefault="00077D4E">
      <w:pPr>
        <w:pStyle w:val="Body"/>
        <w:spacing w:line="360" w:lineRule="auto"/>
        <w:rPr>
          <w:rFonts w:ascii="Times New Roman" w:eastAsia="Times New Roman" w:hAnsi="Times New Roman" w:cs="Times New Roman"/>
          <w:sz w:val="24"/>
          <w:szCs w:val="24"/>
        </w:rPr>
      </w:pPr>
      <w:proofErr w:type="spellStart"/>
      <w:r>
        <w:rPr>
          <w:rFonts w:ascii="Times New Roman" w:hAnsi="Times New Roman"/>
          <w:sz w:val="24"/>
          <w:szCs w:val="24"/>
          <w:lang w:val="de-DE"/>
        </w:rPr>
        <w:t>Candidate</w:t>
      </w:r>
      <w:proofErr w:type="spellEnd"/>
      <w:r>
        <w:rPr>
          <w:rFonts w:ascii="Times New Roman" w:hAnsi="Times New Roman"/>
          <w:sz w:val="24"/>
          <w:szCs w:val="24"/>
          <w:lang w:val="de-DE"/>
        </w:rPr>
        <w:t xml:space="preserve"> Name:</w:t>
      </w:r>
      <w:r w:rsidR="00CE7827">
        <w:rPr>
          <w:rFonts w:ascii="Times New Roman" w:hAnsi="Times New Roman"/>
          <w:sz w:val="24"/>
          <w:szCs w:val="24"/>
          <w:lang w:val="de-DE"/>
        </w:rPr>
        <w:t xml:space="preserve"> Nnamdi Elvis </w:t>
      </w:r>
      <w:proofErr w:type="spellStart"/>
      <w:r w:rsidR="00CE7827">
        <w:rPr>
          <w:rFonts w:ascii="Times New Roman" w:hAnsi="Times New Roman"/>
          <w:sz w:val="24"/>
          <w:szCs w:val="24"/>
          <w:lang w:val="de-DE"/>
        </w:rPr>
        <w:t>Aroh</w:t>
      </w:r>
      <w:proofErr w:type="spellEnd"/>
      <w:r>
        <w:rPr>
          <w:rFonts w:ascii="Times New Roman" w:hAnsi="Times New Roman"/>
          <w:sz w:val="24"/>
          <w:szCs w:val="24"/>
          <w:lang w:val="de-DE"/>
        </w:rPr>
        <w:tab/>
      </w:r>
    </w:p>
    <w:p w14:paraId="58E3340E"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p>
    <w:p w14:paraId="1F50D8CD"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 certify that the dissertation entitled: </w:t>
      </w:r>
    </w:p>
    <w:p w14:paraId="7B99F088"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“Factors Determining the Adherence to Corporate Governance Codes: Case study of the Banking Sector in Ireland” submitted for the degree of   </w:t>
      </w:r>
      <w:r>
        <w:rPr>
          <w:rFonts w:ascii="Times New Roman" w:hAnsi="Times New Roman"/>
          <w:b/>
          <w:bCs/>
          <w:sz w:val="24"/>
          <w:szCs w:val="24"/>
          <w:lang w:val="en-US"/>
        </w:rPr>
        <w:t xml:space="preserve">MSc in </w:t>
      </w:r>
      <w:proofErr w:type="spellStart"/>
      <w:r>
        <w:rPr>
          <w:rFonts w:ascii="Times New Roman" w:hAnsi="Times New Roman"/>
          <w:b/>
          <w:bCs/>
          <w:sz w:val="24"/>
          <w:szCs w:val="24"/>
          <w:lang w:val="en-US"/>
        </w:rPr>
        <w:t>Programme</w:t>
      </w:r>
      <w:proofErr w:type="spellEnd"/>
      <w:r>
        <w:rPr>
          <w:rFonts w:ascii="Times New Roman" w:hAnsi="Times New Roman"/>
          <w:b/>
          <w:bCs/>
          <w:sz w:val="24"/>
          <w:szCs w:val="24"/>
          <w:lang w:val="en-US"/>
        </w:rPr>
        <w:t xml:space="preserve"> in International Business and Law</w:t>
      </w:r>
      <w:r>
        <w:rPr>
          <w:rFonts w:ascii="Times New Roman" w:hAnsi="Times New Roman"/>
          <w:sz w:val="24"/>
          <w:szCs w:val="24"/>
          <w:lang w:val="en-US"/>
        </w:rPr>
        <w:t xml:space="preserve"> is the result of my own work and that where reference is made to the work of others, due acknowledgment is given.</w:t>
      </w:r>
    </w:p>
    <w:p w14:paraId="5BAD9D39" w14:textId="77777777" w:rsidR="00DC4459" w:rsidRDefault="00DC4459">
      <w:pPr>
        <w:pStyle w:val="Body"/>
        <w:spacing w:line="360" w:lineRule="auto"/>
        <w:jc w:val="both"/>
        <w:rPr>
          <w:rFonts w:ascii="Times New Roman" w:eastAsia="Times New Roman" w:hAnsi="Times New Roman" w:cs="Times New Roman"/>
          <w:sz w:val="24"/>
          <w:szCs w:val="24"/>
        </w:rPr>
      </w:pPr>
    </w:p>
    <w:p w14:paraId="2E756B73"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it-IT"/>
        </w:rPr>
        <w:t>Candidate signature:</w:t>
      </w:r>
      <w:r>
        <w:rPr>
          <w:rFonts w:ascii="Times New Roman" w:hAnsi="Times New Roman"/>
          <w:sz w:val="24"/>
          <w:szCs w:val="24"/>
          <w:lang w:val="it-IT"/>
        </w:rPr>
        <w:tab/>
      </w:r>
      <w:r>
        <w:rPr>
          <w:rFonts w:ascii="Times New Roman" w:hAnsi="Times New Roman"/>
          <w:sz w:val="24"/>
          <w:szCs w:val="24"/>
          <w:lang w:val="it-IT"/>
        </w:rPr>
        <w:tab/>
      </w:r>
      <w:r>
        <w:rPr>
          <w:rFonts w:ascii="Times New Roman" w:hAnsi="Times New Roman"/>
          <w:sz w:val="24"/>
          <w:szCs w:val="24"/>
          <w:lang w:val="it-IT"/>
        </w:rPr>
        <w:tab/>
      </w:r>
    </w:p>
    <w:p w14:paraId="69A7E926"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766E58FB" wp14:editId="02587B3D">
            <wp:extent cx="888815" cy="447363"/>
            <wp:effectExtent l="0" t="0" r="0" b="0"/>
            <wp:docPr id="1073741825" name="officeArt object" descr="Picture 4"/>
            <wp:cNvGraphicFramePr/>
            <a:graphic xmlns:a="http://schemas.openxmlformats.org/drawingml/2006/main">
              <a:graphicData uri="http://schemas.openxmlformats.org/drawingml/2006/picture">
                <pic:pic xmlns:pic="http://schemas.openxmlformats.org/drawingml/2006/picture">
                  <pic:nvPicPr>
                    <pic:cNvPr id="1073741825" name="Picture 4" descr="Picture 4"/>
                    <pic:cNvPicPr>
                      <a:picLocks noChangeAspect="1"/>
                    </pic:cNvPicPr>
                  </pic:nvPicPr>
                  <pic:blipFill>
                    <a:blip r:embed="rId7"/>
                    <a:stretch>
                      <a:fillRect/>
                    </a:stretch>
                  </pic:blipFill>
                  <pic:spPr>
                    <a:xfrm>
                      <a:off x="0" y="0"/>
                      <a:ext cx="888815" cy="447363"/>
                    </a:xfrm>
                    <a:prstGeom prst="rect">
                      <a:avLst/>
                    </a:prstGeom>
                    <a:ln w="12700" cap="flat">
                      <a:noFill/>
                      <a:miter lim="400000"/>
                    </a:ln>
                    <a:effectLst/>
                  </pic:spPr>
                </pic:pic>
              </a:graphicData>
            </a:graphic>
          </wp:inline>
        </w:drawing>
      </w:r>
    </w:p>
    <w:p w14:paraId="69A856DB" w14:textId="779331C4"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de-DE"/>
        </w:rPr>
        <w:t>Date:</w:t>
      </w:r>
      <w:r>
        <w:rPr>
          <w:rFonts w:ascii="Times New Roman" w:hAnsi="Times New Roman"/>
          <w:sz w:val="24"/>
          <w:szCs w:val="24"/>
          <w:lang w:val="de-DE"/>
        </w:rPr>
        <w:tab/>
        <w:t>0</w:t>
      </w:r>
      <w:r w:rsidR="00CE7827">
        <w:rPr>
          <w:rFonts w:ascii="Times New Roman" w:hAnsi="Times New Roman"/>
          <w:sz w:val="24"/>
          <w:szCs w:val="24"/>
          <w:lang w:val="de-DE"/>
        </w:rPr>
        <w:t>3</w:t>
      </w:r>
      <w:r>
        <w:rPr>
          <w:rFonts w:ascii="Times New Roman" w:hAnsi="Times New Roman"/>
          <w:sz w:val="24"/>
          <w:szCs w:val="24"/>
          <w:lang w:val="de-DE"/>
        </w:rPr>
        <w:t>/06/2021</w:t>
      </w:r>
      <w:r>
        <w:rPr>
          <w:rFonts w:ascii="Times New Roman" w:hAnsi="Times New Roman"/>
          <w:sz w:val="24"/>
          <w:szCs w:val="24"/>
          <w:lang w:val="de-DE"/>
        </w:rPr>
        <w:tab/>
      </w:r>
      <w:r>
        <w:rPr>
          <w:rFonts w:ascii="Times New Roman" w:hAnsi="Times New Roman"/>
          <w:sz w:val="24"/>
          <w:szCs w:val="24"/>
          <w:lang w:val="de-DE"/>
        </w:rPr>
        <w:tab/>
      </w:r>
      <w:r>
        <w:rPr>
          <w:rFonts w:ascii="Times New Roman" w:hAnsi="Times New Roman"/>
          <w:sz w:val="24"/>
          <w:szCs w:val="24"/>
          <w:lang w:val="de-DE"/>
        </w:rPr>
        <w:tab/>
      </w:r>
    </w:p>
    <w:p w14:paraId="7A18F9A7" w14:textId="77777777" w:rsidR="00DC4459" w:rsidRDefault="00DC4459">
      <w:pPr>
        <w:pStyle w:val="Body"/>
        <w:spacing w:line="360" w:lineRule="auto"/>
        <w:jc w:val="both"/>
        <w:rPr>
          <w:rFonts w:ascii="Times New Roman" w:eastAsia="Times New Roman" w:hAnsi="Times New Roman" w:cs="Times New Roman"/>
          <w:sz w:val="24"/>
          <w:szCs w:val="24"/>
        </w:rPr>
      </w:pPr>
    </w:p>
    <w:p w14:paraId="2B2E83AA"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de-DE"/>
        </w:rPr>
        <w:t xml:space="preserve">Supervisor Name:  </w:t>
      </w:r>
      <w:r>
        <w:rPr>
          <w:rFonts w:ascii="Times New Roman" w:hAnsi="Times New Roman"/>
          <w:sz w:val="24"/>
          <w:szCs w:val="24"/>
        </w:rPr>
        <w:t xml:space="preserve">Thamil </w:t>
      </w:r>
      <w:proofErr w:type="spellStart"/>
      <w:r>
        <w:rPr>
          <w:rFonts w:ascii="Times New Roman" w:hAnsi="Times New Roman"/>
          <w:sz w:val="24"/>
          <w:szCs w:val="24"/>
        </w:rPr>
        <w:t>Ananthavinayagan</w:t>
      </w:r>
      <w:proofErr w:type="spellEnd"/>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327DDE4F" w14:textId="77777777" w:rsidR="00DC4459" w:rsidRDefault="00DC4459">
      <w:pPr>
        <w:pStyle w:val="Body"/>
        <w:spacing w:line="360" w:lineRule="auto"/>
        <w:jc w:val="both"/>
        <w:rPr>
          <w:rFonts w:ascii="Times New Roman" w:eastAsia="Times New Roman" w:hAnsi="Times New Roman" w:cs="Times New Roman"/>
          <w:sz w:val="24"/>
          <w:szCs w:val="24"/>
        </w:rPr>
      </w:pPr>
    </w:p>
    <w:p w14:paraId="21C65677" w14:textId="50DE7BC5" w:rsidR="00DC4459" w:rsidRDefault="00077D4E">
      <w:pPr>
        <w:pStyle w:val="Body"/>
        <w:tabs>
          <w:tab w:val="left" w:pos="2835"/>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Supervisor signature:</w:t>
      </w:r>
      <w:r w:rsidR="00CE7827">
        <w:rPr>
          <w:rFonts w:ascii="Times New Roman" w:hAnsi="Times New Roman"/>
          <w:sz w:val="24"/>
          <w:szCs w:val="24"/>
          <w:lang w:val="en-US"/>
        </w:rPr>
        <w:t xml:space="preserve"> </w:t>
      </w:r>
      <w:r w:rsidR="00CE7827">
        <w:rPr>
          <w:rFonts w:ascii="Times New Roman" w:hAnsi="Times New Roman"/>
          <w:noProof/>
          <w:sz w:val="24"/>
          <w:szCs w:val="24"/>
          <w:lang w:val="en-US"/>
        </w:rPr>
        <w:drawing>
          <wp:inline distT="0" distB="0" distL="0" distR="0" wp14:anchorId="0C1AB079" wp14:editId="5E52545E">
            <wp:extent cx="1143000" cy="472034"/>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13108" cy="500987"/>
                    </a:xfrm>
                    <a:prstGeom prst="rect">
                      <a:avLst/>
                    </a:prstGeom>
                    <a:noFill/>
                  </pic:spPr>
                </pic:pic>
              </a:graphicData>
            </a:graphic>
          </wp:inline>
        </w:drawing>
      </w:r>
      <w:r>
        <w:rPr>
          <w:rFonts w:ascii="Times New Roman" w:hAnsi="Times New Roman"/>
          <w:sz w:val="24"/>
          <w:szCs w:val="24"/>
          <w:lang w:val="en-US"/>
        </w:rPr>
        <w:tab/>
      </w:r>
    </w:p>
    <w:p w14:paraId="50EFDDEF" w14:textId="77777777" w:rsidR="00DC4459" w:rsidRDefault="00DC4459">
      <w:pPr>
        <w:pStyle w:val="Body"/>
        <w:spacing w:line="360" w:lineRule="auto"/>
        <w:jc w:val="both"/>
        <w:rPr>
          <w:rFonts w:ascii="Times New Roman" w:eastAsia="Times New Roman" w:hAnsi="Times New Roman" w:cs="Times New Roman"/>
          <w:sz w:val="24"/>
          <w:szCs w:val="24"/>
        </w:rPr>
      </w:pPr>
    </w:p>
    <w:p w14:paraId="1D21F756" w14:textId="7A142329"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de-DE"/>
        </w:rPr>
        <w:t>Date:</w:t>
      </w:r>
      <w:r>
        <w:rPr>
          <w:rFonts w:ascii="Times New Roman" w:hAnsi="Times New Roman"/>
          <w:sz w:val="24"/>
          <w:szCs w:val="24"/>
          <w:lang w:val="de-DE"/>
        </w:rPr>
        <w:tab/>
      </w:r>
      <w:r w:rsidR="00CE7827">
        <w:rPr>
          <w:rFonts w:ascii="Times New Roman" w:hAnsi="Times New Roman"/>
          <w:sz w:val="24"/>
          <w:szCs w:val="24"/>
          <w:lang w:val="de-DE"/>
        </w:rPr>
        <w:t>03/06/2021</w:t>
      </w:r>
      <w:r>
        <w:rPr>
          <w:rFonts w:ascii="Times New Roman" w:hAnsi="Times New Roman"/>
          <w:sz w:val="24"/>
          <w:szCs w:val="24"/>
          <w:lang w:val="de-DE"/>
        </w:rPr>
        <w:tab/>
      </w:r>
      <w:r>
        <w:rPr>
          <w:rFonts w:ascii="Times New Roman" w:hAnsi="Times New Roman"/>
          <w:sz w:val="24"/>
          <w:szCs w:val="24"/>
          <w:lang w:val="de-DE"/>
        </w:rPr>
        <w:tab/>
      </w:r>
      <w:r>
        <w:rPr>
          <w:rFonts w:ascii="Times New Roman" w:hAnsi="Times New Roman"/>
          <w:sz w:val="24"/>
          <w:szCs w:val="24"/>
          <w:lang w:val="de-DE"/>
        </w:rPr>
        <w:tab/>
      </w:r>
      <w:r>
        <w:rPr>
          <w:rFonts w:ascii="Times New Roman" w:hAnsi="Times New Roman"/>
          <w:sz w:val="24"/>
          <w:szCs w:val="24"/>
          <w:lang w:val="de-DE"/>
        </w:rPr>
        <w:tab/>
      </w:r>
    </w:p>
    <w:p w14:paraId="3B1A6C18" w14:textId="77777777" w:rsidR="00DC4459" w:rsidRDefault="00077D4E">
      <w:pPr>
        <w:pStyle w:val="Heading"/>
      </w:pPr>
      <w:r>
        <w:rPr>
          <w:rFonts w:ascii="Arial Unicode MS" w:eastAsia="Arial Unicode MS" w:hAnsi="Arial Unicode MS" w:cs="Arial Unicode MS"/>
          <w:b w:val="0"/>
          <w:bCs w:val="0"/>
        </w:rPr>
        <w:br w:type="page"/>
      </w:r>
    </w:p>
    <w:p w14:paraId="7FB1A3FD" w14:textId="77777777" w:rsidR="00DC4459" w:rsidRDefault="00077D4E">
      <w:pPr>
        <w:pStyle w:val="Heading"/>
      </w:pPr>
      <w:bookmarkStart w:id="2" w:name="_Toc73738978"/>
      <w:r>
        <w:rPr>
          <w:rFonts w:eastAsia="Arial Unicode MS" w:cs="Arial Unicode MS"/>
          <w:lang w:val="en-US"/>
        </w:rPr>
        <w:lastRenderedPageBreak/>
        <w:t>DEDICATION</w:t>
      </w:r>
      <w:bookmarkEnd w:id="2"/>
    </w:p>
    <w:p w14:paraId="5CED27DB"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project is dedicated to the Almighty God who by his grace, blessings and mercy, I have been able to complete my program. Also to my parents Dr. and Dr.(</w:t>
      </w:r>
      <w:proofErr w:type="spellStart"/>
      <w:r>
        <w:rPr>
          <w:rFonts w:ascii="Times New Roman" w:hAnsi="Times New Roman"/>
          <w:sz w:val="24"/>
          <w:szCs w:val="24"/>
          <w:lang w:val="en-US"/>
        </w:rPr>
        <w:t>Mrs</w:t>
      </w:r>
      <w:proofErr w:type="spellEnd"/>
      <w:r>
        <w:rPr>
          <w:rFonts w:ascii="Times New Roman" w:hAnsi="Times New Roman"/>
          <w:sz w:val="24"/>
          <w:szCs w:val="24"/>
          <w:lang w:val="en-US"/>
        </w:rPr>
        <w:t>) J.C AROH (NDI OGA ADIRI MMA) for their full and whole-hearted support financially, physically, emotionally and spiritually which aided me tremendously in the successful completion of this program.</w:t>
      </w:r>
    </w:p>
    <w:p w14:paraId="111EDBA5" w14:textId="77777777" w:rsidR="00DC4459" w:rsidRDefault="00DC4459">
      <w:pPr>
        <w:pStyle w:val="Body"/>
        <w:spacing w:line="360" w:lineRule="auto"/>
        <w:jc w:val="both"/>
        <w:rPr>
          <w:rFonts w:ascii="Times New Roman" w:eastAsia="Times New Roman" w:hAnsi="Times New Roman" w:cs="Times New Roman"/>
          <w:sz w:val="24"/>
          <w:szCs w:val="24"/>
        </w:rPr>
      </w:pPr>
    </w:p>
    <w:p w14:paraId="67DD0FAC" w14:textId="77777777" w:rsidR="00DC4459" w:rsidRDefault="00DC4459">
      <w:pPr>
        <w:pStyle w:val="Body"/>
        <w:spacing w:line="360" w:lineRule="auto"/>
        <w:jc w:val="both"/>
        <w:rPr>
          <w:rFonts w:ascii="Times New Roman" w:eastAsia="Times New Roman" w:hAnsi="Times New Roman" w:cs="Times New Roman"/>
          <w:sz w:val="24"/>
          <w:szCs w:val="24"/>
        </w:rPr>
      </w:pPr>
    </w:p>
    <w:p w14:paraId="26AF254F" w14:textId="77777777" w:rsidR="00DC4459" w:rsidRDefault="00DC4459">
      <w:pPr>
        <w:pStyle w:val="Body"/>
        <w:spacing w:line="360" w:lineRule="auto"/>
        <w:jc w:val="both"/>
        <w:rPr>
          <w:rFonts w:ascii="Times New Roman" w:eastAsia="Times New Roman" w:hAnsi="Times New Roman" w:cs="Times New Roman"/>
          <w:sz w:val="24"/>
          <w:szCs w:val="24"/>
        </w:rPr>
      </w:pPr>
    </w:p>
    <w:p w14:paraId="283709CA" w14:textId="77777777" w:rsidR="00DC4459" w:rsidRDefault="00DC4459">
      <w:pPr>
        <w:pStyle w:val="Body"/>
        <w:spacing w:line="360" w:lineRule="auto"/>
        <w:jc w:val="both"/>
        <w:rPr>
          <w:rFonts w:ascii="Times New Roman" w:eastAsia="Times New Roman" w:hAnsi="Times New Roman" w:cs="Times New Roman"/>
          <w:sz w:val="24"/>
          <w:szCs w:val="24"/>
        </w:rPr>
      </w:pPr>
    </w:p>
    <w:p w14:paraId="627F45CD" w14:textId="77777777" w:rsidR="00DC4459" w:rsidRDefault="00DC4459">
      <w:pPr>
        <w:pStyle w:val="Body"/>
        <w:spacing w:line="360" w:lineRule="auto"/>
        <w:jc w:val="both"/>
        <w:rPr>
          <w:rFonts w:ascii="Times New Roman" w:eastAsia="Times New Roman" w:hAnsi="Times New Roman" w:cs="Times New Roman"/>
          <w:sz w:val="24"/>
          <w:szCs w:val="24"/>
        </w:rPr>
      </w:pPr>
    </w:p>
    <w:p w14:paraId="47A5A4E3" w14:textId="77777777" w:rsidR="00DC4459" w:rsidRDefault="00077D4E">
      <w:pPr>
        <w:pStyle w:val="Heading"/>
      </w:pPr>
      <w:r>
        <w:rPr>
          <w:rFonts w:ascii="Arial Unicode MS" w:eastAsia="Arial Unicode MS" w:hAnsi="Arial Unicode MS" w:cs="Arial Unicode MS"/>
          <w:b w:val="0"/>
          <w:bCs w:val="0"/>
        </w:rPr>
        <w:br w:type="page"/>
      </w:r>
    </w:p>
    <w:p w14:paraId="38B36305" w14:textId="77777777" w:rsidR="00DC4459" w:rsidRDefault="00077D4E">
      <w:pPr>
        <w:pStyle w:val="Heading"/>
      </w:pPr>
      <w:bookmarkStart w:id="3" w:name="_Toc73738979"/>
      <w:r>
        <w:rPr>
          <w:rFonts w:eastAsia="Arial Unicode MS" w:cs="Arial Unicode MS"/>
          <w:lang w:val="de-DE"/>
        </w:rPr>
        <w:lastRenderedPageBreak/>
        <w:t>ACKNOWLEDGEMENTS</w:t>
      </w:r>
      <w:bookmarkEnd w:id="3"/>
    </w:p>
    <w:p w14:paraId="54EA8664"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To my Lord Jesus Christ whose unmerited </w:t>
      </w:r>
      <w:proofErr w:type="spellStart"/>
      <w:r>
        <w:rPr>
          <w:rFonts w:ascii="Times New Roman" w:hAnsi="Times New Roman"/>
          <w:sz w:val="24"/>
          <w:szCs w:val="24"/>
          <w:lang w:val="en-US"/>
        </w:rPr>
        <w:t>Favours</w:t>
      </w:r>
      <w:proofErr w:type="spellEnd"/>
      <w:r>
        <w:rPr>
          <w:rFonts w:ascii="Times New Roman" w:hAnsi="Times New Roman"/>
          <w:sz w:val="24"/>
          <w:szCs w:val="24"/>
          <w:lang w:val="en-US"/>
        </w:rPr>
        <w:t xml:space="preserve"> and blessings crowned me with good health, strength and knowledge throughout my stay in Griffith College to make this research a reality. To you be all the glory. </w:t>
      </w:r>
    </w:p>
    <w:p w14:paraId="4432806C" w14:textId="77777777" w:rsidR="00DC4459" w:rsidRDefault="00077D4E">
      <w:pPr>
        <w:pStyle w:val="Body"/>
        <w:spacing w:line="360" w:lineRule="auto"/>
        <w:ind w:right="95"/>
        <w:jc w:val="both"/>
        <w:rPr>
          <w:rFonts w:ascii="Times New Roman" w:eastAsia="Times New Roman" w:hAnsi="Times New Roman" w:cs="Times New Roman"/>
          <w:sz w:val="24"/>
          <w:szCs w:val="24"/>
        </w:rPr>
      </w:pPr>
      <w:r>
        <w:rPr>
          <w:rFonts w:ascii="Times New Roman" w:hAnsi="Times New Roman"/>
          <w:sz w:val="24"/>
          <w:szCs w:val="24"/>
          <w:lang w:val="en-US"/>
        </w:rPr>
        <w:t xml:space="preserve">My utmost appreciation goes to my wonderful, supportive, caring and loving parents Dr. </w:t>
      </w:r>
      <w:proofErr w:type="spellStart"/>
      <w:r>
        <w:rPr>
          <w:rFonts w:ascii="Times New Roman" w:hAnsi="Times New Roman"/>
          <w:sz w:val="24"/>
          <w:szCs w:val="24"/>
          <w:lang w:val="en-US"/>
        </w:rPr>
        <w:t>Aroh</w:t>
      </w:r>
      <w:proofErr w:type="spellEnd"/>
      <w:r>
        <w:rPr>
          <w:rFonts w:ascii="Times New Roman" w:hAnsi="Times New Roman"/>
          <w:sz w:val="24"/>
          <w:szCs w:val="24"/>
          <w:lang w:val="en-US"/>
        </w:rPr>
        <w:t xml:space="preserve"> J.C. and Dr. Mrs. </w:t>
      </w:r>
      <w:proofErr w:type="spellStart"/>
      <w:r>
        <w:rPr>
          <w:rFonts w:ascii="Times New Roman" w:hAnsi="Times New Roman"/>
          <w:sz w:val="24"/>
          <w:szCs w:val="24"/>
          <w:lang w:val="en-US"/>
        </w:rPr>
        <w:t>Aroh</w:t>
      </w:r>
      <w:proofErr w:type="spellEnd"/>
      <w:r>
        <w:rPr>
          <w:rFonts w:ascii="Times New Roman" w:hAnsi="Times New Roman"/>
          <w:sz w:val="24"/>
          <w:szCs w:val="24"/>
          <w:lang w:val="en-US"/>
        </w:rPr>
        <w:t xml:space="preserve"> N.N. for their full and whole-hearted support financially, emotionally and spiritually which aided me tremendously in the successful completion of this program. I also appreciate my siblings </w:t>
      </w:r>
      <w:proofErr w:type="spellStart"/>
      <w:r>
        <w:rPr>
          <w:rFonts w:ascii="Times New Roman" w:hAnsi="Times New Roman"/>
          <w:sz w:val="24"/>
          <w:szCs w:val="24"/>
          <w:lang w:val="en-US"/>
        </w:rPr>
        <w:t>Olisa</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Adanna</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Ebuka</w:t>
      </w:r>
      <w:proofErr w:type="spellEnd"/>
      <w:r>
        <w:rPr>
          <w:rFonts w:ascii="Times New Roman" w:hAnsi="Times New Roman"/>
          <w:sz w:val="24"/>
          <w:szCs w:val="24"/>
          <w:lang w:val="en-US"/>
        </w:rPr>
        <w:t xml:space="preserve"> for their love, prayers and support.</w:t>
      </w:r>
    </w:p>
    <w:p w14:paraId="60757DC2"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 would like to appreciate my supervisor, </w:t>
      </w:r>
      <w:proofErr w:type="spellStart"/>
      <w:r>
        <w:rPr>
          <w:rFonts w:ascii="Times New Roman" w:hAnsi="Times New Roman"/>
          <w:sz w:val="24"/>
          <w:szCs w:val="24"/>
          <w:lang w:val="en-US"/>
        </w:rPr>
        <w:t>Thamil</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Ananthavinayagan</w:t>
      </w:r>
      <w:proofErr w:type="spellEnd"/>
      <w:r>
        <w:rPr>
          <w:rFonts w:ascii="Times New Roman" w:hAnsi="Times New Roman"/>
          <w:sz w:val="24"/>
          <w:szCs w:val="24"/>
          <w:lang w:val="en-US"/>
        </w:rPr>
        <w:t xml:space="preserve"> for his immense support and vast knowledge of research, whose advice and supervision was instrumental to this research. It is amazing how much he knows and how helpful he was to me. You believed in me in spite of all circumstances. Words alone cannot express my gratitude. Thank you sir.</w:t>
      </w:r>
    </w:p>
    <w:p w14:paraId="1666631B"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Also, to my colleagues IBL CLASS OF 2021, I say a very big thank you for making my 18 months with you  the best.</w:t>
      </w:r>
    </w:p>
    <w:p w14:paraId="70F4BE4D" w14:textId="6120C08F"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Lastly, I would like to thank all my lecturers and officers of the Graduate Business School, Griffith College, it was an hon</w:t>
      </w:r>
      <w:r w:rsidR="007C1276">
        <w:rPr>
          <w:rFonts w:ascii="Times New Roman" w:hAnsi="Times New Roman"/>
          <w:sz w:val="24"/>
          <w:szCs w:val="24"/>
          <w:lang w:val="en-US"/>
        </w:rPr>
        <w:t>o</w:t>
      </w:r>
      <w:r>
        <w:rPr>
          <w:rFonts w:ascii="Times New Roman" w:hAnsi="Times New Roman"/>
          <w:sz w:val="24"/>
          <w:szCs w:val="24"/>
          <w:lang w:val="en-US"/>
        </w:rPr>
        <w:t>r learning under your tutelage. God bless you all.</w:t>
      </w:r>
    </w:p>
    <w:p w14:paraId="7835725A" w14:textId="77777777" w:rsidR="00DC4459" w:rsidRDefault="00DC4459">
      <w:pPr>
        <w:pStyle w:val="Body"/>
        <w:spacing w:line="360" w:lineRule="auto"/>
        <w:jc w:val="both"/>
        <w:rPr>
          <w:rFonts w:ascii="Times New Roman" w:eastAsia="Times New Roman" w:hAnsi="Times New Roman" w:cs="Times New Roman"/>
          <w:sz w:val="24"/>
          <w:szCs w:val="24"/>
        </w:rPr>
      </w:pPr>
    </w:p>
    <w:p w14:paraId="3570D391" w14:textId="77777777" w:rsidR="00DC4459" w:rsidRDefault="00077D4E">
      <w:pPr>
        <w:pStyle w:val="Heading"/>
        <w:jc w:val="center"/>
      </w:pPr>
      <w:r>
        <w:rPr>
          <w:rFonts w:ascii="Arial Unicode MS" w:eastAsia="Arial Unicode MS" w:hAnsi="Arial Unicode MS" w:cs="Arial Unicode MS"/>
          <w:b w:val="0"/>
          <w:bCs w:val="0"/>
        </w:rPr>
        <w:br w:type="page"/>
      </w:r>
    </w:p>
    <w:p w14:paraId="447138AB" w14:textId="77777777" w:rsidR="00DC4459" w:rsidRDefault="00077D4E">
      <w:pPr>
        <w:pStyle w:val="Heading"/>
        <w:jc w:val="center"/>
      </w:pPr>
      <w:bookmarkStart w:id="4" w:name="_Toc73738980"/>
      <w:r>
        <w:rPr>
          <w:lang w:val="de-DE"/>
        </w:rPr>
        <w:lastRenderedPageBreak/>
        <w:t>ABSTRACT</w:t>
      </w:r>
      <w:bookmarkEnd w:id="4"/>
    </w:p>
    <w:p w14:paraId="4697CD8A"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48B503A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Corporate governance involves principles regulating the conduct of corporate business firms. It ensures transparency, accountability and upholds the interest of shareholders and stakeholders. Irish corporate governance is structured using the Comply-Explain (CEP) approach, where firms comply with corporate governance principles or explain reasons for non-compliance. This approach is said to be weak, inefficient as companies do not adhere to codes neither give sufficient reasons for non-adherence. This research investigates the adherence level of corporate governance codes amongst Irish banks. The research collects data from interviews of two bank managers and three bank boards of directors. Overall, the study discovers that earlier claims of the inefficiency, non-adherence and lack of sufficient explanations that trailed the CEP approach are false regarding Irish banks. The study finds that Irish banks adhere to corporate governance codes due to the impact of the Central Bank of Ireland, bank customers, and the role of the non-executive directors. The study also discovers the challenges associated with adherence to corporate governance codes in Ireland includes; a constant update of codes, lack of uniform implementation of regulations, and impacts on investors. It is, therefore, recommended that the earlier mentioned challenges be addressed through a time-efficient update of codes and creating a central standard for the implementation of regulations. This will improve the adherence to corporate governance principles for the growth and development of the Irish financial sector.</w:t>
      </w:r>
    </w:p>
    <w:p w14:paraId="635A9D79"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26580972"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1A6F0FC4"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31BC9245"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2A442028"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12927620"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17CA6A11"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4B53C9BE"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686F675F" w14:textId="77777777" w:rsidR="00DC4459" w:rsidRDefault="00077D4E">
      <w:pPr>
        <w:pStyle w:val="Heading"/>
        <w:jc w:val="center"/>
      </w:pPr>
      <w:bookmarkStart w:id="5" w:name="_Toc73738981"/>
      <w:r>
        <w:rPr>
          <w:lang w:val="en-US"/>
        </w:rPr>
        <w:lastRenderedPageBreak/>
        <w:t>TABLE OF CONTENTS</w:t>
      </w:r>
      <w:bookmarkEnd w:id="5"/>
    </w:p>
    <w:p w14:paraId="14DD9031" w14:textId="77777777" w:rsidR="00DC4459" w:rsidRDefault="00DC4459">
      <w:pPr>
        <w:pStyle w:val="TOCHeading"/>
        <w:rPr>
          <w:rFonts w:ascii="Times New Roman" w:eastAsia="Times New Roman" w:hAnsi="Times New Roman" w:cs="Times New Roman"/>
        </w:rPr>
      </w:pPr>
    </w:p>
    <w:p w14:paraId="12DDDE12" w14:textId="27A5BEB0" w:rsidR="00265B23" w:rsidRDefault="00077D4E">
      <w:pPr>
        <w:pStyle w:val="TOC1"/>
        <w:rPr>
          <w:rFonts w:asciiTheme="minorHAnsi" w:eastAsiaTheme="minorEastAsia" w:hAnsiTheme="minorHAnsi" w:cstheme="minorBidi"/>
          <w:noProof/>
          <w:color w:val="auto"/>
          <w:bdr w:val="none" w:sz="0" w:space="0" w:color="auto"/>
        </w:rPr>
      </w:pPr>
      <w:r>
        <w:fldChar w:fldCharType="begin"/>
      </w:r>
      <w:r>
        <w:instrText xml:space="preserve"> TOC \o 1-3 </w:instrText>
      </w:r>
      <w:r>
        <w:fldChar w:fldCharType="separate"/>
      </w:r>
      <w:r w:rsidR="00265B23" w:rsidRPr="00603C77">
        <w:rPr>
          <w:noProof/>
          <w:lang w:val="de-DE"/>
        </w:rPr>
        <w:t>TITLE PAGE</w:t>
      </w:r>
      <w:r w:rsidR="00265B23">
        <w:rPr>
          <w:noProof/>
        </w:rPr>
        <w:tab/>
      </w:r>
      <w:r w:rsidR="00265B23">
        <w:rPr>
          <w:noProof/>
        </w:rPr>
        <w:fldChar w:fldCharType="begin"/>
      </w:r>
      <w:r w:rsidR="00265B23">
        <w:rPr>
          <w:noProof/>
        </w:rPr>
        <w:instrText xml:space="preserve"> PAGEREF _Toc73738976 \h </w:instrText>
      </w:r>
      <w:r w:rsidR="00265B23">
        <w:rPr>
          <w:noProof/>
        </w:rPr>
      </w:r>
      <w:r w:rsidR="00265B23">
        <w:rPr>
          <w:noProof/>
        </w:rPr>
        <w:fldChar w:fldCharType="separate"/>
      </w:r>
      <w:r w:rsidR="00265B23">
        <w:rPr>
          <w:noProof/>
        </w:rPr>
        <w:t>i</w:t>
      </w:r>
      <w:r w:rsidR="00265B23">
        <w:rPr>
          <w:noProof/>
        </w:rPr>
        <w:fldChar w:fldCharType="end"/>
      </w:r>
    </w:p>
    <w:p w14:paraId="649D0CD6" w14:textId="0A85788E"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CANDIDATE DECLARATION</w:t>
      </w:r>
      <w:r>
        <w:rPr>
          <w:noProof/>
        </w:rPr>
        <w:tab/>
      </w:r>
      <w:r>
        <w:rPr>
          <w:noProof/>
        </w:rPr>
        <w:fldChar w:fldCharType="begin"/>
      </w:r>
      <w:r>
        <w:rPr>
          <w:noProof/>
        </w:rPr>
        <w:instrText xml:space="preserve"> PAGEREF _Toc73738977 \h </w:instrText>
      </w:r>
      <w:r>
        <w:rPr>
          <w:noProof/>
        </w:rPr>
      </w:r>
      <w:r>
        <w:rPr>
          <w:noProof/>
        </w:rPr>
        <w:fldChar w:fldCharType="separate"/>
      </w:r>
      <w:r>
        <w:rPr>
          <w:noProof/>
        </w:rPr>
        <w:t>ii</w:t>
      </w:r>
      <w:r>
        <w:rPr>
          <w:noProof/>
        </w:rPr>
        <w:fldChar w:fldCharType="end"/>
      </w:r>
    </w:p>
    <w:p w14:paraId="780265B3" w14:textId="6CA0EA92"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DEDICATION</w:t>
      </w:r>
      <w:r>
        <w:rPr>
          <w:noProof/>
        </w:rPr>
        <w:tab/>
      </w:r>
      <w:r>
        <w:rPr>
          <w:noProof/>
        </w:rPr>
        <w:fldChar w:fldCharType="begin"/>
      </w:r>
      <w:r>
        <w:rPr>
          <w:noProof/>
        </w:rPr>
        <w:instrText xml:space="preserve"> PAGEREF _Toc73738978 \h </w:instrText>
      </w:r>
      <w:r>
        <w:rPr>
          <w:noProof/>
        </w:rPr>
      </w:r>
      <w:r>
        <w:rPr>
          <w:noProof/>
        </w:rPr>
        <w:fldChar w:fldCharType="separate"/>
      </w:r>
      <w:r>
        <w:rPr>
          <w:noProof/>
        </w:rPr>
        <w:t>iii</w:t>
      </w:r>
      <w:r>
        <w:rPr>
          <w:noProof/>
        </w:rPr>
        <w:fldChar w:fldCharType="end"/>
      </w:r>
    </w:p>
    <w:p w14:paraId="0F047CD1" w14:textId="1145B82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de-DE"/>
        </w:rPr>
        <w:t>ACKNOWLEDGEMENTS</w:t>
      </w:r>
      <w:r>
        <w:rPr>
          <w:noProof/>
        </w:rPr>
        <w:tab/>
      </w:r>
      <w:r>
        <w:rPr>
          <w:noProof/>
        </w:rPr>
        <w:fldChar w:fldCharType="begin"/>
      </w:r>
      <w:r>
        <w:rPr>
          <w:noProof/>
        </w:rPr>
        <w:instrText xml:space="preserve"> PAGEREF _Toc73738979 \h </w:instrText>
      </w:r>
      <w:r>
        <w:rPr>
          <w:noProof/>
        </w:rPr>
      </w:r>
      <w:r>
        <w:rPr>
          <w:noProof/>
        </w:rPr>
        <w:fldChar w:fldCharType="separate"/>
      </w:r>
      <w:r>
        <w:rPr>
          <w:noProof/>
        </w:rPr>
        <w:t>iv</w:t>
      </w:r>
      <w:r>
        <w:rPr>
          <w:noProof/>
        </w:rPr>
        <w:fldChar w:fldCharType="end"/>
      </w:r>
    </w:p>
    <w:p w14:paraId="3A3509E9" w14:textId="66E0457F"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de-DE"/>
        </w:rPr>
        <w:t>ABSTRACT</w:t>
      </w:r>
      <w:r>
        <w:rPr>
          <w:noProof/>
        </w:rPr>
        <w:tab/>
      </w:r>
      <w:r>
        <w:rPr>
          <w:noProof/>
        </w:rPr>
        <w:fldChar w:fldCharType="begin"/>
      </w:r>
      <w:r>
        <w:rPr>
          <w:noProof/>
        </w:rPr>
        <w:instrText xml:space="preserve"> PAGEREF _Toc73738980 \h </w:instrText>
      </w:r>
      <w:r>
        <w:rPr>
          <w:noProof/>
        </w:rPr>
      </w:r>
      <w:r>
        <w:rPr>
          <w:noProof/>
        </w:rPr>
        <w:fldChar w:fldCharType="separate"/>
      </w:r>
      <w:r>
        <w:rPr>
          <w:noProof/>
        </w:rPr>
        <w:t>v</w:t>
      </w:r>
      <w:r>
        <w:rPr>
          <w:noProof/>
        </w:rPr>
        <w:fldChar w:fldCharType="end"/>
      </w:r>
    </w:p>
    <w:p w14:paraId="1FC9FB06" w14:textId="51197BBD"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en-US"/>
        </w:rPr>
        <w:t>TABLE OF CONTENTS</w:t>
      </w:r>
      <w:r>
        <w:rPr>
          <w:noProof/>
        </w:rPr>
        <w:tab/>
      </w:r>
      <w:r>
        <w:rPr>
          <w:noProof/>
        </w:rPr>
        <w:fldChar w:fldCharType="begin"/>
      </w:r>
      <w:r>
        <w:rPr>
          <w:noProof/>
        </w:rPr>
        <w:instrText xml:space="preserve"> PAGEREF _Toc73738981 \h </w:instrText>
      </w:r>
      <w:r>
        <w:rPr>
          <w:noProof/>
        </w:rPr>
      </w:r>
      <w:r>
        <w:rPr>
          <w:noProof/>
        </w:rPr>
        <w:fldChar w:fldCharType="separate"/>
      </w:r>
      <w:r>
        <w:rPr>
          <w:noProof/>
        </w:rPr>
        <w:t>vi</w:t>
      </w:r>
      <w:r>
        <w:rPr>
          <w:noProof/>
        </w:rPr>
        <w:fldChar w:fldCharType="end"/>
      </w:r>
    </w:p>
    <w:p w14:paraId="22AFE4AE" w14:textId="6E31DD6E"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en-US"/>
        </w:rPr>
        <w:t>LIST OF TABLES AND FIGURES</w:t>
      </w:r>
      <w:r>
        <w:rPr>
          <w:noProof/>
        </w:rPr>
        <w:tab/>
      </w:r>
      <w:r>
        <w:rPr>
          <w:noProof/>
        </w:rPr>
        <w:fldChar w:fldCharType="begin"/>
      </w:r>
      <w:r>
        <w:rPr>
          <w:noProof/>
        </w:rPr>
        <w:instrText xml:space="preserve"> PAGEREF _Toc73738982 \h </w:instrText>
      </w:r>
      <w:r>
        <w:rPr>
          <w:noProof/>
        </w:rPr>
      </w:r>
      <w:r>
        <w:rPr>
          <w:noProof/>
        </w:rPr>
        <w:fldChar w:fldCharType="separate"/>
      </w:r>
      <w:r>
        <w:rPr>
          <w:noProof/>
        </w:rPr>
        <w:t>ix</w:t>
      </w:r>
      <w:r>
        <w:rPr>
          <w:noProof/>
        </w:rPr>
        <w:fldChar w:fldCharType="end"/>
      </w:r>
    </w:p>
    <w:p w14:paraId="50E4B656" w14:textId="66446519"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en-US"/>
        </w:rPr>
        <w:t>LIST OF ABBREVIATIONS AND ACRONYMS</w:t>
      </w:r>
      <w:r>
        <w:rPr>
          <w:noProof/>
        </w:rPr>
        <w:tab/>
      </w:r>
      <w:r>
        <w:rPr>
          <w:noProof/>
        </w:rPr>
        <w:fldChar w:fldCharType="begin"/>
      </w:r>
      <w:r>
        <w:rPr>
          <w:noProof/>
        </w:rPr>
        <w:instrText xml:space="preserve"> PAGEREF _Toc73738983 \h </w:instrText>
      </w:r>
      <w:r>
        <w:rPr>
          <w:noProof/>
        </w:rPr>
      </w:r>
      <w:r>
        <w:rPr>
          <w:noProof/>
        </w:rPr>
        <w:fldChar w:fldCharType="separate"/>
      </w:r>
      <w:r>
        <w:rPr>
          <w:noProof/>
        </w:rPr>
        <w:t>x</w:t>
      </w:r>
      <w:r>
        <w:rPr>
          <w:noProof/>
        </w:rPr>
        <w:fldChar w:fldCharType="end"/>
      </w:r>
    </w:p>
    <w:p w14:paraId="7133D3E3" w14:textId="23D8C777"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de-DE"/>
        </w:rPr>
        <w:t>CHAPTER ONE</w:t>
      </w:r>
      <w:r>
        <w:rPr>
          <w:noProof/>
        </w:rPr>
        <w:tab/>
      </w:r>
      <w:r>
        <w:rPr>
          <w:noProof/>
        </w:rPr>
        <w:fldChar w:fldCharType="begin"/>
      </w:r>
      <w:r>
        <w:rPr>
          <w:noProof/>
        </w:rPr>
        <w:instrText xml:space="preserve"> PAGEREF _Toc73738984 \h </w:instrText>
      </w:r>
      <w:r>
        <w:rPr>
          <w:noProof/>
        </w:rPr>
      </w:r>
      <w:r>
        <w:rPr>
          <w:noProof/>
        </w:rPr>
        <w:fldChar w:fldCharType="separate"/>
      </w:r>
      <w:r>
        <w:rPr>
          <w:noProof/>
        </w:rPr>
        <w:t>1</w:t>
      </w:r>
      <w:r>
        <w:rPr>
          <w:noProof/>
        </w:rPr>
        <w:fldChar w:fldCharType="end"/>
      </w:r>
    </w:p>
    <w:p w14:paraId="6C5492B7" w14:textId="04047F5C"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en-US"/>
        </w:rPr>
        <w:t>INTRODUCTION</w:t>
      </w:r>
      <w:r>
        <w:rPr>
          <w:noProof/>
        </w:rPr>
        <w:tab/>
      </w:r>
      <w:r>
        <w:rPr>
          <w:noProof/>
        </w:rPr>
        <w:fldChar w:fldCharType="begin"/>
      </w:r>
      <w:r>
        <w:rPr>
          <w:noProof/>
        </w:rPr>
        <w:instrText xml:space="preserve"> PAGEREF _Toc73738985 \h </w:instrText>
      </w:r>
      <w:r>
        <w:rPr>
          <w:noProof/>
        </w:rPr>
      </w:r>
      <w:r>
        <w:rPr>
          <w:noProof/>
        </w:rPr>
        <w:fldChar w:fldCharType="separate"/>
      </w:r>
      <w:r>
        <w:rPr>
          <w:noProof/>
        </w:rPr>
        <w:t>1</w:t>
      </w:r>
      <w:r>
        <w:rPr>
          <w:noProof/>
        </w:rPr>
        <w:fldChar w:fldCharType="end"/>
      </w:r>
    </w:p>
    <w:p w14:paraId="038D5C03" w14:textId="6E27B33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1.1. Research Overview</w:t>
      </w:r>
      <w:r>
        <w:rPr>
          <w:noProof/>
        </w:rPr>
        <w:tab/>
      </w:r>
      <w:r>
        <w:rPr>
          <w:noProof/>
        </w:rPr>
        <w:fldChar w:fldCharType="begin"/>
      </w:r>
      <w:r>
        <w:rPr>
          <w:noProof/>
        </w:rPr>
        <w:instrText xml:space="preserve"> PAGEREF _Toc73738986 \h </w:instrText>
      </w:r>
      <w:r>
        <w:rPr>
          <w:noProof/>
        </w:rPr>
      </w:r>
      <w:r>
        <w:rPr>
          <w:noProof/>
        </w:rPr>
        <w:fldChar w:fldCharType="separate"/>
      </w:r>
      <w:r>
        <w:rPr>
          <w:noProof/>
        </w:rPr>
        <w:t>1</w:t>
      </w:r>
      <w:r>
        <w:rPr>
          <w:noProof/>
        </w:rPr>
        <w:fldChar w:fldCharType="end"/>
      </w:r>
    </w:p>
    <w:p w14:paraId="610F975C" w14:textId="7FDCE47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1.2. Adhering to Corporate Governance</w:t>
      </w:r>
      <w:r>
        <w:rPr>
          <w:noProof/>
        </w:rPr>
        <w:tab/>
      </w:r>
      <w:r>
        <w:rPr>
          <w:noProof/>
        </w:rPr>
        <w:fldChar w:fldCharType="begin"/>
      </w:r>
      <w:r>
        <w:rPr>
          <w:noProof/>
        </w:rPr>
        <w:instrText xml:space="preserve"> PAGEREF _Toc73738987 \h </w:instrText>
      </w:r>
      <w:r>
        <w:rPr>
          <w:noProof/>
        </w:rPr>
      </w:r>
      <w:r>
        <w:rPr>
          <w:noProof/>
        </w:rPr>
        <w:fldChar w:fldCharType="separate"/>
      </w:r>
      <w:r>
        <w:rPr>
          <w:noProof/>
        </w:rPr>
        <w:t>2</w:t>
      </w:r>
      <w:r>
        <w:rPr>
          <w:noProof/>
        </w:rPr>
        <w:fldChar w:fldCharType="end"/>
      </w:r>
    </w:p>
    <w:p w14:paraId="2E2E8E12" w14:textId="0C131425"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shd w:val="clear" w:color="auto" w:fill="FFFFFF"/>
          <w:lang w:val="en-US"/>
        </w:rPr>
        <w:t>1.3. Research Purpose</w:t>
      </w:r>
      <w:r>
        <w:rPr>
          <w:noProof/>
        </w:rPr>
        <w:tab/>
      </w:r>
      <w:r>
        <w:rPr>
          <w:noProof/>
        </w:rPr>
        <w:fldChar w:fldCharType="begin"/>
      </w:r>
      <w:r>
        <w:rPr>
          <w:noProof/>
        </w:rPr>
        <w:instrText xml:space="preserve"> PAGEREF _Toc73738988 \h </w:instrText>
      </w:r>
      <w:r>
        <w:rPr>
          <w:noProof/>
        </w:rPr>
      </w:r>
      <w:r>
        <w:rPr>
          <w:noProof/>
        </w:rPr>
        <w:fldChar w:fldCharType="separate"/>
      </w:r>
      <w:r>
        <w:rPr>
          <w:noProof/>
        </w:rPr>
        <w:t>3</w:t>
      </w:r>
      <w:r>
        <w:rPr>
          <w:noProof/>
        </w:rPr>
        <w:fldChar w:fldCharType="end"/>
      </w:r>
    </w:p>
    <w:p w14:paraId="4B0D26B9" w14:textId="21CCE69E"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shd w:val="clear" w:color="auto" w:fill="FFFFFF"/>
          <w:lang w:val="en-US"/>
        </w:rPr>
        <w:t>1.4. Research Questions</w:t>
      </w:r>
      <w:r>
        <w:rPr>
          <w:noProof/>
        </w:rPr>
        <w:tab/>
      </w:r>
      <w:r>
        <w:rPr>
          <w:noProof/>
        </w:rPr>
        <w:fldChar w:fldCharType="begin"/>
      </w:r>
      <w:r>
        <w:rPr>
          <w:noProof/>
        </w:rPr>
        <w:instrText xml:space="preserve"> PAGEREF _Toc73738989 \h </w:instrText>
      </w:r>
      <w:r>
        <w:rPr>
          <w:noProof/>
        </w:rPr>
      </w:r>
      <w:r>
        <w:rPr>
          <w:noProof/>
        </w:rPr>
        <w:fldChar w:fldCharType="separate"/>
      </w:r>
      <w:r>
        <w:rPr>
          <w:noProof/>
        </w:rPr>
        <w:t>4</w:t>
      </w:r>
      <w:r>
        <w:rPr>
          <w:noProof/>
        </w:rPr>
        <w:fldChar w:fldCharType="end"/>
      </w:r>
    </w:p>
    <w:p w14:paraId="52936D69" w14:textId="29C21ECD"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shd w:val="clear" w:color="auto" w:fill="FFFFFF"/>
          <w:lang w:val="en-US"/>
        </w:rPr>
        <w:t>1.5. Aims and Objectives</w:t>
      </w:r>
      <w:r>
        <w:rPr>
          <w:noProof/>
        </w:rPr>
        <w:tab/>
      </w:r>
      <w:r>
        <w:rPr>
          <w:noProof/>
        </w:rPr>
        <w:fldChar w:fldCharType="begin"/>
      </w:r>
      <w:r>
        <w:rPr>
          <w:noProof/>
        </w:rPr>
        <w:instrText xml:space="preserve"> PAGEREF _Toc73738990 \h </w:instrText>
      </w:r>
      <w:r>
        <w:rPr>
          <w:noProof/>
        </w:rPr>
      </w:r>
      <w:r>
        <w:rPr>
          <w:noProof/>
        </w:rPr>
        <w:fldChar w:fldCharType="separate"/>
      </w:r>
      <w:r>
        <w:rPr>
          <w:noProof/>
        </w:rPr>
        <w:t>4</w:t>
      </w:r>
      <w:r>
        <w:rPr>
          <w:noProof/>
        </w:rPr>
        <w:fldChar w:fldCharType="end"/>
      </w:r>
    </w:p>
    <w:p w14:paraId="7CD925B0" w14:textId="6FAA62DD" w:rsidR="00265B23" w:rsidRDefault="00265B23">
      <w:pPr>
        <w:pStyle w:val="TOC1"/>
        <w:rPr>
          <w:rFonts w:asciiTheme="minorHAnsi" w:eastAsiaTheme="minorEastAsia" w:hAnsiTheme="minorHAnsi" w:cstheme="minorBidi"/>
          <w:noProof/>
          <w:color w:val="auto"/>
          <w:bdr w:val="none" w:sz="0" w:space="0" w:color="auto"/>
        </w:rPr>
      </w:pPr>
      <w:r w:rsidRPr="00603C77">
        <w:rPr>
          <w:noProof/>
          <w:shd w:val="clear" w:color="auto" w:fill="FFFFFF"/>
          <w:lang w:val="en-US"/>
        </w:rPr>
        <w:t>1.5.1. To Critically Examine Factors Influencing the Adherence or Nonadherence to Corporate Governance Principles in Ireland</w:t>
      </w:r>
      <w:r>
        <w:rPr>
          <w:noProof/>
        </w:rPr>
        <w:tab/>
      </w:r>
      <w:r>
        <w:rPr>
          <w:noProof/>
        </w:rPr>
        <w:fldChar w:fldCharType="begin"/>
      </w:r>
      <w:r>
        <w:rPr>
          <w:noProof/>
        </w:rPr>
        <w:instrText xml:space="preserve"> PAGEREF _Toc73738991 \h </w:instrText>
      </w:r>
      <w:r>
        <w:rPr>
          <w:noProof/>
        </w:rPr>
      </w:r>
      <w:r>
        <w:rPr>
          <w:noProof/>
        </w:rPr>
        <w:fldChar w:fldCharType="separate"/>
      </w:r>
      <w:r>
        <w:rPr>
          <w:noProof/>
        </w:rPr>
        <w:t>5</w:t>
      </w:r>
      <w:r>
        <w:rPr>
          <w:noProof/>
        </w:rPr>
        <w:fldChar w:fldCharType="end"/>
      </w:r>
    </w:p>
    <w:p w14:paraId="3187DB42" w14:textId="2273F8BD" w:rsidR="00265B23" w:rsidRDefault="00265B23">
      <w:pPr>
        <w:pStyle w:val="TOC1"/>
        <w:rPr>
          <w:rFonts w:asciiTheme="minorHAnsi" w:eastAsiaTheme="minorEastAsia" w:hAnsiTheme="minorHAnsi" w:cstheme="minorBidi"/>
          <w:noProof/>
          <w:color w:val="auto"/>
          <w:bdr w:val="none" w:sz="0" w:space="0" w:color="auto"/>
        </w:rPr>
      </w:pPr>
      <w:r w:rsidRPr="00603C77">
        <w:rPr>
          <w:noProof/>
          <w:shd w:val="clear" w:color="auto" w:fill="FFFFFF"/>
          <w:lang w:val="en-US"/>
        </w:rPr>
        <w:t>1.5.2. To Determine the Level of Adherence to Corporate Governance Principles Amongst Banks in Ireland.</w:t>
      </w:r>
      <w:r>
        <w:rPr>
          <w:noProof/>
        </w:rPr>
        <w:tab/>
      </w:r>
      <w:r>
        <w:rPr>
          <w:noProof/>
        </w:rPr>
        <w:fldChar w:fldCharType="begin"/>
      </w:r>
      <w:r>
        <w:rPr>
          <w:noProof/>
        </w:rPr>
        <w:instrText xml:space="preserve"> PAGEREF _Toc73738992 \h </w:instrText>
      </w:r>
      <w:r>
        <w:rPr>
          <w:noProof/>
        </w:rPr>
      </w:r>
      <w:r>
        <w:rPr>
          <w:noProof/>
        </w:rPr>
        <w:fldChar w:fldCharType="separate"/>
      </w:r>
      <w:r>
        <w:rPr>
          <w:noProof/>
        </w:rPr>
        <w:t>5</w:t>
      </w:r>
      <w:r>
        <w:rPr>
          <w:noProof/>
        </w:rPr>
        <w:fldChar w:fldCharType="end"/>
      </w:r>
    </w:p>
    <w:p w14:paraId="43F33271" w14:textId="6AB30C13"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shd w:val="clear" w:color="auto" w:fill="FFFFFF"/>
        </w:rPr>
        <w:t>1.5.3. To Discover the Challenges Associated with Corporate Governance Amongst Irish Banks</w:t>
      </w:r>
      <w:r>
        <w:rPr>
          <w:noProof/>
        </w:rPr>
        <w:tab/>
      </w:r>
      <w:r>
        <w:rPr>
          <w:noProof/>
        </w:rPr>
        <w:fldChar w:fldCharType="begin"/>
      </w:r>
      <w:r>
        <w:rPr>
          <w:noProof/>
        </w:rPr>
        <w:instrText xml:space="preserve"> PAGEREF _Toc73738993 \h </w:instrText>
      </w:r>
      <w:r>
        <w:rPr>
          <w:noProof/>
        </w:rPr>
      </w:r>
      <w:r>
        <w:rPr>
          <w:noProof/>
        </w:rPr>
        <w:fldChar w:fldCharType="separate"/>
      </w:r>
      <w:r>
        <w:rPr>
          <w:noProof/>
        </w:rPr>
        <w:t>5</w:t>
      </w:r>
      <w:r>
        <w:rPr>
          <w:noProof/>
        </w:rPr>
        <w:fldChar w:fldCharType="end"/>
      </w:r>
    </w:p>
    <w:p w14:paraId="63E2ED1E" w14:textId="43CE228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1.6. Significance of the Study</w:t>
      </w:r>
      <w:r>
        <w:rPr>
          <w:noProof/>
        </w:rPr>
        <w:tab/>
      </w:r>
      <w:r>
        <w:rPr>
          <w:noProof/>
        </w:rPr>
        <w:fldChar w:fldCharType="begin"/>
      </w:r>
      <w:r>
        <w:rPr>
          <w:noProof/>
        </w:rPr>
        <w:instrText xml:space="preserve"> PAGEREF _Toc73738994 \h </w:instrText>
      </w:r>
      <w:r>
        <w:rPr>
          <w:noProof/>
        </w:rPr>
      </w:r>
      <w:r>
        <w:rPr>
          <w:noProof/>
        </w:rPr>
        <w:fldChar w:fldCharType="separate"/>
      </w:r>
      <w:r>
        <w:rPr>
          <w:noProof/>
        </w:rPr>
        <w:t>6</w:t>
      </w:r>
      <w:r>
        <w:rPr>
          <w:noProof/>
        </w:rPr>
        <w:fldChar w:fldCharType="end"/>
      </w:r>
    </w:p>
    <w:p w14:paraId="13AF9076" w14:textId="77413F9D"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1.7. Outline of Chapters</w:t>
      </w:r>
      <w:r>
        <w:rPr>
          <w:noProof/>
        </w:rPr>
        <w:tab/>
      </w:r>
      <w:r>
        <w:rPr>
          <w:noProof/>
        </w:rPr>
        <w:fldChar w:fldCharType="begin"/>
      </w:r>
      <w:r>
        <w:rPr>
          <w:noProof/>
        </w:rPr>
        <w:instrText xml:space="preserve"> PAGEREF _Toc73738995 \h </w:instrText>
      </w:r>
      <w:r>
        <w:rPr>
          <w:noProof/>
        </w:rPr>
      </w:r>
      <w:r>
        <w:rPr>
          <w:noProof/>
        </w:rPr>
        <w:fldChar w:fldCharType="separate"/>
      </w:r>
      <w:r>
        <w:rPr>
          <w:noProof/>
        </w:rPr>
        <w:t>6</w:t>
      </w:r>
      <w:r>
        <w:rPr>
          <w:noProof/>
        </w:rPr>
        <w:fldChar w:fldCharType="end"/>
      </w:r>
    </w:p>
    <w:p w14:paraId="5145BC4F" w14:textId="47DFB114"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de-DE"/>
        </w:rPr>
        <w:t>CHAPTER TWO</w:t>
      </w:r>
      <w:r>
        <w:rPr>
          <w:noProof/>
        </w:rPr>
        <w:tab/>
      </w:r>
      <w:r>
        <w:rPr>
          <w:noProof/>
        </w:rPr>
        <w:fldChar w:fldCharType="begin"/>
      </w:r>
      <w:r>
        <w:rPr>
          <w:noProof/>
        </w:rPr>
        <w:instrText xml:space="preserve"> PAGEREF _Toc73738996 \h </w:instrText>
      </w:r>
      <w:r>
        <w:rPr>
          <w:noProof/>
        </w:rPr>
      </w:r>
      <w:r>
        <w:rPr>
          <w:noProof/>
        </w:rPr>
        <w:fldChar w:fldCharType="separate"/>
      </w:r>
      <w:r>
        <w:rPr>
          <w:noProof/>
        </w:rPr>
        <w:t>8</w:t>
      </w:r>
      <w:r>
        <w:rPr>
          <w:noProof/>
        </w:rPr>
        <w:fldChar w:fldCharType="end"/>
      </w:r>
    </w:p>
    <w:p w14:paraId="7B55FA70" w14:textId="1C1BA13C"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de-DE"/>
        </w:rPr>
        <w:t>LITERATURE REVIEW</w:t>
      </w:r>
      <w:r>
        <w:rPr>
          <w:noProof/>
        </w:rPr>
        <w:tab/>
      </w:r>
      <w:r>
        <w:rPr>
          <w:noProof/>
        </w:rPr>
        <w:fldChar w:fldCharType="begin"/>
      </w:r>
      <w:r>
        <w:rPr>
          <w:noProof/>
        </w:rPr>
        <w:instrText xml:space="preserve"> PAGEREF _Toc73738997 \h </w:instrText>
      </w:r>
      <w:r>
        <w:rPr>
          <w:noProof/>
        </w:rPr>
      </w:r>
      <w:r>
        <w:rPr>
          <w:noProof/>
        </w:rPr>
        <w:fldChar w:fldCharType="separate"/>
      </w:r>
      <w:r>
        <w:rPr>
          <w:noProof/>
        </w:rPr>
        <w:t>8</w:t>
      </w:r>
      <w:r>
        <w:rPr>
          <w:noProof/>
        </w:rPr>
        <w:fldChar w:fldCharType="end"/>
      </w:r>
    </w:p>
    <w:p w14:paraId="2C758F6D" w14:textId="15B3FFA0"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fr-FR"/>
        </w:rPr>
        <w:t>2.1. Introduction</w:t>
      </w:r>
      <w:r>
        <w:rPr>
          <w:noProof/>
        </w:rPr>
        <w:tab/>
      </w:r>
      <w:r>
        <w:rPr>
          <w:noProof/>
        </w:rPr>
        <w:fldChar w:fldCharType="begin"/>
      </w:r>
      <w:r>
        <w:rPr>
          <w:noProof/>
        </w:rPr>
        <w:instrText xml:space="preserve"> PAGEREF _Toc73738998 \h </w:instrText>
      </w:r>
      <w:r>
        <w:rPr>
          <w:noProof/>
        </w:rPr>
      </w:r>
      <w:r>
        <w:rPr>
          <w:noProof/>
        </w:rPr>
        <w:fldChar w:fldCharType="separate"/>
      </w:r>
      <w:r>
        <w:rPr>
          <w:noProof/>
        </w:rPr>
        <w:t>8</w:t>
      </w:r>
      <w:r>
        <w:rPr>
          <w:noProof/>
        </w:rPr>
        <w:fldChar w:fldCharType="end"/>
      </w:r>
    </w:p>
    <w:p w14:paraId="350C2270" w14:textId="358D3086"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2.2. Conceptual Review</w:t>
      </w:r>
      <w:r>
        <w:rPr>
          <w:noProof/>
        </w:rPr>
        <w:tab/>
      </w:r>
      <w:r>
        <w:rPr>
          <w:noProof/>
        </w:rPr>
        <w:fldChar w:fldCharType="begin"/>
      </w:r>
      <w:r>
        <w:rPr>
          <w:noProof/>
        </w:rPr>
        <w:instrText xml:space="preserve"> PAGEREF _Toc73738999 \h </w:instrText>
      </w:r>
      <w:r>
        <w:rPr>
          <w:noProof/>
        </w:rPr>
      </w:r>
      <w:r>
        <w:rPr>
          <w:noProof/>
        </w:rPr>
        <w:fldChar w:fldCharType="separate"/>
      </w:r>
      <w:r>
        <w:rPr>
          <w:noProof/>
        </w:rPr>
        <w:t>8</w:t>
      </w:r>
      <w:r>
        <w:rPr>
          <w:noProof/>
        </w:rPr>
        <w:fldChar w:fldCharType="end"/>
      </w:r>
    </w:p>
    <w:p w14:paraId="2D91F45C" w14:textId="4D4122EA"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lang w:val="pt-PT"/>
        </w:rPr>
        <w:t>2.2.1. Corporate Governance</w:t>
      </w:r>
      <w:r>
        <w:rPr>
          <w:noProof/>
        </w:rPr>
        <w:tab/>
      </w:r>
      <w:r>
        <w:rPr>
          <w:noProof/>
        </w:rPr>
        <w:fldChar w:fldCharType="begin"/>
      </w:r>
      <w:r>
        <w:rPr>
          <w:noProof/>
        </w:rPr>
        <w:instrText xml:space="preserve"> PAGEREF _Toc73739000 \h </w:instrText>
      </w:r>
      <w:r>
        <w:rPr>
          <w:noProof/>
        </w:rPr>
      </w:r>
      <w:r>
        <w:rPr>
          <w:noProof/>
        </w:rPr>
        <w:fldChar w:fldCharType="separate"/>
      </w:r>
      <w:r>
        <w:rPr>
          <w:noProof/>
        </w:rPr>
        <w:t>8</w:t>
      </w:r>
      <w:r>
        <w:rPr>
          <w:noProof/>
        </w:rPr>
        <w:fldChar w:fldCharType="end"/>
      </w:r>
    </w:p>
    <w:p w14:paraId="535846CF" w14:textId="2D9F5E39"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2.2.2. Board Composition</w:t>
      </w:r>
      <w:r>
        <w:rPr>
          <w:noProof/>
        </w:rPr>
        <w:tab/>
      </w:r>
      <w:r>
        <w:rPr>
          <w:noProof/>
        </w:rPr>
        <w:fldChar w:fldCharType="begin"/>
      </w:r>
      <w:r>
        <w:rPr>
          <w:noProof/>
        </w:rPr>
        <w:instrText xml:space="preserve"> PAGEREF _Toc73739001 \h </w:instrText>
      </w:r>
      <w:r>
        <w:rPr>
          <w:noProof/>
        </w:rPr>
      </w:r>
      <w:r>
        <w:rPr>
          <w:noProof/>
        </w:rPr>
        <w:fldChar w:fldCharType="separate"/>
      </w:r>
      <w:r>
        <w:rPr>
          <w:noProof/>
        </w:rPr>
        <w:t>9</w:t>
      </w:r>
      <w:r>
        <w:rPr>
          <w:noProof/>
        </w:rPr>
        <w:fldChar w:fldCharType="end"/>
      </w:r>
    </w:p>
    <w:p w14:paraId="7CA167C9" w14:textId="7B795994"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2.2.3. Board Size</w:t>
      </w:r>
      <w:r>
        <w:rPr>
          <w:noProof/>
        </w:rPr>
        <w:tab/>
      </w:r>
      <w:r>
        <w:rPr>
          <w:noProof/>
        </w:rPr>
        <w:fldChar w:fldCharType="begin"/>
      </w:r>
      <w:r>
        <w:rPr>
          <w:noProof/>
        </w:rPr>
        <w:instrText xml:space="preserve"> PAGEREF _Toc73739002 \h </w:instrText>
      </w:r>
      <w:r>
        <w:rPr>
          <w:noProof/>
        </w:rPr>
      </w:r>
      <w:r>
        <w:rPr>
          <w:noProof/>
        </w:rPr>
        <w:fldChar w:fldCharType="separate"/>
      </w:r>
      <w:r>
        <w:rPr>
          <w:noProof/>
        </w:rPr>
        <w:t>9</w:t>
      </w:r>
      <w:r>
        <w:rPr>
          <w:noProof/>
        </w:rPr>
        <w:fldChar w:fldCharType="end"/>
      </w:r>
    </w:p>
    <w:p w14:paraId="57177C22" w14:textId="063DE07C"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2.2.4. CEO Duality</w:t>
      </w:r>
      <w:r>
        <w:rPr>
          <w:noProof/>
        </w:rPr>
        <w:tab/>
      </w:r>
      <w:r>
        <w:rPr>
          <w:noProof/>
        </w:rPr>
        <w:fldChar w:fldCharType="begin"/>
      </w:r>
      <w:r>
        <w:rPr>
          <w:noProof/>
        </w:rPr>
        <w:instrText xml:space="preserve"> PAGEREF _Toc73739003 \h </w:instrText>
      </w:r>
      <w:r>
        <w:rPr>
          <w:noProof/>
        </w:rPr>
      </w:r>
      <w:r>
        <w:rPr>
          <w:noProof/>
        </w:rPr>
        <w:fldChar w:fldCharType="separate"/>
      </w:r>
      <w:r>
        <w:rPr>
          <w:noProof/>
        </w:rPr>
        <w:t>10</w:t>
      </w:r>
      <w:r>
        <w:rPr>
          <w:noProof/>
        </w:rPr>
        <w:fldChar w:fldCharType="end"/>
      </w:r>
    </w:p>
    <w:p w14:paraId="3B0216C5" w14:textId="15A74194"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2.2.6. Adherence to Corporate Governance Codes</w:t>
      </w:r>
      <w:r>
        <w:rPr>
          <w:noProof/>
        </w:rPr>
        <w:tab/>
      </w:r>
      <w:r>
        <w:rPr>
          <w:noProof/>
        </w:rPr>
        <w:fldChar w:fldCharType="begin"/>
      </w:r>
      <w:r>
        <w:rPr>
          <w:noProof/>
        </w:rPr>
        <w:instrText xml:space="preserve"> PAGEREF _Toc73739004 \h </w:instrText>
      </w:r>
      <w:r>
        <w:rPr>
          <w:noProof/>
        </w:rPr>
      </w:r>
      <w:r>
        <w:rPr>
          <w:noProof/>
        </w:rPr>
        <w:fldChar w:fldCharType="separate"/>
      </w:r>
      <w:r>
        <w:rPr>
          <w:noProof/>
        </w:rPr>
        <w:t>11</w:t>
      </w:r>
      <w:r>
        <w:rPr>
          <w:noProof/>
        </w:rPr>
        <w:fldChar w:fldCharType="end"/>
      </w:r>
    </w:p>
    <w:p w14:paraId="5A30450D" w14:textId="3A04D7EF"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2.2.7. Corporate Governance: Agency Problem</w:t>
      </w:r>
      <w:r>
        <w:rPr>
          <w:noProof/>
        </w:rPr>
        <w:tab/>
      </w:r>
      <w:r>
        <w:rPr>
          <w:noProof/>
        </w:rPr>
        <w:fldChar w:fldCharType="begin"/>
      </w:r>
      <w:r>
        <w:rPr>
          <w:noProof/>
        </w:rPr>
        <w:instrText xml:space="preserve"> PAGEREF _Toc73739005 \h </w:instrText>
      </w:r>
      <w:r>
        <w:rPr>
          <w:noProof/>
        </w:rPr>
      </w:r>
      <w:r>
        <w:rPr>
          <w:noProof/>
        </w:rPr>
        <w:fldChar w:fldCharType="separate"/>
      </w:r>
      <w:r>
        <w:rPr>
          <w:noProof/>
        </w:rPr>
        <w:t>12</w:t>
      </w:r>
      <w:r>
        <w:rPr>
          <w:noProof/>
        </w:rPr>
        <w:fldChar w:fldCharType="end"/>
      </w:r>
    </w:p>
    <w:p w14:paraId="08D5FA7D" w14:textId="1A805C2C"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2.2.8. Rationality of Studying Corporate Governance Codes</w:t>
      </w:r>
      <w:r>
        <w:rPr>
          <w:noProof/>
        </w:rPr>
        <w:tab/>
      </w:r>
      <w:r>
        <w:rPr>
          <w:noProof/>
        </w:rPr>
        <w:fldChar w:fldCharType="begin"/>
      </w:r>
      <w:r>
        <w:rPr>
          <w:noProof/>
        </w:rPr>
        <w:instrText xml:space="preserve"> PAGEREF _Toc73739006 \h </w:instrText>
      </w:r>
      <w:r>
        <w:rPr>
          <w:noProof/>
        </w:rPr>
      </w:r>
      <w:r>
        <w:rPr>
          <w:noProof/>
        </w:rPr>
        <w:fldChar w:fldCharType="separate"/>
      </w:r>
      <w:r>
        <w:rPr>
          <w:noProof/>
        </w:rPr>
        <w:t>13</w:t>
      </w:r>
      <w:r>
        <w:rPr>
          <w:noProof/>
        </w:rPr>
        <w:fldChar w:fldCharType="end"/>
      </w:r>
    </w:p>
    <w:p w14:paraId="13F73D11" w14:textId="09C677A1"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2.2.9. Comply-Explain (CEP) Approach to Corporate Governance</w:t>
      </w:r>
      <w:r>
        <w:rPr>
          <w:noProof/>
        </w:rPr>
        <w:tab/>
      </w:r>
      <w:r>
        <w:rPr>
          <w:noProof/>
        </w:rPr>
        <w:fldChar w:fldCharType="begin"/>
      </w:r>
      <w:r>
        <w:rPr>
          <w:noProof/>
        </w:rPr>
        <w:instrText xml:space="preserve"> PAGEREF _Toc73739007 \h </w:instrText>
      </w:r>
      <w:r>
        <w:rPr>
          <w:noProof/>
        </w:rPr>
      </w:r>
      <w:r>
        <w:rPr>
          <w:noProof/>
        </w:rPr>
        <w:fldChar w:fldCharType="separate"/>
      </w:r>
      <w:r>
        <w:rPr>
          <w:noProof/>
        </w:rPr>
        <w:t>14</w:t>
      </w:r>
      <w:r>
        <w:rPr>
          <w:noProof/>
        </w:rPr>
        <w:fldChar w:fldCharType="end"/>
      </w:r>
    </w:p>
    <w:p w14:paraId="0EEE7CBC" w14:textId="1964C03C"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2.3. Theoretical Reviews</w:t>
      </w:r>
      <w:r>
        <w:rPr>
          <w:noProof/>
        </w:rPr>
        <w:tab/>
      </w:r>
      <w:r>
        <w:rPr>
          <w:noProof/>
        </w:rPr>
        <w:fldChar w:fldCharType="begin"/>
      </w:r>
      <w:r>
        <w:rPr>
          <w:noProof/>
        </w:rPr>
        <w:instrText xml:space="preserve"> PAGEREF _Toc73739008 \h </w:instrText>
      </w:r>
      <w:r>
        <w:rPr>
          <w:noProof/>
        </w:rPr>
      </w:r>
      <w:r>
        <w:rPr>
          <w:noProof/>
        </w:rPr>
        <w:fldChar w:fldCharType="separate"/>
      </w:r>
      <w:r>
        <w:rPr>
          <w:noProof/>
        </w:rPr>
        <w:t>17</w:t>
      </w:r>
      <w:r>
        <w:rPr>
          <w:noProof/>
        </w:rPr>
        <w:fldChar w:fldCharType="end"/>
      </w:r>
    </w:p>
    <w:p w14:paraId="6E33FDAE" w14:textId="477087E7"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lastRenderedPageBreak/>
        <w:t>2.3.1. Agency Theory</w:t>
      </w:r>
      <w:r>
        <w:rPr>
          <w:noProof/>
        </w:rPr>
        <w:tab/>
      </w:r>
      <w:r>
        <w:rPr>
          <w:noProof/>
        </w:rPr>
        <w:fldChar w:fldCharType="begin"/>
      </w:r>
      <w:r>
        <w:rPr>
          <w:noProof/>
        </w:rPr>
        <w:instrText xml:space="preserve"> PAGEREF _Toc73739009 \h </w:instrText>
      </w:r>
      <w:r>
        <w:rPr>
          <w:noProof/>
        </w:rPr>
      </w:r>
      <w:r>
        <w:rPr>
          <w:noProof/>
        </w:rPr>
        <w:fldChar w:fldCharType="separate"/>
      </w:r>
      <w:r>
        <w:rPr>
          <w:noProof/>
        </w:rPr>
        <w:t>17</w:t>
      </w:r>
      <w:r>
        <w:rPr>
          <w:noProof/>
        </w:rPr>
        <w:fldChar w:fldCharType="end"/>
      </w:r>
    </w:p>
    <w:p w14:paraId="5B97DDB1" w14:textId="00FD5D75"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2.3.2. Stewardship Theory</w:t>
      </w:r>
      <w:r>
        <w:rPr>
          <w:noProof/>
        </w:rPr>
        <w:tab/>
      </w:r>
      <w:r>
        <w:rPr>
          <w:noProof/>
        </w:rPr>
        <w:fldChar w:fldCharType="begin"/>
      </w:r>
      <w:r>
        <w:rPr>
          <w:noProof/>
        </w:rPr>
        <w:instrText xml:space="preserve"> PAGEREF _Toc73739010 \h </w:instrText>
      </w:r>
      <w:r>
        <w:rPr>
          <w:noProof/>
        </w:rPr>
      </w:r>
      <w:r>
        <w:rPr>
          <w:noProof/>
        </w:rPr>
        <w:fldChar w:fldCharType="separate"/>
      </w:r>
      <w:r>
        <w:rPr>
          <w:noProof/>
        </w:rPr>
        <w:t>18</w:t>
      </w:r>
      <w:r>
        <w:rPr>
          <w:noProof/>
        </w:rPr>
        <w:fldChar w:fldCharType="end"/>
      </w:r>
    </w:p>
    <w:p w14:paraId="6C20B547" w14:textId="5C13E0BB"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2.3.3. Resource Dependence Theory</w:t>
      </w:r>
      <w:r>
        <w:rPr>
          <w:noProof/>
        </w:rPr>
        <w:tab/>
      </w:r>
      <w:r>
        <w:rPr>
          <w:noProof/>
        </w:rPr>
        <w:fldChar w:fldCharType="begin"/>
      </w:r>
      <w:r>
        <w:rPr>
          <w:noProof/>
        </w:rPr>
        <w:instrText xml:space="preserve"> PAGEREF _Toc73739011 \h </w:instrText>
      </w:r>
      <w:r>
        <w:rPr>
          <w:noProof/>
        </w:rPr>
      </w:r>
      <w:r>
        <w:rPr>
          <w:noProof/>
        </w:rPr>
        <w:fldChar w:fldCharType="separate"/>
      </w:r>
      <w:r>
        <w:rPr>
          <w:noProof/>
        </w:rPr>
        <w:t>19</w:t>
      </w:r>
      <w:r>
        <w:rPr>
          <w:noProof/>
        </w:rPr>
        <w:fldChar w:fldCharType="end"/>
      </w:r>
    </w:p>
    <w:p w14:paraId="3DD746CD" w14:textId="49236F63"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2.4. Empirical Reviews</w:t>
      </w:r>
      <w:r>
        <w:rPr>
          <w:noProof/>
        </w:rPr>
        <w:tab/>
      </w:r>
      <w:r>
        <w:rPr>
          <w:noProof/>
        </w:rPr>
        <w:fldChar w:fldCharType="begin"/>
      </w:r>
      <w:r>
        <w:rPr>
          <w:noProof/>
        </w:rPr>
        <w:instrText xml:space="preserve"> PAGEREF _Toc73739012 \h </w:instrText>
      </w:r>
      <w:r>
        <w:rPr>
          <w:noProof/>
        </w:rPr>
      </w:r>
      <w:r>
        <w:rPr>
          <w:noProof/>
        </w:rPr>
        <w:fldChar w:fldCharType="separate"/>
      </w:r>
      <w:r>
        <w:rPr>
          <w:noProof/>
        </w:rPr>
        <w:t>20</w:t>
      </w:r>
      <w:r>
        <w:rPr>
          <w:noProof/>
        </w:rPr>
        <w:fldChar w:fldCharType="end"/>
      </w:r>
    </w:p>
    <w:p w14:paraId="06C3F06E" w14:textId="0D0A0DDE"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2.5. Conceptual Framework</w:t>
      </w:r>
      <w:r>
        <w:rPr>
          <w:noProof/>
        </w:rPr>
        <w:tab/>
      </w:r>
      <w:r>
        <w:rPr>
          <w:noProof/>
        </w:rPr>
        <w:fldChar w:fldCharType="begin"/>
      </w:r>
      <w:r>
        <w:rPr>
          <w:noProof/>
        </w:rPr>
        <w:instrText xml:space="preserve"> PAGEREF _Toc73739013 \h </w:instrText>
      </w:r>
      <w:r>
        <w:rPr>
          <w:noProof/>
        </w:rPr>
      </w:r>
      <w:r>
        <w:rPr>
          <w:noProof/>
        </w:rPr>
        <w:fldChar w:fldCharType="separate"/>
      </w:r>
      <w:r>
        <w:rPr>
          <w:noProof/>
        </w:rPr>
        <w:t>21</w:t>
      </w:r>
      <w:r>
        <w:rPr>
          <w:noProof/>
        </w:rPr>
        <w:fldChar w:fldCharType="end"/>
      </w:r>
    </w:p>
    <w:p w14:paraId="25EB6A27" w14:textId="25D3CAAE"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it-IT"/>
        </w:rPr>
        <w:t>2.6. Conclusion</w:t>
      </w:r>
      <w:r>
        <w:rPr>
          <w:noProof/>
        </w:rPr>
        <w:tab/>
      </w:r>
      <w:r>
        <w:rPr>
          <w:noProof/>
        </w:rPr>
        <w:fldChar w:fldCharType="begin"/>
      </w:r>
      <w:r>
        <w:rPr>
          <w:noProof/>
        </w:rPr>
        <w:instrText xml:space="preserve"> PAGEREF _Toc73739014 \h </w:instrText>
      </w:r>
      <w:r>
        <w:rPr>
          <w:noProof/>
        </w:rPr>
      </w:r>
      <w:r>
        <w:rPr>
          <w:noProof/>
        </w:rPr>
        <w:fldChar w:fldCharType="separate"/>
      </w:r>
      <w:r>
        <w:rPr>
          <w:noProof/>
        </w:rPr>
        <w:t>22</w:t>
      </w:r>
      <w:r>
        <w:rPr>
          <w:noProof/>
        </w:rPr>
        <w:fldChar w:fldCharType="end"/>
      </w:r>
    </w:p>
    <w:p w14:paraId="53542ADD" w14:textId="58866478" w:rsidR="00265B23" w:rsidRDefault="00265B23">
      <w:pPr>
        <w:pStyle w:val="TOC2"/>
        <w:rPr>
          <w:rFonts w:asciiTheme="minorHAnsi" w:eastAsiaTheme="minorEastAsia" w:hAnsiTheme="minorHAnsi" w:cstheme="minorBidi"/>
          <w:noProof/>
          <w:color w:val="auto"/>
          <w:bdr w:val="none" w:sz="0" w:space="0" w:color="auto"/>
          <w:lang w:val="en-GB"/>
        </w:rPr>
      </w:pPr>
      <w:r w:rsidRPr="00603C77">
        <w:rPr>
          <w:noProof/>
          <w:lang w:val="de-DE"/>
        </w:rPr>
        <w:t>CHAPTER THREE</w:t>
      </w:r>
      <w:r>
        <w:rPr>
          <w:noProof/>
        </w:rPr>
        <w:tab/>
      </w:r>
      <w:r>
        <w:rPr>
          <w:noProof/>
        </w:rPr>
        <w:fldChar w:fldCharType="begin"/>
      </w:r>
      <w:r>
        <w:rPr>
          <w:noProof/>
        </w:rPr>
        <w:instrText xml:space="preserve"> PAGEREF _Toc73739015 \h </w:instrText>
      </w:r>
      <w:r>
        <w:rPr>
          <w:noProof/>
        </w:rPr>
      </w:r>
      <w:r>
        <w:rPr>
          <w:noProof/>
        </w:rPr>
        <w:fldChar w:fldCharType="separate"/>
      </w:r>
      <w:r>
        <w:rPr>
          <w:noProof/>
        </w:rPr>
        <w:t>23</w:t>
      </w:r>
      <w:r>
        <w:rPr>
          <w:noProof/>
        </w:rPr>
        <w:fldChar w:fldCharType="end"/>
      </w:r>
    </w:p>
    <w:p w14:paraId="5EFD522D" w14:textId="75BD95F0" w:rsidR="00265B23" w:rsidRDefault="00265B23">
      <w:pPr>
        <w:pStyle w:val="TOC2"/>
        <w:rPr>
          <w:rFonts w:asciiTheme="minorHAnsi" w:eastAsiaTheme="minorEastAsia" w:hAnsiTheme="minorHAnsi" w:cstheme="minorBidi"/>
          <w:noProof/>
          <w:color w:val="auto"/>
          <w:bdr w:val="none" w:sz="0" w:space="0" w:color="auto"/>
          <w:lang w:val="en-GB"/>
        </w:rPr>
      </w:pPr>
      <w:r w:rsidRPr="00603C77">
        <w:rPr>
          <w:noProof/>
          <w:lang w:val="de-DE"/>
        </w:rPr>
        <w:t>RESEARCH METHODOLOGY</w:t>
      </w:r>
      <w:r>
        <w:rPr>
          <w:noProof/>
        </w:rPr>
        <w:tab/>
      </w:r>
      <w:r>
        <w:rPr>
          <w:noProof/>
        </w:rPr>
        <w:fldChar w:fldCharType="begin"/>
      </w:r>
      <w:r>
        <w:rPr>
          <w:noProof/>
        </w:rPr>
        <w:instrText xml:space="preserve"> PAGEREF _Toc73739016 \h </w:instrText>
      </w:r>
      <w:r>
        <w:rPr>
          <w:noProof/>
        </w:rPr>
      </w:r>
      <w:r>
        <w:rPr>
          <w:noProof/>
        </w:rPr>
        <w:fldChar w:fldCharType="separate"/>
      </w:r>
      <w:r>
        <w:rPr>
          <w:noProof/>
        </w:rPr>
        <w:t>23</w:t>
      </w:r>
      <w:r>
        <w:rPr>
          <w:noProof/>
        </w:rPr>
        <w:fldChar w:fldCharType="end"/>
      </w:r>
    </w:p>
    <w:p w14:paraId="374665C9" w14:textId="492D5F9C"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fr-FR"/>
        </w:rPr>
        <w:t>3.1. Introduction</w:t>
      </w:r>
      <w:r>
        <w:rPr>
          <w:noProof/>
        </w:rPr>
        <w:tab/>
      </w:r>
      <w:r>
        <w:rPr>
          <w:noProof/>
        </w:rPr>
        <w:fldChar w:fldCharType="begin"/>
      </w:r>
      <w:r>
        <w:rPr>
          <w:noProof/>
        </w:rPr>
        <w:instrText xml:space="preserve"> PAGEREF _Toc73739017 \h </w:instrText>
      </w:r>
      <w:r>
        <w:rPr>
          <w:noProof/>
        </w:rPr>
      </w:r>
      <w:r>
        <w:rPr>
          <w:noProof/>
        </w:rPr>
        <w:fldChar w:fldCharType="separate"/>
      </w:r>
      <w:r>
        <w:rPr>
          <w:noProof/>
        </w:rPr>
        <w:t>23</w:t>
      </w:r>
      <w:r>
        <w:rPr>
          <w:noProof/>
        </w:rPr>
        <w:fldChar w:fldCharType="end"/>
      </w:r>
    </w:p>
    <w:p w14:paraId="22BB96E7" w14:textId="3CA97D22"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3.2. Research Philosophy</w:t>
      </w:r>
      <w:r>
        <w:rPr>
          <w:noProof/>
        </w:rPr>
        <w:tab/>
      </w:r>
      <w:r>
        <w:rPr>
          <w:noProof/>
        </w:rPr>
        <w:fldChar w:fldCharType="begin"/>
      </w:r>
      <w:r>
        <w:rPr>
          <w:noProof/>
        </w:rPr>
        <w:instrText xml:space="preserve"> PAGEREF _Toc73739018 \h </w:instrText>
      </w:r>
      <w:r>
        <w:rPr>
          <w:noProof/>
        </w:rPr>
      </w:r>
      <w:r>
        <w:rPr>
          <w:noProof/>
        </w:rPr>
        <w:fldChar w:fldCharType="separate"/>
      </w:r>
      <w:r>
        <w:rPr>
          <w:noProof/>
        </w:rPr>
        <w:t>23</w:t>
      </w:r>
      <w:r>
        <w:rPr>
          <w:noProof/>
        </w:rPr>
        <w:fldChar w:fldCharType="end"/>
      </w:r>
    </w:p>
    <w:p w14:paraId="1198EF51" w14:textId="2C2C2154"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3.3. Research Design</w:t>
      </w:r>
      <w:r>
        <w:rPr>
          <w:noProof/>
        </w:rPr>
        <w:tab/>
      </w:r>
      <w:r>
        <w:rPr>
          <w:noProof/>
        </w:rPr>
        <w:fldChar w:fldCharType="begin"/>
      </w:r>
      <w:r>
        <w:rPr>
          <w:noProof/>
        </w:rPr>
        <w:instrText xml:space="preserve"> PAGEREF _Toc73739019 \h </w:instrText>
      </w:r>
      <w:r>
        <w:rPr>
          <w:noProof/>
        </w:rPr>
      </w:r>
      <w:r>
        <w:rPr>
          <w:noProof/>
        </w:rPr>
        <w:fldChar w:fldCharType="separate"/>
      </w:r>
      <w:r>
        <w:rPr>
          <w:noProof/>
        </w:rPr>
        <w:t>26</w:t>
      </w:r>
      <w:r>
        <w:rPr>
          <w:noProof/>
        </w:rPr>
        <w:fldChar w:fldCharType="end"/>
      </w:r>
    </w:p>
    <w:p w14:paraId="3321B046" w14:textId="17174933"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3.4. Research Approach</w:t>
      </w:r>
      <w:r>
        <w:rPr>
          <w:noProof/>
        </w:rPr>
        <w:tab/>
      </w:r>
      <w:r>
        <w:rPr>
          <w:noProof/>
        </w:rPr>
        <w:fldChar w:fldCharType="begin"/>
      </w:r>
      <w:r>
        <w:rPr>
          <w:noProof/>
        </w:rPr>
        <w:instrText xml:space="preserve"> PAGEREF _Toc73739020 \h </w:instrText>
      </w:r>
      <w:r>
        <w:rPr>
          <w:noProof/>
        </w:rPr>
      </w:r>
      <w:r>
        <w:rPr>
          <w:noProof/>
        </w:rPr>
        <w:fldChar w:fldCharType="separate"/>
      </w:r>
      <w:r>
        <w:rPr>
          <w:noProof/>
        </w:rPr>
        <w:t>27</w:t>
      </w:r>
      <w:r>
        <w:rPr>
          <w:noProof/>
        </w:rPr>
        <w:fldChar w:fldCharType="end"/>
      </w:r>
    </w:p>
    <w:p w14:paraId="2E742999" w14:textId="2832EF13"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3.5. Sources of Data</w:t>
      </w:r>
      <w:r>
        <w:rPr>
          <w:noProof/>
        </w:rPr>
        <w:tab/>
      </w:r>
      <w:r>
        <w:rPr>
          <w:noProof/>
        </w:rPr>
        <w:fldChar w:fldCharType="begin"/>
      </w:r>
      <w:r>
        <w:rPr>
          <w:noProof/>
        </w:rPr>
        <w:instrText xml:space="preserve"> PAGEREF _Toc73739021 \h </w:instrText>
      </w:r>
      <w:r>
        <w:rPr>
          <w:noProof/>
        </w:rPr>
      </w:r>
      <w:r>
        <w:rPr>
          <w:noProof/>
        </w:rPr>
        <w:fldChar w:fldCharType="separate"/>
      </w:r>
      <w:r>
        <w:rPr>
          <w:noProof/>
        </w:rPr>
        <w:t>28</w:t>
      </w:r>
      <w:r>
        <w:rPr>
          <w:noProof/>
        </w:rPr>
        <w:fldChar w:fldCharType="end"/>
      </w:r>
    </w:p>
    <w:p w14:paraId="396CA6F4" w14:textId="3503747A"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3.6. Research Participants/Sampling Techniques</w:t>
      </w:r>
      <w:r>
        <w:rPr>
          <w:noProof/>
        </w:rPr>
        <w:tab/>
      </w:r>
      <w:r>
        <w:rPr>
          <w:noProof/>
        </w:rPr>
        <w:fldChar w:fldCharType="begin"/>
      </w:r>
      <w:r>
        <w:rPr>
          <w:noProof/>
        </w:rPr>
        <w:instrText xml:space="preserve"> PAGEREF _Toc73739022 \h </w:instrText>
      </w:r>
      <w:r>
        <w:rPr>
          <w:noProof/>
        </w:rPr>
      </w:r>
      <w:r>
        <w:rPr>
          <w:noProof/>
        </w:rPr>
        <w:fldChar w:fldCharType="separate"/>
      </w:r>
      <w:r>
        <w:rPr>
          <w:noProof/>
        </w:rPr>
        <w:t>29</w:t>
      </w:r>
      <w:r>
        <w:rPr>
          <w:noProof/>
        </w:rPr>
        <w:fldChar w:fldCharType="end"/>
      </w:r>
    </w:p>
    <w:p w14:paraId="184DA65A" w14:textId="7A43E81E"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3.7. Method of Data Collection</w:t>
      </w:r>
      <w:r>
        <w:rPr>
          <w:noProof/>
        </w:rPr>
        <w:tab/>
      </w:r>
      <w:r>
        <w:rPr>
          <w:noProof/>
        </w:rPr>
        <w:fldChar w:fldCharType="begin"/>
      </w:r>
      <w:r>
        <w:rPr>
          <w:noProof/>
        </w:rPr>
        <w:instrText xml:space="preserve"> PAGEREF _Toc73739023 \h </w:instrText>
      </w:r>
      <w:r>
        <w:rPr>
          <w:noProof/>
        </w:rPr>
      </w:r>
      <w:r>
        <w:rPr>
          <w:noProof/>
        </w:rPr>
        <w:fldChar w:fldCharType="separate"/>
      </w:r>
      <w:r>
        <w:rPr>
          <w:noProof/>
        </w:rPr>
        <w:t>29</w:t>
      </w:r>
      <w:r>
        <w:rPr>
          <w:noProof/>
        </w:rPr>
        <w:fldChar w:fldCharType="end"/>
      </w:r>
    </w:p>
    <w:p w14:paraId="75F377A6" w14:textId="7ED7858B"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3.8. Method of Data Analysis</w:t>
      </w:r>
      <w:r>
        <w:rPr>
          <w:noProof/>
        </w:rPr>
        <w:tab/>
      </w:r>
      <w:r>
        <w:rPr>
          <w:noProof/>
        </w:rPr>
        <w:fldChar w:fldCharType="begin"/>
      </w:r>
      <w:r>
        <w:rPr>
          <w:noProof/>
        </w:rPr>
        <w:instrText xml:space="preserve"> PAGEREF _Toc73739024 \h </w:instrText>
      </w:r>
      <w:r>
        <w:rPr>
          <w:noProof/>
        </w:rPr>
      </w:r>
      <w:r>
        <w:rPr>
          <w:noProof/>
        </w:rPr>
        <w:fldChar w:fldCharType="separate"/>
      </w:r>
      <w:r>
        <w:rPr>
          <w:noProof/>
        </w:rPr>
        <w:t>29</w:t>
      </w:r>
      <w:r>
        <w:rPr>
          <w:noProof/>
        </w:rPr>
        <w:fldChar w:fldCharType="end"/>
      </w:r>
    </w:p>
    <w:p w14:paraId="18421AE9" w14:textId="146FE090"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3.9. Test of Validity and Reliability</w:t>
      </w:r>
      <w:r>
        <w:rPr>
          <w:noProof/>
        </w:rPr>
        <w:tab/>
      </w:r>
      <w:r>
        <w:rPr>
          <w:noProof/>
        </w:rPr>
        <w:fldChar w:fldCharType="begin"/>
      </w:r>
      <w:r>
        <w:rPr>
          <w:noProof/>
        </w:rPr>
        <w:instrText xml:space="preserve"> PAGEREF _Toc73739025 \h </w:instrText>
      </w:r>
      <w:r>
        <w:rPr>
          <w:noProof/>
        </w:rPr>
      </w:r>
      <w:r>
        <w:rPr>
          <w:noProof/>
        </w:rPr>
        <w:fldChar w:fldCharType="separate"/>
      </w:r>
      <w:r>
        <w:rPr>
          <w:noProof/>
        </w:rPr>
        <w:t>30</w:t>
      </w:r>
      <w:r>
        <w:rPr>
          <w:noProof/>
        </w:rPr>
        <w:fldChar w:fldCharType="end"/>
      </w:r>
    </w:p>
    <w:p w14:paraId="3B0F1D02" w14:textId="150967D9"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3.10. Access and Research Ethics</w:t>
      </w:r>
      <w:r>
        <w:rPr>
          <w:noProof/>
        </w:rPr>
        <w:tab/>
      </w:r>
      <w:r>
        <w:rPr>
          <w:noProof/>
        </w:rPr>
        <w:fldChar w:fldCharType="begin"/>
      </w:r>
      <w:r>
        <w:rPr>
          <w:noProof/>
        </w:rPr>
        <w:instrText xml:space="preserve"> PAGEREF _Toc73739026 \h </w:instrText>
      </w:r>
      <w:r>
        <w:rPr>
          <w:noProof/>
        </w:rPr>
      </w:r>
      <w:r>
        <w:rPr>
          <w:noProof/>
        </w:rPr>
        <w:fldChar w:fldCharType="separate"/>
      </w:r>
      <w:r>
        <w:rPr>
          <w:noProof/>
        </w:rPr>
        <w:t>30</w:t>
      </w:r>
      <w:r>
        <w:rPr>
          <w:noProof/>
        </w:rPr>
        <w:fldChar w:fldCharType="end"/>
      </w:r>
    </w:p>
    <w:p w14:paraId="4DD8B0B0" w14:textId="197E74BF"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it-IT"/>
        </w:rPr>
        <w:t>3.11. Conclusion</w:t>
      </w:r>
      <w:r>
        <w:rPr>
          <w:noProof/>
        </w:rPr>
        <w:tab/>
      </w:r>
      <w:r>
        <w:rPr>
          <w:noProof/>
        </w:rPr>
        <w:fldChar w:fldCharType="begin"/>
      </w:r>
      <w:r>
        <w:rPr>
          <w:noProof/>
        </w:rPr>
        <w:instrText xml:space="preserve"> PAGEREF _Toc73739027 \h </w:instrText>
      </w:r>
      <w:r>
        <w:rPr>
          <w:noProof/>
        </w:rPr>
      </w:r>
      <w:r>
        <w:rPr>
          <w:noProof/>
        </w:rPr>
        <w:fldChar w:fldCharType="separate"/>
      </w:r>
      <w:r>
        <w:rPr>
          <w:noProof/>
        </w:rPr>
        <w:t>31</w:t>
      </w:r>
      <w:r>
        <w:rPr>
          <w:noProof/>
        </w:rPr>
        <w:fldChar w:fldCharType="end"/>
      </w:r>
    </w:p>
    <w:p w14:paraId="0CFF3D69" w14:textId="7BBBD7C8"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de-DE"/>
        </w:rPr>
        <w:t>CHAPTER FOUR</w:t>
      </w:r>
      <w:r>
        <w:rPr>
          <w:noProof/>
        </w:rPr>
        <w:tab/>
      </w:r>
      <w:r>
        <w:rPr>
          <w:noProof/>
        </w:rPr>
        <w:fldChar w:fldCharType="begin"/>
      </w:r>
      <w:r>
        <w:rPr>
          <w:noProof/>
        </w:rPr>
        <w:instrText xml:space="preserve"> PAGEREF _Toc73739028 \h </w:instrText>
      </w:r>
      <w:r>
        <w:rPr>
          <w:noProof/>
        </w:rPr>
      </w:r>
      <w:r>
        <w:rPr>
          <w:noProof/>
        </w:rPr>
        <w:fldChar w:fldCharType="separate"/>
      </w:r>
      <w:r>
        <w:rPr>
          <w:noProof/>
        </w:rPr>
        <w:t>32</w:t>
      </w:r>
      <w:r>
        <w:rPr>
          <w:noProof/>
        </w:rPr>
        <w:fldChar w:fldCharType="end"/>
      </w:r>
    </w:p>
    <w:p w14:paraId="36E3A715" w14:textId="02BE8EC8"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en-US"/>
        </w:rPr>
        <w:t>ANALYSIS AND DISCUSSION</w:t>
      </w:r>
      <w:r>
        <w:rPr>
          <w:noProof/>
        </w:rPr>
        <w:tab/>
      </w:r>
      <w:r>
        <w:rPr>
          <w:noProof/>
        </w:rPr>
        <w:fldChar w:fldCharType="begin"/>
      </w:r>
      <w:r>
        <w:rPr>
          <w:noProof/>
        </w:rPr>
        <w:instrText xml:space="preserve"> PAGEREF _Toc73739029 \h </w:instrText>
      </w:r>
      <w:r>
        <w:rPr>
          <w:noProof/>
        </w:rPr>
      </w:r>
      <w:r>
        <w:rPr>
          <w:noProof/>
        </w:rPr>
        <w:fldChar w:fldCharType="separate"/>
      </w:r>
      <w:r>
        <w:rPr>
          <w:noProof/>
        </w:rPr>
        <w:t>32</w:t>
      </w:r>
      <w:r>
        <w:rPr>
          <w:noProof/>
        </w:rPr>
        <w:fldChar w:fldCharType="end"/>
      </w:r>
    </w:p>
    <w:p w14:paraId="568DA479" w14:textId="27B8147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fr-FR"/>
        </w:rPr>
        <w:t>4.1. Introduction</w:t>
      </w:r>
      <w:r>
        <w:rPr>
          <w:noProof/>
        </w:rPr>
        <w:tab/>
      </w:r>
      <w:r>
        <w:rPr>
          <w:noProof/>
        </w:rPr>
        <w:fldChar w:fldCharType="begin"/>
      </w:r>
      <w:r>
        <w:rPr>
          <w:noProof/>
        </w:rPr>
        <w:instrText xml:space="preserve"> PAGEREF _Toc73739030 \h </w:instrText>
      </w:r>
      <w:r>
        <w:rPr>
          <w:noProof/>
        </w:rPr>
      </w:r>
      <w:r>
        <w:rPr>
          <w:noProof/>
        </w:rPr>
        <w:fldChar w:fldCharType="separate"/>
      </w:r>
      <w:r>
        <w:rPr>
          <w:noProof/>
        </w:rPr>
        <w:t>32</w:t>
      </w:r>
      <w:r>
        <w:rPr>
          <w:noProof/>
        </w:rPr>
        <w:fldChar w:fldCharType="end"/>
      </w:r>
    </w:p>
    <w:p w14:paraId="12EB999D" w14:textId="164897A4"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4.2. Discussion of Themes</w:t>
      </w:r>
      <w:r>
        <w:rPr>
          <w:noProof/>
        </w:rPr>
        <w:tab/>
      </w:r>
      <w:r>
        <w:rPr>
          <w:noProof/>
        </w:rPr>
        <w:fldChar w:fldCharType="begin"/>
      </w:r>
      <w:r>
        <w:rPr>
          <w:noProof/>
        </w:rPr>
        <w:instrText xml:space="preserve"> PAGEREF _Toc73739031 \h </w:instrText>
      </w:r>
      <w:r>
        <w:rPr>
          <w:noProof/>
        </w:rPr>
      </w:r>
      <w:r>
        <w:rPr>
          <w:noProof/>
        </w:rPr>
        <w:fldChar w:fldCharType="separate"/>
      </w:r>
      <w:r>
        <w:rPr>
          <w:noProof/>
        </w:rPr>
        <w:t>33</w:t>
      </w:r>
      <w:r>
        <w:rPr>
          <w:noProof/>
        </w:rPr>
        <w:fldChar w:fldCharType="end"/>
      </w:r>
    </w:p>
    <w:p w14:paraId="7370E5D6" w14:textId="45FCD965"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4.2.1. Theme One: Factors influencing Adherence to Corporate Governance Codes</w:t>
      </w:r>
      <w:r>
        <w:rPr>
          <w:noProof/>
        </w:rPr>
        <w:tab/>
      </w:r>
      <w:r>
        <w:rPr>
          <w:noProof/>
        </w:rPr>
        <w:fldChar w:fldCharType="begin"/>
      </w:r>
      <w:r>
        <w:rPr>
          <w:noProof/>
        </w:rPr>
        <w:instrText xml:space="preserve"> PAGEREF _Toc73739032 \h </w:instrText>
      </w:r>
      <w:r>
        <w:rPr>
          <w:noProof/>
        </w:rPr>
      </w:r>
      <w:r>
        <w:rPr>
          <w:noProof/>
        </w:rPr>
        <w:fldChar w:fldCharType="separate"/>
      </w:r>
      <w:r>
        <w:rPr>
          <w:noProof/>
        </w:rPr>
        <w:t>33</w:t>
      </w:r>
      <w:r>
        <w:rPr>
          <w:noProof/>
        </w:rPr>
        <w:fldChar w:fldCharType="end"/>
      </w:r>
    </w:p>
    <w:p w14:paraId="4D2E3FB9" w14:textId="23E92605"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 Finding one: Corporate Governance Codes in the Irish Banking Sector</w:t>
      </w:r>
      <w:r>
        <w:rPr>
          <w:noProof/>
        </w:rPr>
        <w:tab/>
      </w:r>
      <w:r>
        <w:rPr>
          <w:noProof/>
        </w:rPr>
        <w:fldChar w:fldCharType="begin"/>
      </w:r>
      <w:r>
        <w:rPr>
          <w:noProof/>
        </w:rPr>
        <w:instrText xml:space="preserve"> PAGEREF _Toc73739033 \h </w:instrText>
      </w:r>
      <w:r>
        <w:rPr>
          <w:noProof/>
        </w:rPr>
      </w:r>
      <w:r>
        <w:rPr>
          <w:noProof/>
        </w:rPr>
        <w:fldChar w:fldCharType="separate"/>
      </w:r>
      <w:r>
        <w:rPr>
          <w:noProof/>
        </w:rPr>
        <w:t>33</w:t>
      </w:r>
      <w:r>
        <w:rPr>
          <w:noProof/>
        </w:rPr>
        <w:fldChar w:fldCharType="end"/>
      </w:r>
    </w:p>
    <w:p w14:paraId="024F7527" w14:textId="0AB87586"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4.2.2. Theme Two: Factors Determining the Adherence of Corporate Governance Codes in the Irish Banks.</w:t>
      </w:r>
      <w:r>
        <w:rPr>
          <w:noProof/>
        </w:rPr>
        <w:tab/>
      </w:r>
      <w:r>
        <w:rPr>
          <w:noProof/>
        </w:rPr>
        <w:fldChar w:fldCharType="begin"/>
      </w:r>
      <w:r>
        <w:rPr>
          <w:noProof/>
        </w:rPr>
        <w:instrText xml:space="preserve"> PAGEREF _Toc73739034 \h </w:instrText>
      </w:r>
      <w:r>
        <w:rPr>
          <w:noProof/>
        </w:rPr>
      </w:r>
      <w:r>
        <w:rPr>
          <w:noProof/>
        </w:rPr>
        <w:fldChar w:fldCharType="separate"/>
      </w:r>
      <w:r>
        <w:rPr>
          <w:noProof/>
        </w:rPr>
        <w:t>34</w:t>
      </w:r>
      <w:r>
        <w:rPr>
          <w:noProof/>
        </w:rPr>
        <w:fldChar w:fldCharType="end"/>
      </w:r>
    </w:p>
    <w:p w14:paraId="3D4DFD95" w14:textId="3FF834FC"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 Finding One: The Role of the Central Bank of Ireland (CBI)</w:t>
      </w:r>
      <w:r>
        <w:rPr>
          <w:noProof/>
        </w:rPr>
        <w:tab/>
      </w:r>
      <w:r>
        <w:rPr>
          <w:noProof/>
        </w:rPr>
        <w:fldChar w:fldCharType="begin"/>
      </w:r>
      <w:r>
        <w:rPr>
          <w:noProof/>
        </w:rPr>
        <w:instrText xml:space="preserve"> PAGEREF _Toc73739035 \h </w:instrText>
      </w:r>
      <w:r>
        <w:rPr>
          <w:noProof/>
        </w:rPr>
      </w:r>
      <w:r>
        <w:rPr>
          <w:noProof/>
        </w:rPr>
        <w:fldChar w:fldCharType="separate"/>
      </w:r>
      <w:r>
        <w:rPr>
          <w:noProof/>
        </w:rPr>
        <w:t>34</w:t>
      </w:r>
      <w:r>
        <w:rPr>
          <w:noProof/>
        </w:rPr>
        <w:fldChar w:fldCharType="end"/>
      </w:r>
    </w:p>
    <w:p w14:paraId="7406219B" w14:textId="65598C12"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b. Size and Customers of the Financial Institution</w:t>
      </w:r>
      <w:r>
        <w:rPr>
          <w:noProof/>
        </w:rPr>
        <w:tab/>
      </w:r>
      <w:r>
        <w:rPr>
          <w:noProof/>
        </w:rPr>
        <w:fldChar w:fldCharType="begin"/>
      </w:r>
      <w:r>
        <w:rPr>
          <w:noProof/>
        </w:rPr>
        <w:instrText xml:space="preserve"> PAGEREF _Toc73739036 \h </w:instrText>
      </w:r>
      <w:r>
        <w:rPr>
          <w:noProof/>
        </w:rPr>
      </w:r>
      <w:r>
        <w:rPr>
          <w:noProof/>
        </w:rPr>
        <w:fldChar w:fldCharType="separate"/>
      </w:r>
      <w:r>
        <w:rPr>
          <w:noProof/>
        </w:rPr>
        <w:t>36</w:t>
      </w:r>
      <w:r>
        <w:rPr>
          <w:noProof/>
        </w:rPr>
        <w:fldChar w:fldCharType="end"/>
      </w:r>
    </w:p>
    <w:p w14:paraId="2A443E68" w14:textId="1C9A6056"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c. Finding Three: Role of Non-Executive Directors</w:t>
      </w:r>
      <w:r>
        <w:rPr>
          <w:noProof/>
        </w:rPr>
        <w:tab/>
      </w:r>
      <w:r>
        <w:rPr>
          <w:noProof/>
        </w:rPr>
        <w:fldChar w:fldCharType="begin"/>
      </w:r>
      <w:r>
        <w:rPr>
          <w:noProof/>
        </w:rPr>
        <w:instrText xml:space="preserve"> PAGEREF _Toc73739037 \h </w:instrText>
      </w:r>
      <w:r>
        <w:rPr>
          <w:noProof/>
        </w:rPr>
      </w:r>
      <w:r>
        <w:rPr>
          <w:noProof/>
        </w:rPr>
        <w:fldChar w:fldCharType="separate"/>
      </w:r>
      <w:r>
        <w:rPr>
          <w:noProof/>
        </w:rPr>
        <w:t>38</w:t>
      </w:r>
      <w:r>
        <w:rPr>
          <w:noProof/>
        </w:rPr>
        <w:fldChar w:fldCharType="end"/>
      </w:r>
    </w:p>
    <w:p w14:paraId="171AE271" w14:textId="0702C9CC"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4.2.3. Theme Three: Reasons for Non-Adherence to Corporate Governance Principles Amongst Banks in Ireland</w:t>
      </w:r>
      <w:r>
        <w:rPr>
          <w:noProof/>
        </w:rPr>
        <w:tab/>
      </w:r>
      <w:r>
        <w:rPr>
          <w:noProof/>
        </w:rPr>
        <w:fldChar w:fldCharType="begin"/>
      </w:r>
      <w:r>
        <w:rPr>
          <w:noProof/>
        </w:rPr>
        <w:instrText xml:space="preserve"> PAGEREF _Toc73739038 \h </w:instrText>
      </w:r>
      <w:r>
        <w:rPr>
          <w:noProof/>
        </w:rPr>
      </w:r>
      <w:r>
        <w:rPr>
          <w:noProof/>
        </w:rPr>
        <w:fldChar w:fldCharType="separate"/>
      </w:r>
      <w:r>
        <w:rPr>
          <w:noProof/>
        </w:rPr>
        <w:t>41</w:t>
      </w:r>
      <w:r>
        <w:rPr>
          <w:noProof/>
        </w:rPr>
        <w:fldChar w:fldCharType="end"/>
      </w:r>
    </w:p>
    <w:p w14:paraId="7D6DC78A" w14:textId="78AA4DCB" w:rsidR="00265B23" w:rsidRDefault="00265B23">
      <w:pPr>
        <w:pStyle w:val="TOC2"/>
        <w:rPr>
          <w:rFonts w:asciiTheme="minorHAnsi" w:eastAsiaTheme="minorEastAsia" w:hAnsiTheme="minorHAnsi" w:cstheme="minorBidi"/>
          <w:noProof/>
          <w:color w:val="auto"/>
          <w:bdr w:val="none" w:sz="0" w:space="0" w:color="auto"/>
          <w:lang w:val="en-GB"/>
        </w:rPr>
      </w:pPr>
      <w:r w:rsidRPr="00603C77">
        <w:rPr>
          <w:rFonts w:eastAsia="Arial Unicode MS" w:cs="Arial Unicode MS"/>
          <w:noProof/>
        </w:rPr>
        <w:t>4.2.4. Theme Four: Challenges Associated with Adhering to Corporate Governance Codes</w:t>
      </w:r>
      <w:r>
        <w:rPr>
          <w:noProof/>
        </w:rPr>
        <w:tab/>
      </w:r>
      <w:r>
        <w:rPr>
          <w:noProof/>
        </w:rPr>
        <w:fldChar w:fldCharType="begin"/>
      </w:r>
      <w:r>
        <w:rPr>
          <w:noProof/>
        </w:rPr>
        <w:instrText xml:space="preserve"> PAGEREF _Toc73739039 \h </w:instrText>
      </w:r>
      <w:r>
        <w:rPr>
          <w:noProof/>
        </w:rPr>
      </w:r>
      <w:r>
        <w:rPr>
          <w:noProof/>
        </w:rPr>
        <w:fldChar w:fldCharType="separate"/>
      </w:r>
      <w:r>
        <w:rPr>
          <w:noProof/>
        </w:rPr>
        <w:t>44</w:t>
      </w:r>
      <w:r>
        <w:rPr>
          <w:noProof/>
        </w:rPr>
        <w:fldChar w:fldCharType="end"/>
      </w:r>
    </w:p>
    <w:p w14:paraId="778CE5B3" w14:textId="051B7CF9"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 Finding One: Constantly Updating Codes</w:t>
      </w:r>
      <w:r>
        <w:rPr>
          <w:noProof/>
        </w:rPr>
        <w:tab/>
      </w:r>
      <w:r>
        <w:rPr>
          <w:noProof/>
        </w:rPr>
        <w:fldChar w:fldCharType="begin"/>
      </w:r>
      <w:r>
        <w:rPr>
          <w:noProof/>
        </w:rPr>
        <w:instrText xml:space="preserve"> PAGEREF _Toc73739040 \h </w:instrText>
      </w:r>
      <w:r>
        <w:rPr>
          <w:noProof/>
        </w:rPr>
      </w:r>
      <w:r>
        <w:rPr>
          <w:noProof/>
        </w:rPr>
        <w:fldChar w:fldCharType="separate"/>
      </w:r>
      <w:r>
        <w:rPr>
          <w:noProof/>
        </w:rPr>
        <w:t>44</w:t>
      </w:r>
      <w:r>
        <w:rPr>
          <w:noProof/>
        </w:rPr>
        <w:fldChar w:fldCharType="end"/>
      </w:r>
    </w:p>
    <w:p w14:paraId="73550BDF" w14:textId="541735B0"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b. Finding Two: Lack of Uniformity in Implementation</w:t>
      </w:r>
      <w:r>
        <w:rPr>
          <w:noProof/>
        </w:rPr>
        <w:tab/>
      </w:r>
      <w:r>
        <w:rPr>
          <w:noProof/>
        </w:rPr>
        <w:fldChar w:fldCharType="begin"/>
      </w:r>
      <w:r>
        <w:rPr>
          <w:noProof/>
        </w:rPr>
        <w:instrText xml:space="preserve"> PAGEREF _Toc73739041 \h </w:instrText>
      </w:r>
      <w:r>
        <w:rPr>
          <w:noProof/>
        </w:rPr>
      </w:r>
      <w:r>
        <w:rPr>
          <w:noProof/>
        </w:rPr>
        <w:fldChar w:fldCharType="separate"/>
      </w:r>
      <w:r>
        <w:rPr>
          <w:noProof/>
        </w:rPr>
        <w:t>45</w:t>
      </w:r>
      <w:r>
        <w:rPr>
          <w:noProof/>
        </w:rPr>
        <w:fldChar w:fldCharType="end"/>
      </w:r>
    </w:p>
    <w:p w14:paraId="20B54FFE" w14:textId="6EF278DB" w:rsidR="00265B23" w:rsidRDefault="00265B23">
      <w:pPr>
        <w:pStyle w:val="TOC3"/>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c. Finding Three: Impact on Investors</w:t>
      </w:r>
      <w:r>
        <w:rPr>
          <w:noProof/>
        </w:rPr>
        <w:tab/>
      </w:r>
      <w:r>
        <w:rPr>
          <w:noProof/>
        </w:rPr>
        <w:fldChar w:fldCharType="begin"/>
      </w:r>
      <w:r>
        <w:rPr>
          <w:noProof/>
        </w:rPr>
        <w:instrText xml:space="preserve"> PAGEREF _Toc73739042 \h </w:instrText>
      </w:r>
      <w:r>
        <w:rPr>
          <w:noProof/>
        </w:rPr>
      </w:r>
      <w:r>
        <w:rPr>
          <w:noProof/>
        </w:rPr>
        <w:fldChar w:fldCharType="separate"/>
      </w:r>
      <w:r>
        <w:rPr>
          <w:noProof/>
        </w:rPr>
        <w:t>45</w:t>
      </w:r>
      <w:r>
        <w:rPr>
          <w:noProof/>
        </w:rPr>
        <w:fldChar w:fldCharType="end"/>
      </w:r>
    </w:p>
    <w:p w14:paraId="66CA7EFD" w14:textId="56D88E78"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4.3. Summary of Findings</w:t>
      </w:r>
      <w:r>
        <w:rPr>
          <w:noProof/>
        </w:rPr>
        <w:tab/>
      </w:r>
      <w:r>
        <w:rPr>
          <w:noProof/>
        </w:rPr>
        <w:fldChar w:fldCharType="begin"/>
      </w:r>
      <w:r>
        <w:rPr>
          <w:noProof/>
        </w:rPr>
        <w:instrText xml:space="preserve"> PAGEREF _Toc73739043 \h </w:instrText>
      </w:r>
      <w:r>
        <w:rPr>
          <w:noProof/>
        </w:rPr>
      </w:r>
      <w:r>
        <w:rPr>
          <w:noProof/>
        </w:rPr>
        <w:fldChar w:fldCharType="separate"/>
      </w:r>
      <w:r>
        <w:rPr>
          <w:noProof/>
        </w:rPr>
        <w:t>46</w:t>
      </w:r>
      <w:r>
        <w:rPr>
          <w:noProof/>
        </w:rPr>
        <w:fldChar w:fldCharType="end"/>
      </w:r>
    </w:p>
    <w:p w14:paraId="0176A733" w14:textId="580003E7"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de-DE"/>
        </w:rPr>
        <w:lastRenderedPageBreak/>
        <w:t>CHAPTER FIVE</w:t>
      </w:r>
      <w:r>
        <w:rPr>
          <w:noProof/>
        </w:rPr>
        <w:tab/>
      </w:r>
      <w:r>
        <w:rPr>
          <w:noProof/>
        </w:rPr>
        <w:fldChar w:fldCharType="begin"/>
      </w:r>
      <w:r>
        <w:rPr>
          <w:noProof/>
        </w:rPr>
        <w:instrText xml:space="preserve"> PAGEREF _Toc73739044 \h </w:instrText>
      </w:r>
      <w:r>
        <w:rPr>
          <w:noProof/>
        </w:rPr>
      </w:r>
      <w:r>
        <w:rPr>
          <w:noProof/>
        </w:rPr>
        <w:fldChar w:fldCharType="separate"/>
      </w:r>
      <w:r>
        <w:rPr>
          <w:noProof/>
        </w:rPr>
        <w:t>48</w:t>
      </w:r>
      <w:r>
        <w:rPr>
          <w:noProof/>
        </w:rPr>
        <w:fldChar w:fldCharType="end"/>
      </w:r>
    </w:p>
    <w:p w14:paraId="3FF90999" w14:textId="68FB9186" w:rsidR="00265B23" w:rsidRDefault="00265B23">
      <w:pPr>
        <w:pStyle w:val="TOC1"/>
        <w:rPr>
          <w:rFonts w:asciiTheme="minorHAnsi" w:eastAsiaTheme="minorEastAsia" w:hAnsiTheme="minorHAnsi" w:cstheme="minorBidi"/>
          <w:noProof/>
          <w:color w:val="auto"/>
          <w:bdr w:val="none" w:sz="0" w:space="0" w:color="auto"/>
        </w:rPr>
      </w:pPr>
      <w:r w:rsidRPr="00603C77">
        <w:rPr>
          <w:noProof/>
          <w:lang w:val="en-US"/>
        </w:rPr>
        <w:t>SUMMARY AND CONCLUSIONS</w:t>
      </w:r>
      <w:r>
        <w:rPr>
          <w:noProof/>
        </w:rPr>
        <w:tab/>
      </w:r>
      <w:r>
        <w:rPr>
          <w:noProof/>
        </w:rPr>
        <w:fldChar w:fldCharType="begin"/>
      </w:r>
      <w:r>
        <w:rPr>
          <w:noProof/>
        </w:rPr>
        <w:instrText xml:space="preserve"> PAGEREF _Toc73739045 \h </w:instrText>
      </w:r>
      <w:r>
        <w:rPr>
          <w:noProof/>
        </w:rPr>
      </w:r>
      <w:r>
        <w:rPr>
          <w:noProof/>
        </w:rPr>
        <w:fldChar w:fldCharType="separate"/>
      </w:r>
      <w:r>
        <w:rPr>
          <w:noProof/>
        </w:rPr>
        <w:t>48</w:t>
      </w:r>
      <w:r>
        <w:rPr>
          <w:noProof/>
        </w:rPr>
        <w:fldChar w:fldCharType="end"/>
      </w:r>
    </w:p>
    <w:p w14:paraId="4FF203A8" w14:textId="0F7B41EA"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rPr>
        <w:t>5.1. Summary </w:t>
      </w:r>
      <w:r w:rsidRPr="00603C77">
        <w:rPr>
          <w:rFonts w:eastAsia="Arial Unicode MS" w:cs="Arial Unicode MS"/>
          <w:noProof/>
          <w:lang w:val="en-US"/>
        </w:rPr>
        <w:t>of the Study</w:t>
      </w:r>
      <w:r>
        <w:rPr>
          <w:noProof/>
        </w:rPr>
        <w:tab/>
      </w:r>
      <w:r>
        <w:rPr>
          <w:noProof/>
        </w:rPr>
        <w:fldChar w:fldCharType="begin"/>
      </w:r>
      <w:r>
        <w:rPr>
          <w:noProof/>
        </w:rPr>
        <w:instrText xml:space="preserve"> PAGEREF _Toc73739046 \h </w:instrText>
      </w:r>
      <w:r>
        <w:rPr>
          <w:noProof/>
        </w:rPr>
      </w:r>
      <w:r>
        <w:rPr>
          <w:noProof/>
        </w:rPr>
        <w:fldChar w:fldCharType="separate"/>
      </w:r>
      <w:r>
        <w:rPr>
          <w:noProof/>
        </w:rPr>
        <w:t>48</w:t>
      </w:r>
      <w:r>
        <w:rPr>
          <w:noProof/>
        </w:rPr>
        <w:fldChar w:fldCharType="end"/>
      </w:r>
    </w:p>
    <w:p w14:paraId="12831781" w14:textId="74887128"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5.2. Implications of the Research Findings on the Research Objectives</w:t>
      </w:r>
      <w:r>
        <w:rPr>
          <w:noProof/>
        </w:rPr>
        <w:tab/>
      </w:r>
      <w:r>
        <w:rPr>
          <w:noProof/>
        </w:rPr>
        <w:fldChar w:fldCharType="begin"/>
      </w:r>
      <w:r>
        <w:rPr>
          <w:noProof/>
        </w:rPr>
        <w:instrText xml:space="preserve"> PAGEREF _Toc73739047 \h </w:instrText>
      </w:r>
      <w:r>
        <w:rPr>
          <w:noProof/>
        </w:rPr>
      </w:r>
      <w:r>
        <w:rPr>
          <w:noProof/>
        </w:rPr>
        <w:fldChar w:fldCharType="separate"/>
      </w:r>
      <w:r>
        <w:rPr>
          <w:noProof/>
        </w:rPr>
        <w:t>48</w:t>
      </w:r>
      <w:r>
        <w:rPr>
          <w:noProof/>
        </w:rPr>
        <w:fldChar w:fldCharType="end"/>
      </w:r>
    </w:p>
    <w:p w14:paraId="4A2970AD" w14:textId="24BC8FEC" w:rsidR="00265B23" w:rsidRDefault="00265B23">
      <w:pPr>
        <w:pStyle w:val="TOC2"/>
        <w:rPr>
          <w:rFonts w:asciiTheme="minorHAnsi" w:eastAsiaTheme="minorEastAsia" w:hAnsiTheme="minorHAnsi" w:cstheme="minorBidi"/>
          <w:noProof/>
          <w:color w:val="auto"/>
          <w:bdr w:val="none" w:sz="0" w:space="0" w:color="auto"/>
          <w:lang w:val="en-GB"/>
        </w:rPr>
      </w:pPr>
      <w:r w:rsidRPr="00603C77">
        <w:rPr>
          <w:noProof/>
        </w:rPr>
        <w:t xml:space="preserve">5.2.1. Research Objective One: </w:t>
      </w:r>
      <w:r>
        <w:rPr>
          <w:noProof/>
        </w:rPr>
        <w:t>  </w:t>
      </w:r>
      <w:r w:rsidRPr="00603C77">
        <w:rPr>
          <w:noProof/>
        </w:rPr>
        <w:t>To Critically Examine Factors Influencing the Adherence or Non-Adherence to Corporate Governance Principles in Ireland</w:t>
      </w:r>
      <w:r>
        <w:rPr>
          <w:noProof/>
        </w:rPr>
        <w:tab/>
      </w:r>
      <w:r>
        <w:rPr>
          <w:noProof/>
        </w:rPr>
        <w:fldChar w:fldCharType="begin"/>
      </w:r>
      <w:r>
        <w:rPr>
          <w:noProof/>
        </w:rPr>
        <w:instrText xml:space="preserve"> PAGEREF _Toc73739048 \h </w:instrText>
      </w:r>
      <w:r>
        <w:rPr>
          <w:noProof/>
        </w:rPr>
      </w:r>
      <w:r>
        <w:rPr>
          <w:noProof/>
        </w:rPr>
        <w:fldChar w:fldCharType="separate"/>
      </w:r>
      <w:r>
        <w:rPr>
          <w:noProof/>
        </w:rPr>
        <w:t>48</w:t>
      </w:r>
      <w:r>
        <w:rPr>
          <w:noProof/>
        </w:rPr>
        <w:fldChar w:fldCharType="end"/>
      </w:r>
    </w:p>
    <w:p w14:paraId="32D47B42" w14:textId="74B97F0E" w:rsidR="00265B23" w:rsidRDefault="00265B23">
      <w:pPr>
        <w:pStyle w:val="TOC2"/>
        <w:rPr>
          <w:rFonts w:asciiTheme="minorHAnsi" w:eastAsiaTheme="minorEastAsia" w:hAnsiTheme="minorHAnsi" w:cstheme="minorBidi"/>
          <w:noProof/>
          <w:color w:val="auto"/>
          <w:bdr w:val="none" w:sz="0" w:space="0" w:color="auto"/>
          <w:lang w:val="en-GB"/>
        </w:rPr>
      </w:pPr>
      <w:r w:rsidRPr="00603C77">
        <w:rPr>
          <w:noProof/>
        </w:rPr>
        <w:t>5.2.2. Research Objective Two: To Determine the Level of Adherence to Corporate Governance Principles Amongst Banks in Ireland.</w:t>
      </w:r>
      <w:r>
        <w:rPr>
          <w:noProof/>
        </w:rPr>
        <w:tab/>
      </w:r>
      <w:r>
        <w:rPr>
          <w:noProof/>
        </w:rPr>
        <w:fldChar w:fldCharType="begin"/>
      </w:r>
      <w:r>
        <w:rPr>
          <w:noProof/>
        </w:rPr>
        <w:instrText xml:space="preserve"> PAGEREF _Toc73739049 \h </w:instrText>
      </w:r>
      <w:r>
        <w:rPr>
          <w:noProof/>
        </w:rPr>
      </w:r>
      <w:r>
        <w:rPr>
          <w:noProof/>
        </w:rPr>
        <w:fldChar w:fldCharType="separate"/>
      </w:r>
      <w:r>
        <w:rPr>
          <w:noProof/>
        </w:rPr>
        <w:t>49</w:t>
      </w:r>
      <w:r>
        <w:rPr>
          <w:noProof/>
        </w:rPr>
        <w:fldChar w:fldCharType="end"/>
      </w:r>
    </w:p>
    <w:p w14:paraId="1C8967B9" w14:textId="17C13C94" w:rsidR="00265B23" w:rsidRDefault="00265B23">
      <w:pPr>
        <w:pStyle w:val="TOC3"/>
        <w:rPr>
          <w:rFonts w:asciiTheme="minorHAnsi" w:eastAsiaTheme="minorEastAsia" w:hAnsiTheme="minorHAnsi" w:cstheme="minorBidi"/>
          <w:noProof/>
          <w:color w:val="auto"/>
          <w:bdr w:val="none" w:sz="0" w:space="0" w:color="auto"/>
        </w:rPr>
      </w:pPr>
      <w:r w:rsidRPr="00603C77">
        <w:rPr>
          <w:noProof/>
          <w:lang w:val="en-US"/>
        </w:rPr>
        <w:t xml:space="preserve">5.3.3. Research Objective Three: </w:t>
      </w:r>
      <w:r>
        <w:rPr>
          <w:noProof/>
        </w:rPr>
        <w:t> </w:t>
      </w:r>
      <w:r w:rsidRPr="00603C77">
        <w:rPr>
          <w:noProof/>
          <w:lang w:val="en-US"/>
        </w:rPr>
        <w:t>To Discover the Challenges Associated with Corporate Governance Amongst Irish Banks</w:t>
      </w:r>
      <w:r>
        <w:rPr>
          <w:noProof/>
        </w:rPr>
        <w:tab/>
      </w:r>
      <w:r>
        <w:rPr>
          <w:noProof/>
        </w:rPr>
        <w:fldChar w:fldCharType="begin"/>
      </w:r>
      <w:r>
        <w:rPr>
          <w:noProof/>
        </w:rPr>
        <w:instrText xml:space="preserve"> PAGEREF _Toc73739050 \h </w:instrText>
      </w:r>
      <w:r>
        <w:rPr>
          <w:noProof/>
        </w:rPr>
      </w:r>
      <w:r>
        <w:rPr>
          <w:noProof/>
        </w:rPr>
        <w:fldChar w:fldCharType="separate"/>
      </w:r>
      <w:r>
        <w:rPr>
          <w:noProof/>
        </w:rPr>
        <w:t>50</w:t>
      </w:r>
      <w:r>
        <w:rPr>
          <w:noProof/>
        </w:rPr>
        <w:fldChar w:fldCharType="end"/>
      </w:r>
    </w:p>
    <w:p w14:paraId="5E5CE864" w14:textId="51F95AD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5.4. Contribution of the Study</w:t>
      </w:r>
      <w:r>
        <w:rPr>
          <w:noProof/>
        </w:rPr>
        <w:tab/>
      </w:r>
      <w:r>
        <w:rPr>
          <w:noProof/>
        </w:rPr>
        <w:fldChar w:fldCharType="begin"/>
      </w:r>
      <w:r>
        <w:rPr>
          <w:noProof/>
        </w:rPr>
        <w:instrText xml:space="preserve"> PAGEREF _Toc73739051 \h </w:instrText>
      </w:r>
      <w:r>
        <w:rPr>
          <w:noProof/>
        </w:rPr>
      </w:r>
      <w:r>
        <w:rPr>
          <w:noProof/>
        </w:rPr>
        <w:fldChar w:fldCharType="separate"/>
      </w:r>
      <w:r>
        <w:rPr>
          <w:noProof/>
        </w:rPr>
        <w:t>50</w:t>
      </w:r>
      <w:r>
        <w:rPr>
          <w:noProof/>
        </w:rPr>
        <w:fldChar w:fldCharType="end"/>
      </w:r>
    </w:p>
    <w:p w14:paraId="2D4C2968" w14:textId="3F89363F"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5.5. Recommendations for Practice</w:t>
      </w:r>
      <w:r>
        <w:rPr>
          <w:noProof/>
        </w:rPr>
        <w:tab/>
      </w:r>
      <w:r>
        <w:rPr>
          <w:noProof/>
        </w:rPr>
        <w:fldChar w:fldCharType="begin"/>
      </w:r>
      <w:r>
        <w:rPr>
          <w:noProof/>
        </w:rPr>
        <w:instrText xml:space="preserve"> PAGEREF _Toc73739052 \h </w:instrText>
      </w:r>
      <w:r>
        <w:rPr>
          <w:noProof/>
        </w:rPr>
      </w:r>
      <w:r>
        <w:rPr>
          <w:noProof/>
        </w:rPr>
        <w:fldChar w:fldCharType="separate"/>
      </w:r>
      <w:r>
        <w:rPr>
          <w:noProof/>
        </w:rPr>
        <w:t>51</w:t>
      </w:r>
      <w:r>
        <w:rPr>
          <w:noProof/>
        </w:rPr>
        <w:fldChar w:fldCharType="end"/>
      </w:r>
    </w:p>
    <w:p w14:paraId="5DDD55E4" w14:textId="115873AB"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5.6. Recommendation of Future Research</w:t>
      </w:r>
      <w:r>
        <w:rPr>
          <w:noProof/>
        </w:rPr>
        <w:tab/>
      </w:r>
      <w:r>
        <w:rPr>
          <w:noProof/>
        </w:rPr>
        <w:fldChar w:fldCharType="begin"/>
      </w:r>
      <w:r>
        <w:rPr>
          <w:noProof/>
        </w:rPr>
        <w:instrText xml:space="preserve"> PAGEREF _Toc73739053 \h </w:instrText>
      </w:r>
      <w:r>
        <w:rPr>
          <w:noProof/>
        </w:rPr>
      </w:r>
      <w:r>
        <w:rPr>
          <w:noProof/>
        </w:rPr>
        <w:fldChar w:fldCharType="separate"/>
      </w:r>
      <w:r>
        <w:rPr>
          <w:noProof/>
        </w:rPr>
        <w:t>52</w:t>
      </w:r>
      <w:r>
        <w:rPr>
          <w:noProof/>
        </w:rPr>
        <w:fldChar w:fldCharType="end"/>
      </w:r>
    </w:p>
    <w:p w14:paraId="0F35073D" w14:textId="25BE8CB6"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5.7. Conclusion/Reflection</w:t>
      </w:r>
      <w:r>
        <w:rPr>
          <w:noProof/>
        </w:rPr>
        <w:tab/>
      </w:r>
      <w:r>
        <w:rPr>
          <w:noProof/>
        </w:rPr>
        <w:fldChar w:fldCharType="begin"/>
      </w:r>
      <w:r>
        <w:rPr>
          <w:noProof/>
        </w:rPr>
        <w:instrText xml:space="preserve"> PAGEREF _Toc73739054 \h </w:instrText>
      </w:r>
      <w:r>
        <w:rPr>
          <w:noProof/>
        </w:rPr>
      </w:r>
      <w:r>
        <w:rPr>
          <w:noProof/>
        </w:rPr>
        <w:fldChar w:fldCharType="separate"/>
      </w:r>
      <w:r>
        <w:rPr>
          <w:noProof/>
        </w:rPr>
        <w:t>52</w:t>
      </w:r>
      <w:r>
        <w:rPr>
          <w:noProof/>
        </w:rPr>
        <w:fldChar w:fldCharType="end"/>
      </w:r>
    </w:p>
    <w:p w14:paraId="006368DC" w14:textId="284127B3"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Reference</w:t>
      </w:r>
      <w:r>
        <w:rPr>
          <w:noProof/>
        </w:rPr>
        <w:tab/>
      </w:r>
      <w:r>
        <w:rPr>
          <w:noProof/>
        </w:rPr>
        <w:fldChar w:fldCharType="begin"/>
      </w:r>
      <w:r>
        <w:rPr>
          <w:noProof/>
        </w:rPr>
        <w:instrText xml:space="preserve"> PAGEREF _Toc73739055 \h </w:instrText>
      </w:r>
      <w:r>
        <w:rPr>
          <w:noProof/>
        </w:rPr>
      </w:r>
      <w:r>
        <w:rPr>
          <w:noProof/>
        </w:rPr>
        <w:fldChar w:fldCharType="separate"/>
      </w:r>
      <w:r>
        <w:rPr>
          <w:noProof/>
        </w:rPr>
        <w:t>53</w:t>
      </w:r>
      <w:r>
        <w:rPr>
          <w:noProof/>
        </w:rPr>
        <w:fldChar w:fldCharType="end"/>
      </w:r>
    </w:p>
    <w:p w14:paraId="00BA6E28" w14:textId="332FE37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da-DK"/>
        </w:rPr>
        <w:t>Appendix A: Consent Form</w:t>
      </w:r>
      <w:r>
        <w:rPr>
          <w:noProof/>
        </w:rPr>
        <w:tab/>
      </w:r>
      <w:r>
        <w:rPr>
          <w:noProof/>
        </w:rPr>
        <w:fldChar w:fldCharType="begin"/>
      </w:r>
      <w:r>
        <w:rPr>
          <w:noProof/>
        </w:rPr>
        <w:instrText xml:space="preserve"> PAGEREF _Toc73739056 \h </w:instrText>
      </w:r>
      <w:r>
        <w:rPr>
          <w:noProof/>
        </w:rPr>
      </w:r>
      <w:r>
        <w:rPr>
          <w:noProof/>
        </w:rPr>
        <w:fldChar w:fldCharType="separate"/>
      </w:r>
      <w:r>
        <w:rPr>
          <w:noProof/>
        </w:rPr>
        <w:t>1</w:t>
      </w:r>
      <w:r>
        <w:rPr>
          <w:noProof/>
        </w:rPr>
        <w:fldChar w:fldCharType="end"/>
      </w:r>
    </w:p>
    <w:p w14:paraId="0B20AAC9" w14:textId="31C3B66F"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Appendix B: Interview Schedule</w:t>
      </w:r>
      <w:r>
        <w:rPr>
          <w:noProof/>
        </w:rPr>
        <w:tab/>
      </w:r>
      <w:r>
        <w:rPr>
          <w:noProof/>
        </w:rPr>
        <w:fldChar w:fldCharType="begin"/>
      </w:r>
      <w:r>
        <w:rPr>
          <w:noProof/>
        </w:rPr>
        <w:instrText xml:space="preserve"> PAGEREF _Toc73739057 \h </w:instrText>
      </w:r>
      <w:r>
        <w:rPr>
          <w:noProof/>
        </w:rPr>
      </w:r>
      <w:r>
        <w:rPr>
          <w:noProof/>
        </w:rPr>
        <w:fldChar w:fldCharType="separate"/>
      </w:r>
      <w:r>
        <w:rPr>
          <w:noProof/>
        </w:rPr>
        <w:t>2</w:t>
      </w:r>
      <w:r>
        <w:rPr>
          <w:noProof/>
        </w:rPr>
        <w:fldChar w:fldCharType="end"/>
      </w:r>
    </w:p>
    <w:p w14:paraId="7F448FFC" w14:textId="4741BDFB"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Appendix C: Transcribed Interview for AN</w:t>
      </w:r>
      <w:r>
        <w:rPr>
          <w:noProof/>
        </w:rPr>
        <w:tab/>
      </w:r>
      <w:r>
        <w:rPr>
          <w:noProof/>
        </w:rPr>
        <w:fldChar w:fldCharType="begin"/>
      </w:r>
      <w:r>
        <w:rPr>
          <w:noProof/>
        </w:rPr>
        <w:instrText xml:space="preserve"> PAGEREF _Toc73739058 \h </w:instrText>
      </w:r>
      <w:r>
        <w:rPr>
          <w:noProof/>
        </w:rPr>
      </w:r>
      <w:r>
        <w:rPr>
          <w:noProof/>
        </w:rPr>
        <w:fldChar w:fldCharType="separate"/>
      </w:r>
      <w:r>
        <w:rPr>
          <w:noProof/>
        </w:rPr>
        <w:t>3</w:t>
      </w:r>
      <w:r>
        <w:rPr>
          <w:noProof/>
        </w:rPr>
        <w:fldChar w:fldCharType="end"/>
      </w:r>
    </w:p>
    <w:p w14:paraId="0454A718" w14:textId="03E70F41"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da-DK"/>
        </w:rPr>
        <w:t>Appendix D: Coding Format</w:t>
      </w:r>
      <w:r>
        <w:rPr>
          <w:noProof/>
        </w:rPr>
        <w:tab/>
      </w:r>
      <w:r>
        <w:rPr>
          <w:noProof/>
        </w:rPr>
        <w:fldChar w:fldCharType="begin"/>
      </w:r>
      <w:r>
        <w:rPr>
          <w:noProof/>
        </w:rPr>
        <w:instrText xml:space="preserve"> PAGEREF _Toc73739059 \h </w:instrText>
      </w:r>
      <w:r>
        <w:rPr>
          <w:noProof/>
        </w:rPr>
      </w:r>
      <w:r>
        <w:rPr>
          <w:noProof/>
        </w:rPr>
        <w:fldChar w:fldCharType="separate"/>
      </w:r>
      <w:r>
        <w:rPr>
          <w:noProof/>
        </w:rPr>
        <w:t>6</w:t>
      </w:r>
      <w:r>
        <w:rPr>
          <w:noProof/>
        </w:rPr>
        <w:fldChar w:fldCharType="end"/>
      </w:r>
    </w:p>
    <w:p w14:paraId="3E9AF09A" w14:textId="1F1F090D"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Appendix E: Summary of Corporate Governance Codes in Ireland</w:t>
      </w:r>
      <w:r>
        <w:rPr>
          <w:noProof/>
        </w:rPr>
        <w:tab/>
      </w:r>
      <w:r>
        <w:rPr>
          <w:noProof/>
        </w:rPr>
        <w:fldChar w:fldCharType="begin"/>
      </w:r>
      <w:r>
        <w:rPr>
          <w:noProof/>
        </w:rPr>
        <w:instrText xml:space="preserve"> PAGEREF _Toc73739060 \h </w:instrText>
      </w:r>
      <w:r>
        <w:rPr>
          <w:noProof/>
        </w:rPr>
      </w:r>
      <w:r>
        <w:rPr>
          <w:noProof/>
        </w:rPr>
        <w:fldChar w:fldCharType="separate"/>
      </w:r>
      <w:r>
        <w:rPr>
          <w:noProof/>
        </w:rPr>
        <w:t>8</w:t>
      </w:r>
      <w:r>
        <w:rPr>
          <w:noProof/>
        </w:rPr>
        <w:fldChar w:fldCharType="end"/>
      </w:r>
    </w:p>
    <w:p w14:paraId="590D1637" w14:textId="66813180" w:rsidR="00265B23" w:rsidRDefault="00265B23">
      <w:pPr>
        <w:pStyle w:val="TOC2"/>
        <w:rPr>
          <w:rFonts w:asciiTheme="minorHAnsi" w:eastAsiaTheme="minorEastAsia" w:hAnsiTheme="minorHAnsi" w:cstheme="minorBidi"/>
          <w:noProof/>
          <w:color w:val="auto"/>
          <w:bdr w:val="none" w:sz="0" w:space="0" w:color="auto"/>
          <w:lang w:val="en-GB"/>
        </w:rPr>
      </w:pPr>
      <w:r>
        <w:rPr>
          <w:noProof/>
        </w:rPr>
        <w:t>APPENDIX F: PLAIN LANGUAGE STATEMENT</w:t>
      </w:r>
      <w:r>
        <w:rPr>
          <w:noProof/>
        </w:rPr>
        <w:tab/>
      </w:r>
      <w:r>
        <w:rPr>
          <w:noProof/>
        </w:rPr>
        <w:fldChar w:fldCharType="begin"/>
      </w:r>
      <w:r>
        <w:rPr>
          <w:noProof/>
        </w:rPr>
        <w:instrText xml:space="preserve"> PAGEREF _Toc73739061 \h </w:instrText>
      </w:r>
      <w:r>
        <w:rPr>
          <w:noProof/>
        </w:rPr>
      </w:r>
      <w:r>
        <w:rPr>
          <w:noProof/>
        </w:rPr>
        <w:fldChar w:fldCharType="separate"/>
      </w:r>
      <w:r>
        <w:rPr>
          <w:noProof/>
        </w:rPr>
        <w:t>10</w:t>
      </w:r>
      <w:r>
        <w:rPr>
          <w:noProof/>
        </w:rPr>
        <w:fldChar w:fldCharType="end"/>
      </w:r>
    </w:p>
    <w:p w14:paraId="661A26C0" w14:textId="644E0107" w:rsidR="00265B23" w:rsidRDefault="00265B23">
      <w:pPr>
        <w:pStyle w:val="TOC1"/>
        <w:rPr>
          <w:rFonts w:asciiTheme="minorHAnsi" w:eastAsiaTheme="minorEastAsia" w:hAnsiTheme="minorHAnsi" w:cstheme="minorBidi"/>
          <w:noProof/>
          <w:color w:val="auto"/>
          <w:bdr w:val="none" w:sz="0" w:space="0" w:color="auto"/>
        </w:rPr>
      </w:pPr>
      <w:r w:rsidRPr="00603C77">
        <w:rPr>
          <w:rFonts w:eastAsia="Arial Unicode MS" w:cs="Arial Unicode MS"/>
          <w:noProof/>
          <w:lang w:val="en-US"/>
        </w:rPr>
        <w:t>Appendix G: Reasons for Non-Adherence of CG Codes in AIB</w:t>
      </w:r>
      <w:r>
        <w:rPr>
          <w:noProof/>
        </w:rPr>
        <w:tab/>
      </w:r>
      <w:r>
        <w:rPr>
          <w:noProof/>
        </w:rPr>
        <w:fldChar w:fldCharType="begin"/>
      </w:r>
      <w:r>
        <w:rPr>
          <w:noProof/>
        </w:rPr>
        <w:instrText xml:space="preserve"> PAGEREF _Toc73739062 \h </w:instrText>
      </w:r>
      <w:r>
        <w:rPr>
          <w:noProof/>
        </w:rPr>
      </w:r>
      <w:r>
        <w:rPr>
          <w:noProof/>
        </w:rPr>
        <w:fldChar w:fldCharType="separate"/>
      </w:r>
      <w:r>
        <w:rPr>
          <w:noProof/>
        </w:rPr>
        <w:t>11</w:t>
      </w:r>
      <w:r>
        <w:rPr>
          <w:noProof/>
        </w:rPr>
        <w:fldChar w:fldCharType="end"/>
      </w:r>
    </w:p>
    <w:p w14:paraId="064A6048" w14:textId="144D8DBC" w:rsidR="00DC4459" w:rsidRDefault="00077D4E">
      <w:pPr>
        <w:pStyle w:val="Body"/>
        <w:rPr>
          <w:rFonts w:ascii="Times New Roman" w:eastAsia="Times New Roman" w:hAnsi="Times New Roman" w:cs="Times New Roman"/>
        </w:rPr>
      </w:pPr>
      <w:r>
        <w:rPr>
          <w:rFonts w:ascii="Times New Roman" w:eastAsia="Times New Roman" w:hAnsi="Times New Roman" w:cs="Times New Roman"/>
        </w:rPr>
        <w:fldChar w:fldCharType="end"/>
      </w:r>
    </w:p>
    <w:p w14:paraId="6E5C6F2A"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6B218342"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7FB5757B"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6F68EF49"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27B0AA3F" w14:textId="77777777" w:rsidR="00DC4459" w:rsidRDefault="00DC4459">
      <w:pPr>
        <w:pStyle w:val="Body"/>
        <w:spacing w:before="240" w:line="360" w:lineRule="auto"/>
        <w:jc w:val="both"/>
        <w:rPr>
          <w:rFonts w:ascii="Times New Roman" w:eastAsia="Times New Roman" w:hAnsi="Times New Roman" w:cs="Times New Roman"/>
          <w:b/>
          <w:bCs/>
          <w:sz w:val="24"/>
          <w:szCs w:val="24"/>
        </w:rPr>
      </w:pPr>
    </w:p>
    <w:p w14:paraId="3F800DED" w14:textId="5A7A045C" w:rsidR="00DC4459" w:rsidRDefault="00DC4459">
      <w:pPr>
        <w:pStyle w:val="Body"/>
        <w:spacing w:before="240" w:line="360" w:lineRule="auto"/>
        <w:jc w:val="both"/>
        <w:rPr>
          <w:rFonts w:ascii="Times New Roman" w:eastAsia="Times New Roman" w:hAnsi="Times New Roman" w:cs="Times New Roman"/>
          <w:b/>
          <w:bCs/>
          <w:sz w:val="24"/>
          <w:szCs w:val="24"/>
        </w:rPr>
      </w:pPr>
    </w:p>
    <w:p w14:paraId="16062619" w14:textId="77777777" w:rsidR="002E0492" w:rsidRDefault="002E0492">
      <w:pPr>
        <w:pStyle w:val="Body"/>
        <w:spacing w:before="240" w:line="360" w:lineRule="auto"/>
        <w:jc w:val="both"/>
        <w:rPr>
          <w:rFonts w:ascii="Times New Roman" w:eastAsia="Times New Roman" w:hAnsi="Times New Roman" w:cs="Times New Roman"/>
          <w:b/>
          <w:bCs/>
          <w:sz w:val="24"/>
          <w:szCs w:val="24"/>
        </w:rPr>
      </w:pPr>
    </w:p>
    <w:p w14:paraId="2EA30B2D" w14:textId="77777777" w:rsidR="00DC4459" w:rsidRDefault="00077D4E">
      <w:pPr>
        <w:pStyle w:val="Heading"/>
        <w:jc w:val="center"/>
      </w:pPr>
      <w:bookmarkStart w:id="6" w:name="_Toc73738982"/>
      <w:r>
        <w:rPr>
          <w:lang w:val="en-US"/>
        </w:rPr>
        <w:lastRenderedPageBreak/>
        <w:t>LIST OF TABLES AND FIGURES</w:t>
      </w:r>
      <w:bookmarkEnd w:id="6"/>
    </w:p>
    <w:p w14:paraId="3FF07B2A" w14:textId="77777777" w:rsidR="00DC4459" w:rsidRDefault="00265B23">
      <w:pPr>
        <w:pStyle w:val="TableofFigures"/>
        <w:tabs>
          <w:tab w:val="right" w:leader="dot" w:pos="9000"/>
        </w:tabs>
        <w:rPr>
          <w:rFonts w:ascii="Times New Roman" w:eastAsia="Times New Roman" w:hAnsi="Times New Roman" w:cs="Times New Roman"/>
          <w:sz w:val="24"/>
          <w:szCs w:val="24"/>
        </w:rPr>
      </w:pPr>
      <w:hyperlink w:anchor="bookmark" w:history="1">
        <w:r w:rsidR="00077D4E">
          <w:rPr>
            <w:rStyle w:val="Hyperlink0"/>
            <w:rFonts w:eastAsia="Calibri"/>
          </w:rPr>
          <w:t>Table 1. Stages of Research Philosophy</w:t>
        </w:r>
        <w:r w:rsidR="00077D4E">
          <w:rPr>
            <w:rFonts w:ascii="Times New Roman" w:eastAsia="Times New Roman" w:hAnsi="Times New Roman" w:cs="Times New Roman"/>
            <w:sz w:val="24"/>
            <w:szCs w:val="24"/>
          </w:rPr>
          <w:tab/>
        </w:r>
      </w:hyperlink>
      <w:r w:rsidR="00077D4E">
        <w:rPr>
          <w:rFonts w:ascii="Times New Roman" w:hAnsi="Times New Roman"/>
          <w:sz w:val="24"/>
          <w:szCs w:val="24"/>
        </w:rPr>
        <w:t>23</w:t>
      </w:r>
    </w:p>
    <w:p w14:paraId="07B1CE7B" w14:textId="77777777" w:rsidR="00DC4459" w:rsidRDefault="00265B23">
      <w:pPr>
        <w:pStyle w:val="TableofFigures"/>
        <w:tabs>
          <w:tab w:val="right" w:leader="dot" w:pos="9000"/>
        </w:tabs>
        <w:rPr>
          <w:rFonts w:ascii="Times New Roman" w:eastAsia="Times New Roman" w:hAnsi="Times New Roman" w:cs="Times New Roman"/>
          <w:sz w:val="24"/>
          <w:szCs w:val="24"/>
        </w:rPr>
      </w:pPr>
      <w:hyperlink w:anchor="bookmark1" w:history="1">
        <w:r w:rsidR="00077D4E">
          <w:rPr>
            <w:rStyle w:val="Hyperlink0"/>
            <w:rFonts w:eastAsia="Calibri"/>
          </w:rPr>
          <w:t>Table 2. Stages of Research Philosophy in the context of Interpretivism</w:t>
        </w:r>
        <w:r w:rsidR="00077D4E">
          <w:rPr>
            <w:rFonts w:ascii="Times New Roman" w:eastAsia="Times New Roman" w:hAnsi="Times New Roman" w:cs="Times New Roman"/>
            <w:sz w:val="24"/>
            <w:szCs w:val="24"/>
          </w:rPr>
          <w:tab/>
        </w:r>
      </w:hyperlink>
      <w:r w:rsidR="00077D4E">
        <w:rPr>
          <w:rFonts w:ascii="Times New Roman" w:hAnsi="Times New Roman"/>
          <w:sz w:val="24"/>
          <w:szCs w:val="24"/>
        </w:rPr>
        <w:t>25</w:t>
      </w:r>
    </w:p>
    <w:p w14:paraId="4B4AFE74" w14:textId="77777777" w:rsidR="00DC4459" w:rsidRDefault="00265B23">
      <w:pPr>
        <w:pStyle w:val="TableofFigures"/>
        <w:tabs>
          <w:tab w:val="right" w:leader="dot" w:pos="9000"/>
        </w:tabs>
        <w:rPr>
          <w:rFonts w:ascii="Times New Roman" w:eastAsia="Times New Roman" w:hAnsi="Times New Roman" w:cs="Times New Roman"/>
          <w:sz w:val="24"/>
          <w:szCs w:val="24"/>
        </w:rPr>
      </w:pPr>
      <w:hyperlink w:anchor="bookmark2" w:history="1">
        <w:r w:rsidR="00077D4E">
          <w:rPr>
            <w:rStyle w:val="Hyperlink0"/>
            <w:rFonts w:eastAsia="Calibri"/>
          </w:rPr>
          <w:t>Table 3. Participants Detail</w:t>
        </w:r>
        <w:r w:rsidR="00077D4E">
          <w:rPr>
            <w:rFonts w:ascii="Times New Roman" w:eastAsia="Times New Roman" w:hAnsi="Times New Roman" w:cs="Times New Roman"/>
            <w:sz w:val="24"/>
            <w:szCs w:val="24"/>
          </w:rPr>
          <w:tab/>
        </w:r>
      </w:hyperlink>
      <w:r w:rsidR="00077D4E">
        <w:rPr>
          <w:rFonts w:ascii="Times New Roman" w:hAnsi="Times New Roman"/>
          <w:sz w:val="24"/>
          <w:szCs w:val="24"/>
        </w:rPr>
        <w:t>32</w:t>
      </w:r>
    </w:p>
    <w:p w14:paraId="171083B5" w14:textId="77777777" w:rsidR="00DC4459" w:rsidRDefault="00265B23">
      <w:pPr>
        <w:pStyle w:val="Body"/>
        <w:spacing w:before="240" w:line="360" w:lineRule="auto"/>
        <w:rPr>
          <w:rFonts w:ascii="Times New Roman" w:eastAsia="Times New Roman" w:hAnsi="Times New Roman" w:cs="Times New Roman"/>
          <w:b/>
          <w:bCs/>
          <w:sz w:val="24"/>
          <w:szCs w:val="24"/>
        </w:rPr>
      </w:pPr>
      <w:hyperlink w:anchor="bookmark3" w:history="1">
        <w:r w:rsidR="00077D4E">
          <w:rPr>
            <w:rStyle w:val="Hyperlink0"/>
            <w:rFonts w:eastAsia="Calibri"/>
            <w:lang w:val="en-US"/>
          </w:rPr>
          <w:t>Figure 1. Conceptual Framework</w:t>
        </w:r>
        <w:r w:rsidR="00077D4E">
          <w:rPr>
            <w:rStyle w:val="Hyperlink0"/>
            <w:rFonts w:eastAsia="Calibri"/>
          </w:rPr>
          <w:t>…………………………………………………………….</w:t>
        </w:r>
      </w:hyperlink>
      <w:r w:rsidR="00077D4E">
        <w:rPr>
          <w:rFonts w:ascii="Times New Roman" w:hAnsi="Times New Roman"/>
          <w:sz w:val="24"/>
          <w:szCs w:val="24"/>
        </w:rPr>
        <w:t>22</w:t>
      </w:r>
    </w:p>
    <w:p w14:paraId="6F9968E1" w14:textId="77777777" w:rsidR="00DC4459" w:rsidRDefault="00DC4459">
      <w:pPr>
        <w:pStyle w:val="Body"/>
        <w:spacing w:before="240" w:line="360" w:lineRule="auto"/>
        <w:rPr>
          <w:rFonts w:ascii="Times New Roman" w:eastAsia="Times New Roman" w:hAnsi="Times New Roman" w:cs="Times New Roman"/>
          <w:b/>
          <w:bCs/>
          <w:sz w:val="24"/>
          <w:szCs w:val="24"/>
        </w:rPr>
      </w:pPr>
    </w:p>
    <w:p w14:paraId="6B596D6E"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60C8122A"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766DC32D"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6BE58118"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5E965759"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48A1E53F"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05E47BA8"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29688060"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29119A06"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234EA608"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1B44502F"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26C4D54C"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68377D41"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33CD0CBE"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5C6E9E9A"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1AC76206" w14:textId="77777777" w:rsidR="00DC4459" w:rsidRDefault="00DC4459">
      <w:pPr>
        <w:pStyle w:val="Body"/>
        <w:spacing w:before="240" w:line="360" w:lineRule="auto"/>
        <w:rPr>
          <w:rFonts w:ascii="Times New Roman" w:eastAsia="Times New Roman" w:hAnsi="Times New Roman" w:cs="Times New Roman"/>
          <w:b/>
          <w:bCs/>
          <w:sz w:val="24"/>
          <w:szCs w:val="24"/>
        </w:rPr>
      </w:pPr>
    </w:p>
    <w:p w14:paraId="6E083F1E" w14:textId="77777777" w:rsidR="00DC4459" w:rsidRDefault="00077D4E">
      <w:pPr>
        <w:pStyle w:val="Heading"/>
        <w:jc w:val="center"/>
      </w:pPr>
      <w:bookmarkStart w:id="7" w:name="_Toc73738983"/>
      <w:r>
        <w:rPr>
          <w:lang w:val="en-US"/>
        </w:rPr>
        <w:lastRenderedPageBreak/>
        <w:t>LIST OF ABBREVIATIONS AND ACRONYMS</w:t>
      </w:r>
      <w:bookmarkEnd w:id="7"/>
    </w:p>
    <w:p w14:paraId="4D6A51EA"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02D56D21"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AIB</w:t>
      </w:r>
      <w:r>
        <w:rPr>
          <w:rFonts w:ascii="Times New Roman" w:hAnsi="Times New Roman"/>
          <w:sz w:val="24"/>
          <w:szCs w:val="24"/>
          <w:lang w:val="en-US"/>
        </w:rPr>
        <w:tab/>
      </w:r>
      <w:r>
        <w:rPr>
          <w:rFonts w:ascii="Times New Roman" w:hAnsi="Times New Roman"/>
          <w:sz w:val="24"/>
          <w:szCs w:val="24"/>
          <w:lang w:val="en-US"/>
        </w:rPr>
        <w:tab/>
        <w:t>-</w:t>
      </w:r>
      <w:r>
        <w:rPr>
          <w:rFonts w:ascii="Times New Roman" w:hAnsi="Times New Roman"/>
          <w:sz w:val="24"/>
          <w:szCs w:val="24"/>
          <w:lang w:val="en-US"/>
        </w:rPr>
        <w:tab/>
        <w:t>Allied Irish Bank</w:t>
      </w:r>
    </w:p>
    <w:p w14:paraId="50C84CC6"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CBI</w:t>
      </w:r>
      <w:r>
        <w:rPr>
          <w:rFonts w:ascii="Times New Roman" w:hAnsi="Times New Roman"/>
          <w:sz w:val="24"/>
          <w:szCs w:val="24"/>
          <w:lang w:val="en-US"/>
        </w:rPr>
        <w:tab/>
      </w:r>
      <w:r>
        <w:rPr>
          <w:rFonts w:ascii="Times New Roman" w:hAnsi="Times New Roman"/>
          <w:sz w:val="24"/>
          <w:szCs w:val="24"/>
          <w:lang w:val="en-US"/>
        </w:rPr>
        <w:tab/>
        <w:t>-</w:t>
      </w:r>
      <w:r>
        <w:rPr>
          <w:rFonts w:ascii="Times New Roman" w:hAnsi="Times New Roman"/>
          <w:sz w:val="24"/>
          <w:szCs w:val="24"/>
          <w:lang w:val="en-US"/>
        </w:rPr>
        <w:tab/>
        <w:t>Central Bank of Ireland</w:t>
      </w:r>
    </w:p>
    <w:p w14:paraId="2F363434"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CEOs</w:t>
      </w:r>
      <w:r>
        <w:rPr>
          <w:rFonts w:ascii="Times New Roman" w:hAnsi="Times New Roman"/>
          <w:sz w:val="24"/>
          <w:szCs w:val="24"/>
          <w:lang w:val="en-US"/>
        </w:rPr>
        <w:tab/>
        <w:t>-</w:t>
      </w:r>
      <w:r>
        <w:rPr>
          <w:rFonts w:ascii="Times New Roman" w:hAnsi="Times New Roman"/>
          <w:sz w:val="24"/>
          <w:szCs w:val="24"/>
          <w:lang w:val="en-US"/>
        </w:rPr>
        <w:tab/>
        <w:t>Chief Executive Officer</w:t>
      </w:r>
    </w:p>
    <w:p w14:paraId="4D7D8B6D"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CEP</w:t>
      </w:r>
      <w:r>
        <w:rPr>
          <w:rFonts w:ascii="Times New Roman" w:hAnsi="Times New Roman"/>
          <w:sz w:val="24"/>
          <w:szCs w:val="24"/>
          <w:lang w:val="en-US"/>
        </w:rPr>
        <w:tab/>
      </w:r>
      <w:r>
        <w:rPr>
          <w:rFonts w:ascii="Times New Roman" w:hAnsi="Times New Roman"/>
          <w:sz w:val="24"/>
          <w:szCs w:val="24"/>
          <w:lang w:val="en-US"/>
        </w:rPr>
        <w:tab/>
        <w:t>-</w:t>
      </w:r>
      <w:r>
        <w:rPr>
          <w:rFonts w:ascii="Times New Roman" w:hAnsi="Times New Roman"/>
          <w:sz w:val="24"/>
          <w:szCs w:val="24"/>
          <w:lang w:val="en-US"/>
        </w:rPr>
        <w:tab/>
        <w:t>Comply or Explain Approach</w:t>
      </w:r>
    </w:p>
    <w:p w14:paraId="645ABAF3"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pt-PT"/>
        </w:rPr>
        <w:t>CG</w:t>
      </w:r>
      <w:r>
        <w:rPr>
          <w:rFonts w:ascii="Times New Roman" w:hAnsi="Times New Roman"/>
          <w:sz w:val="24"/>
          <w:szCs w:val="24"/>
          <w:lang w:val="pt-PT"/>
        </w:rPr>
        <w:tab/>
      </w:r>
      <w:r>
        <w:rPr>
          <w:rFonts w:ascii="Times New Roman" w:hAnsi="Times New Roman"/>
          <w:sz w:val="24"/>
          <w:szCs w:val="24"/>
          <w:lang w:val="pt-PT"/>
        </w:rPr>
        <w:tab/>
        <w:t>-</w:t>
      </w:r>
      <w:r>
        <w:rPr>
          <w:rFonts w:ascii="Times New Roman" w:hAnsi="Times New Roman"/>
          <w:sz w:val="24"/>
          <w:szCs w:val="24"/>
          <w:lang w:val="pt-PT"/>
        </w:rPr>
        <w:tab/>
        <w:t>Corporate Governance</w:t>
      </w:r>
    </w:p>
    <w:p w14:paraId="07C2DAC4"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EU</w:t>
      </w:r>
      <w:r>
        <w:rPr>
          <w:rFonts w:ascii="Times New Roman" w:hAnsi="Times New Roman"/>
          <w:sz w:val="24"/>
          <w:szCs w:val="24"/>
          <w:lang w:val="en-US"/>
        </w:rPr>
        <w:tab/>
      </w:r>
      <w:r>
        <w:rPr>
          <w:rFonts w:ascii="Times New Roman" w:hAnsi="Times New Roman"/>
          <w:sz w:val="24"/>
          <w:szCs w:val="24"/>
          <w:lang w:val="en-US"/>
        </w:rPr>
        <w:tab/>
        <w:t>-</w:t>
      </w:r>
      <w:r>
        <w:rPr>
          <w:rFonts w:ascii="Times New Roman" w:hAnsi="Times New Roman"/>
          <w:sz w:val="24"/>
          <w:szCs w:val="24"/>
          <w:lang w:val="en-US"/>
        </w:rPr>
        <w:tab/>
        <w:t>European Union</w:t>
      </w:r>
    </w:p>
    <w:p w14:paraId="594F468D"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FTSE</w:t>
      </w:r>
      <w:r>
        <w:rPr>
          <w:rFonts w:ascii="Times New Roman" w:hAnsi="Times New Roman"/>
          <w:sz w:val="24"/>
          <w:szCs w:val="24"/>
          <w:lang w:val="en-US"/>
        </w:rPr>
        <w:tab/>
        <w:t>-</w:t>
      </w:r>
      <w:r>
        <w:rPr>
          <w:rFonts w:ascii="Times New Roman" w:hAnsi="Times New Roman"/>
          <w:sz w:val="24"/>
          <w:szCs w:val="24"/>
          <w:lang w:val="en-US"/>
        </w:rPr>
        <w:tab/>
        <w:t>Financial Times Stock Exchange</w:t>
      </w:r>
    </w:p>
    <w:p w14:paraId="515275A6"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IFRA </w:t>
      </w:r>
      <w:r>
        <w:rPr>
          <w:rFonts w:ascii="Times New Roman" w:hAnsi="Times New Roman"/>
          <w:sz w:val="24"/>
          <w:szCs w:val="24"/>
          <w:lang w:val="en-US"/>
        </w:rPr>
        <w:tab/>
        <w:t>-</w:t>
      </w:r>
      <w:r>
        <w:rPr>
          <w:rFonts w:ascii="Times New Roman" w:hAnsi="Times New Roman"/>
          <w:sz w:val="24"/>
          <w:szCs w:val="24"/>
          <w:lang w:val="en-US"/>
        </w:rPr>
        <w:tab/>
        <w:t>Irish financial services Regulatory Authority (IFRA)</w:t>
      </w:r>
    </w:p>
    <w:p w14:paraId="637846C1"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Non-EDs</w:t>
      </w:r>
      <w:r>
        <w:rPr>
          <w:rFonts w:ascii="Times New Roman" w:hAnsi="Times New Roman"/>
          <w:sz w:val="24"/>
          <w:szCs w:val="24"/>
          <w:lang w:val="en-US"/>
        </w:rPr>
        <w:tab/>
        <w:t>-</w:t>
      </w:r>
      <w:r>
        <w:rPr>
          <w:rFonts w:ascii="Times New Roman" w:hAnsi="Times New Roman"/>
          <w:sz w:val="24"/>
          <w:szCs w:val="24"/>
          <w:lang w:val="en-US"/>
        </w:rPr>
        <w:tab/>
        <w:t>Non-Executive Directors</w:t>
      </w:r>
    </w:p>
    <w:p w14:paraId="183F5812"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UK</w:t>
      </w:r>
      <w:r>
        <w:rPr>
          <w:rFonts w:ascii="Times New Roman" w:hAnsi="Times New Roman"/>
          <w:sz w:val="24"/>
          <w:szCs w:val="24"/>
          <w:lang w:val="en-US"/>
        </w:rPr>
        <w:tab/>
      </w:r>
      <w:r>
        <w:rPr>
          <w:rFonts w:ascii="Times New Roman" w:hAnsi="Times New Roman"/>
          <w:sz w:val="24"/>
          <w:szCs w:val="24"/>
          <w:lang w:val="en-US"/>
        </w:rPr>
        <w:tab/>
        <w:t>-</w:t>
      </w:r>
      <w:r>
        <w:rPr>
          <w:rFonts w:ascii="Times New Roman" w:hAnsi="Times New Roman"/>
          <w:sz w:val="24"/>
          <w:szCs w:val="24"/>
          <w:lang w:val="en-US"/>
        </w:rPr>
        <w:tab/>
        <w:t>United Kingdom</w:t>
      </w:r>
      <w:r>
        <w:rPr>
          <w:rFonts w:ascii="Times New Roman" w:hAnsi="Times New Roman"/>
          <w:sz w:val="24"/>
          <w:szCs w:val="24"/>
          <w:lang w:val="en-US"/>
        </w:rPr>
        <w:tab/>
      </w:r>
      <w:r>
        <w:rPr>
          <w:rFonts w:ascii="Times New Roman" w:hAnsi="Times New Roman"/>
          <w:sz w:val="24"/>
          <w:szCs w:val="24"/>
          <w:lang w:val="en-US"/>
        </w:rPr>
        <w:tab/>
      </w:r>
    </w:p>
    <w:p w14:paraId="51226AFA"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USA</w:t>
      </w:r>
      <w:r>
        <w:rPr>
          <w:rFonts w:ascii="Times New Roman" w:hAnsi="Times New Roman"/>
          <w:sz w:val="24"/>
          <w:szCs w:val="24"/>
          <w:lang w:val="en-US"/>
        </w:rPr>
        <w:tab/>
        <w:t>-</w:t>
      </w:r>
      <w:r>
        <w:rPr>
          <w:rFonts w:ascii="Times New Roman" w:hAnsi="Times New Roman"/>
          <w:sz w:val="24"/>
          <w:szCs w:val="24"/>
          <w:lang w:val="en-US"/>
        </w:rPr>
        <w:tab/>
        <w:t>United States of America</w:t>
      </w:r>
    </w:p>
    <w:p w14:paraId="306EDAC1"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27CAE11A"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2D2A64C2"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4E6836CD"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0F0B2586"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39AB515C"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7C5CFB6D"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16268FF8"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606DCAE0"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6F0CCC8A"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590FA9D1"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48F28F1E" w14:textId="77777777" w:rsidR="00DC4459" w:rsidRDefault="00DC4459">
      <w:pPr>
        <w:pStyle w:val="Body"/>
        <w:spacing w:before="240" w:line="360" w:lineRule="auto"/>
        <w:jc w:val="center"/>
        <w:rPr>
          <w:rFonts w:ascii="Times New Roman" w:eastAsia="Times New Roman" w:hAnsi="Times New Roman" w:cs="Times New Roman"/>
          <w:b/>
          <w:bCs/>
          <w:sz w:val="24"/>
          <w:szCs w:val="24"/>
        </w:rPr>
      </w:pPr>
    </w:p>
    <w:p w14:paraId="1C6943B9" w14:textId="77777777" w:rsidR="00DC4459" w:rsidRDefault="00DC4459">
      <w:pPr>
        <w:pStyle w:val="Heading"/>
        <w:jc w:val="center"/>
        <w:sectPr w:rsidR="00DC4459" w:rsidSect="00C85373">
          <w:footerReference w:type="default" r:id="rId9"/>
          <w:footerReference w:type="first" r:id="rId10"/>
          <w:pgSz w:w="11900" w:h="16840"/>
          <w:pgMar w:top="1440" w:right="1440" w:bottom="1440" w:left="1440" w:header="708" w:footer="708" w:gutter="0"/>
          <w:pgNumType w:fmt="lowerRoman" w:start="1"/>
          <w:cols w:space="720"/>
          <w:titlePg/>
          <w:docGrid w:linePitch="326"/>
        </w:sectPr>
      </w:pPr>
    </w:p>
    <w:p w14:paraId="0D57D12C" w14:textId="77777777" w:rsidR="00DC4459" w:rsidRDefault="00077D4E">
      <w:pPr>
        <w:pStyle w:val="Heading"/>
        <w:jc w:val="center"/>
      </w:pPr>
      <w:bookmarkStart w:id="8" w:name="_Toc73738984"/>
      <w:r>
        <w:rPr>
          <w:lang w:val="de-DE"/>
        </w:rPr>
        <w:lastRenderedPageBreak/>
        <w:t>CHAPTER ONE</w:t>
      </w:r>
      <w:bookmarkEnd w:id="8"/>
    </w:p>
    <w:p w14:paraId="7D004AF7" w14:textId="77777777" w:rsidR="00DC4459" w:rsidRDefault="00077D4E">
      <w:pPr>
        <w:pStyle w:val="Heading"/>
        <w:jc w:val="center"/>
      </w:pPr>
      <w:bookmarkStart w:id="9" w:name="_Toc73738985"/>
      <w:r>
        <w:rPr>
          <w:lang w:val="en-US"/>
        </w:rPr>
        <w:t>INTRODUCTION</w:t>
      </w:r>
      <w:bookmarkEnd w:id="9"/>
    </w:p>
    <w:p w14:paraId="0F48D899" w14:textId="77777777" w:rsidR="00DC4459" w:rsidRDefault="00077D4E">
      <w:pPr>
        <w:pStyle w:val="Heading"/>
      </w:pPr>
      <w:bookmarkStart w:id="10" w:name="_Toc73738986"/>
      <w:r>
        <w:rPr>
          <w:rFonts w:eastAsia="Arial Unicode MS" w:cs="Arial Unicode MS"/>
          <w:lang w:val="en-US"/>
        </w:rPr>
        <w:t>1.1. Research Overview</w:t>
      </w:r>
      <w:bookmarkEnd w:id="10"/>
    </w:p>
    <w:p w14:paraId="78AA2A9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research investigates the factors that influence the adherence to corporate governance codes in the Irish banking sector. Corporate governance is regarded as the coordination of practices, processes, and rules which govern the direction and control of a company's operations. It is a set of arrangements used to monitor and control the activities of a corporation, and it is </w:t>
      </w:r>
      <w:proofErr w:type="spellStart"/>
      <w:r>
        <w:rPr>
          <w:rFonts w:ascii="Times New Roman" w:hAnsi="Times New Roman"/>
          <w:sz w:val="24"/>
          <w:szCs w:val="24"/>
          <w:lang w:val="en-US"/>
        </w:rPr>
        <w:t>centred</w:t>
      </w:r>
      <w:proofErr w:type="spellEnd"/>
      <w:r>
        <w:rPr>
          <w:rFonts w:ascii="Times New Roman" w:hAnsi="Times New Roman"/>
          <w:sz w:val="24"/>
          <w:szCs w:val="24"/>
          <w:lang w:val="en-US"/>
        </w:rPr>
        <w:t xml:space="preserve"> on achieving the goals of stakeholders. Corporate governance arrangements are used to manage the corporation to maximize shareholders' (owners) wealth (</w:t>
      </w:r>
      <w:r>
        <w:rPr>
          <w:rFonts w:ascii="Times New Roman" w:hAnsi="Times New Roman"/>
          <w:sz w:val="24"/>
          <w:szCs w:val="24"/>
        </w:rPr>
        <w:t>Al-</w:t>
      </w:r>
      <w:proofErr w:type="spellStart"/>
      <w:r>
        <w:rPr>
          <w:rFonts w:ascii="Times New Roman" w:hAnsi="Times New Roman"/>
          <w:sz w:val="24"/>
          <w:szCs w:val="24"/>
        </w:rPr>
        <w:t>Janadi</w:t>
      </w:r>
      <w:proofErr w:type="spellEnd"/>
      <w:r>
        <w:rPr>
          <w:rFonts w:ascii="Times New Roman" w:hAnsi="Times New Roman"/>
          <w:sz w:val="24"/>
          <w:szCs w:val="24"/>
        </w:rPr>
        <w:t xml:space="preserve"> et al., 2013). </w:t>
      </w:r>
    </w:p>
    <w:p w14:paraId="3330C7DC" w14:textId="77777777" w:rsidR="00DC4459" w:rsidRDefault="00077D4E">
      <w:pPr>
        <w:pStyle w:val="Body"/>
        <w:spacing w:before="240" w:line="360" w:lineRule="auto"/>
        <w:jc w:val="both"/>
        <w:rPr>
          <w:sz w:val="24"/>
          <w:szCs w:val="24"/>
        </w:rPr>
      </w:pPr>
      <w:r>
        <w:rPr>
          <w:rFonts w:ascii="Times New Roman" w:hAnsi="Times New Roman"/>
          <w:color w:val="222222"/>
          <w:sz w:val="24"/>
          <w:szCs w:val="24"/>
          <w:u w:color="222222"/>
          <w:shd w:val="clear" w:color="auto" w:fill="FFFFFF"/>
          <w:lang w:val="en-US"/>
        </w:rPr>
        <w:t>Essentially, Corporate governance aims at achieving and creating a balance between the interest of several stakeholders in a company. This is relevant for keeping stakeholders satisfied</w:t>
      </w:r>
      <w:r>
        <w:rPr>
          <w:sz w:val="24"/>
          <w:szCs w:val="24"/>
        </w:rPr>
        <w:t xml:space="preserve"> (</w:t>
      </w:r>
      <w:r>
        <w:rPr>
          <w:rFonts w:ascii="Times New Roman" w:hAnsi="Times New Roman"/>
          <w:color w:val="222222"/>
          <w:sz w:val="24"/>
          <w:szCs w:val="24"/>
          <w:u w:color="222222"/>
          <w:shd w:val="clear" w:color="auto" w:fill="FFFFFF"/>
          <w:lang w:val="en-US"/>
        </w:rPr>
        <w:t xml:space="preserve">Herath and </w:t>
      </w:r>
      <w:proofErr w:type="spellStart"/>
      <w:r>
        <w:rPr>
          <w:rFonts w:ascii="Times New Roman" w:hAnsi="Times New Roman"/>
          <w:color w:val="222222"/>
          <w:sz w:val="24"/>
          <w:szCs w:val="24"/>
          <w:u w:color="222222"/>
          <w:shd w:val="clear" w:color="auto" w:fill="FFFFFF"/>
          <w:lang w:val="en-US"/>
        </w:rPr>
        <w:t>Altamimi</w:t>
      </w:r>
      <w:proofErr w:type="spellEnd"/>
      <w:r>
        <w:rPr>
          <w:rFonts w:ascii="Times New Roman" w:hAnsi="Times New Roman"/>
          <w:color w:val="222222"/>
          <w:sz w:val="24"/>
          <w:szCs w:val="24"/>
          <w:u w:color="222222"/>
          <w:shd w:val="clear" w:color="auto" w:fill="FFFFFF"/>
          <w:lang w:val="en-US"/>
        </w:rPr>
        <w:t>, 2017). Particularly corporate governance solves the agency problem in different parts of the world (</w:t>
      </w:r>
      <w:proofErr w:type="spellStart"/>
      <w:r>
        <w:rPr>
          <w:rFonts w:ascii="Times New Roman" w:hAnsi="Times New Roman"/>
          <w:color w:val="222222"/>
          <w:sz w:val="24"/>
          <w:szCs w:val="24"/>
          <w:u w:color="222222"/>
          <w:shd w:val="clear" w:color="auto" w:fill="FFFFFF"/>
          <w:lang w:val="en-US"/>
        </w:rPr>
        <w:t>Isukul</w:t>
      </w:r>
      <w:proofErr w:type="spellEnd"/>
      <w:r>
        <w:rPr>
          <w:rFonts w:ascii="Times New Roman" w:hAnsi="Times New Roman"/>
          <w:color w:val="222222"/>
          <w:sz w:val="24"/>
          <w:szCs w:val="24"/>
          <w:u w:color="222222"/>
          <w:shd w:val="clear" w:color="auto" w:fill="FFFFFF"/>
          <w:lang w:val="en-US"/>
        </w:rPr>
        <w:t xml:space="preserve"> and </w:t>
      </w:r>
      <w:proofErr w:type="spellStart"/>
      <w:r>
        <w:rPr>
          <w:rFonts w:ascii="Times New Roman" w:hAnsi="Times New Roman"/>
          <w:color w:val="222222"/>
          <w:sz w:val="24"/>
          <w:szCs w:val="24"/>
          <w:u w:color="222222"/>
          <w:shd w:val="clear" w:color="auto" w:fill="FFFFFF"/>
          <w:lang w:val="en-US"/>
        </w:rPr>
        <w:t>Chizea</w:t>
      </w:r>
      <w:proofErr w:type="spellEnd"/>
      <w:r>
        <w:rPr>
          <w:rFonts w:ascii="Times New Roman" w:hAnsi="Times New Roman"/>
          <w:color w:val="222222"/>
          <w:sz w:val="24"/>
          <w:szCs w:val="24"/>
          <w:u w:color="222222"/>
          <w:shd w:val="clear" w:color="auto" w:fill="FFFFFF"/>
          <w:lang w:val="en-US"/>
        </w:rPr>
        <w:t>, 2017). The agency problem occurs when boards pursue different interests than that of shareholders. For example, in the USA, corporate governance grew out of the desire to create a regulatory framework for firms after the collapse of major financial companies such as Enron</w:t>
      </w:r>
      <w:r>
        <w:rPr>
          <w:rFonts w:ascii="Times New Roman" w:hAnsi="Times New Roman"/>
          <w:sz w:val="24"/>
          <w:szCs w:val="24"/>
          <w:lang w:val="en-US"/>
        </w:rPr>
        <w:t xml:space="preserve">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2017)</w:t>
      </w:r>
      <w:r>
        <w:rPr>
          <w:rFonts w:ascii="Times New Roman" w:hAnsi="Times New Roman"/>
          <w:color w:val="222222"/>
          <w:sz w:val="24"/>
          <w:szCs w:val="24"/>
          <w:u w:color="222222"/>
          <w:shd w:val="clear" w:color="auto" w:fill="FFFFFF"/>
          <w:lang w:val="en-US"/>
        </w:rPr>
        <w:t>. The managers at Enron were accused of unaccountability and dishonesty, which created an imbalance between the original financial performance of the company and what was disclosed to shareholders. Imbalances led to the firm's collapse affecting thousands of people who lost tangible money they invested. At Enron, the managers continually forged accounting and financial records to make it seem as if the company was prosperous at the expense of shareholders' money. The implication was that the collapse of Enron further led to the setup of the Sarbanes- Oxley Committee, which formed the basis of Corporate Governance codes in the US</w:t>
      </w:r>
      <w:r>
        <w:rPr>
          <w:rFonts w:ascii="Times New Roman" w:hAnsi="Times New Roman"/>
          <w:sz w:val="24"/>
          <w:szCs w:val="24"/>
          <w:lang w:val="en-US"/>
        </w:rPr>
        <w:t xml:space="preserve"> (</w:t>
      </w:r>
      <w:bookmarkStart w:id="11" w:name="_Hlk68262344"/>
      <w:r>
        <w:rPr>
          <w:rFonts w:ascii="Times New Roman" w:hAnsi="Times New Roman"/>
          <w:sz w:val="24"/>
          <w:szCs w:val="24"/>
          <w:lang w:val="en-US"/>
        </w:rPr>
        <w:t xml:space="preserve">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 2017),</w:t>
      </w:r>
      <w:bookmarkEnd w:id="11"/>
    </w:p>
    <w:p w14:paraId="71701710"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In the United Kingdom, corporate governance was founded on several scandals, such as the Robert Maxwell Pension funds and the BCI bank scandal that led to the collapse of strong corporate firms and banks. Due to this, the decision to closely monitor firms' activities to prevent a repeat of such cases was reached. This led to the setup of the Adrian Cadbury committee and subsequently a list of several corporate governance codes that controls </w:t>
      </w:r>
      <w:r>
        <w:rPr>
          <w:rFonts w:ascii="Times New Roman" w:hAnsi="Times New Roman"/>
          <w:sz w:val="24"/>
          <w:szCs w:val="24"/>
          <w:lang w:val="en-US"/>
        </w:rPr>
        <w:lastRenderedPageBreak/>
        <w:t>corporate activities in UK</w:t>
      </w:r>
      <w:r>
        <w:rPr>
          <w:sz w:val="24"/>
          <w:szCs w:val="24"/>
        </w:rPr>
        <w:t xml:space="preserve"> (</w:t>
      </w:r>
      <w:proofErr w:type="spellStart"/>
      <w:r>
        <w:rPr>
          <w:rFonts w:ascii="Times New Roman" w:hAnsi="Times New Roman"/>
          <w:sz w:val="24"/>
          <w:szCs w:val="24"/>
          <w:lang w:val="en-US"/>
        </w:rPr>
        <w:t>Isukul</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Chizea</w:t>
      </w:r>
      <w:proofErr w:type="spellEnd"/>
      <w:r>
        <w:rPr>
          <w:rFonts w:ascii="Times New Roman" w:hAnsi="Times New Roman"/>
          <w:sz w:val="24"/>
          <w:szCs w:val="24"/>
          <w:lang w:val="en-US"/>
        </w:rPr>
        <w:t>, 2017). The two countries are used as examples in this introduction as they constitute the major approaches to corporate governance worldwide. The US adopts the rule-based approach to corporate governance while the UK adopts the principle-based approach to corporate governance (</w:t>
      </w:r>
      <w:proofErr w:type="spellStart"/>
      <w:r>
        <w:rPr>
          <w:rFonts w:ascii="Times New Roman" w:hAnsi="Times New Roman"/>
          <w:sz w:val="24"/>
          <w:szCs w:val="24"/>
          <w:lang w:val="en-US"/>
        </w:rPr>
        <w:t>Isukul</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Chizea</w:t>
      </w:r>
      <w:proofErr w:type="spellEnd"/>
      <w:r>
        <w:rPr>
          <w:rFonts w:ascii="Times New Roman" w:hAnsi="Times New Roman"/>
          <w:sz w:val="24"/>
          <w:szCs w:val="24"/>
          <w:lang w:val="en-US"/>
        </w:rPr>
        <w:t xml:space="preserve">, 2017). With the former corporate governance rules are rigid and demand that every company adheres to them or risk being sanctioned, while in the latter, corporate governance codes are more flexible, creating general principles for companies to abide by, however, giving them the liberty on how to implement </w:t>
      </w:r>
      <w:bookmarkStart w:id="12" w:name="_Hlk68262596"/>
      <w:r>
        <w:rPr>
          <w:rFonts w:ascii="Times New Roman" w:hAnsi="Times New Roman"/>
          <w:sz w:val="24"/>
          <w:szCs w:val="24"/>
          <w:lang w:val="en-US"/>
        </w:rPr>
        <w:t>them</w:t>
      </w:r>
      <w:r>
        <w:rPr>
          <w:sz w:val="24"/>
          <w:szCs w:val="24"/>
        </w:rPr>
        <w:t xml:space="preserve"> (</w:t>
      </w:r>
      <w:r>
        <w:rPr>
          <w:rFonts w:ascii="Times New Roman" w:hAnsi="Times New Roman"/>
          <w:sz w:val="24"/>
          <w:szCs w:val="24"/>
          <w:lang w:val="en-US"/>
        </w:rPr>
        <w:t xml:space="preserve">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w:t>
      </w:r>
      <w:bookmarkEnd w:id="12"/>
      <w:r>
        <w:rPr>
          <w:rFonts w:ascii="Times New Roman" w:hAnsi="Times New Roman"/>
          <w:sz w:val="24"/>
          <w:szCs w:val="24"/>
          <w:lang w:val="en-US"/>
        </w:rPr>
        <w:t>The UK corporate governance system also allows managers to explain to shareholders why certain corporate governance rules are not adhered to; this is why corporate governance in the UK is popularly known as "Comply of Explain"</w:t>
      </w:r>
      <w:r>
        <w:rPr>
          <w:sz w:val="24"/>
          <w:szCs w:val="24"/>
        </w:rPr>
        <w:t xml:space="preserve"> </w:t>
      </w:r>
      <w:r>
        <w:rPr>
          <w:rFonts w:ascii="Times New Roman" w:hAnsi="Times New Roman"/>
          <w:sz w:val="24"/>
          <w:szCs w:val="24"/>
          <w:lang w:val="en-US"/>
        </w:rPr>
        <w:t xml:space="preserve">(Herath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2017). Fundamentally, therefore, corporate governance guarantees shareholder value by ensuring the appropriate usage of firm's resources, transparency in companies' activities, and improving investor confidence in the overall stock market (</w:t>
      </w:r>
      <w:r>
        <w:rPr>
          <w:rFonts w:ascii="Times New Roman" w:hAnsi="Times New Roman"/>
          <w:sz w:val="24"/>
          <w:szCs w:val="24"/>
        </w:rPr>
        <w:t>Al-</w:t>
      </w:r>
      <w:proofErr w:type="spellStart"/>
      <w:r>
        <w:rPr>
          <w:rFonts w:ascii="Times New Roman" w:hAnsi="Times New Roman"/>
          <w:sz w:val="24"/>
          <w:szCs w:val="24"/>
        </w:rPr>
        <w:t>Janadi</w:t>
      </w:r>
      <w:proofErr w:type="spellEnd"/>
      <w:r>
        <w:rPr>
          <w:rFonts w:ascii="Times New Roman" w:hAnsi="Times New Roman"/>
          <w:sz w:val="24"/>
          <w:szCs w:val="24"/>
        </w:rPr>
        <w:t xml:space="preserve"> et al., 2013</w:t>
      </w:r>
      <w:r>
        <w:rPr>
          <w:rFonts w:ascii="Times New Roman" w:hAnsi="Times New Roman"/>
          <w:sz w:val="24"/>
          <w:szCs w:val="24"/>
          <w:lang w:val="en-US"/>
        </w:rPr>
        <w:t>). </w:t>
      </w:r>
    </w:p>
    <w:p w14:paraId="7431C056" w14:textId="77777777" w:rsidR="00DC4459" w:rsidRDefault="00077D4E">
      <w:pPr>
        <w:pStyle w:val="Heading"/>
      </w:pPr>
      <w:bookmarkStart w:id="13" w:name="_Toc73738987"/>
      <w:r>
        <w:rPr>
          <w:rFonts w:eastAsia="Arial Unicode MS" w:cs="Arial Unicode MS"/>
          <w:lang w:val="en-US"/>
        </w:rPr>
        <w:t>1.2. Adhering to Corporate Governance</w:t>
      </w:r>
      <w:bookmarkEnd w:id="13"/>
    </w:p>
    <w:p w14:paraId="33ACA971"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Adherence to corporate governance has always been an issue amongst corporate </w:t>
      </w:r>
      <w:proofErr w:type="spellStart"/>
      <w:r>
        <w:rPr>
          <w:rFonts w:ascii="Times New Roman" w:hAnsi="Times New Roman"/>
          <w:sz w:val="24"/>
          <w:szCs w:val="24"/>
          <w:lang w:val="en-US"/>
        </w:rPr>
        <w:t>organisations</w:t>
      </w:r>
      <w:proofErr w:type="spellEnd"/>
      <w:r>
        <w:rPr>
          <w:rFonts w:ascii="Times New Roman" w:hAnsi="Times New Roman"/>
          <w:sz w:val="24"/>
          <w:szCs w:val="24"/>
          <w:lang w:val="en-US"/>
        </w:rPr>
        <w:t>, especially in countries operating the principle-based approach;</w:t>
      </w:r>
      <w:r>
        <w:rPr>
          <w:sz w:val="24"/>
          <w:szCs w:val="24"/>
        </w:rPr>
        <w:t xml:space="preserve"> </w:t>
      </w:r>
      <w:bookmarkStart w:id="14" w:name="_Hlk68262305"/>
      <w:r>
        <w:rPr>
          <w:rFonts w:ascii="Times New Roman" w:hAnsi="Times New Roman"/>
          <w:sz w:val="24"/>
          <w:szCs w:val="24"/>
          <w:lang w:val="en-US"/>
        </w:rPr>
        <w:t xml:space="preserve">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w:t>
      </w:r>
      <w:bookmarkEnd w:id="14"/>
      <w:r>
        <w:rPr>
          <w:rFonts w:ascii="Times New Roman" w:hAnsi="Times New Roman"/>
          <w:sz w:val="24"/>
          <w:szCs w:val="24"/>
          <w:lang w:val="en-US"/>
        </w:rPr>
        <w:t>confirms that while good corporate governance prevents the exploitation and expropriation of company's resources by managers, thus ensuring transparency, accountability, and efficiency in decision making and management. It was often a challenge for managers to adhere to corporate governance principles, especially with regulatory frameworks that are flexible. Kim (2015), also notes that the principle-based approach, which establishes the central corporate governance codes but allows companies to modify them to suit peculiar company characteristics, has bred insincerity in compliance. Furthermore, the reasons managers provide for not adhering to principles are not sufficient enough. It thus follows that certain factors may contribute to adherence or nonadherence to corporate governance codes. As such, this research seeks to investigate these factors to provide recommendations by which corporate governance principles can thoroughly be implemented, thus improving firms' activities, shareholders' interest, and investor confidence. The research focuses on banking firms in Ireland. </w:t>
      </w:r>
    </w:p>
    <w:p w14:paraId="01ED13D2"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The research adopts the qualitative method of data collection and analysis, which allows the researcher to critically investigate through the collection of in-depth insights and opinions concerning corporate governance in Ireland.</w:t>
      </w:r>
    </w:p>
    <w:p w14:paraId="7F1E0280" w14:textId="77777777" w:rsidR="00DC4459" w:rsidRDefault="00077D4E">
      <w:pPr>
        <w:pStyle w:val="Heading"/>
        <w:rPr>
          <w:shd w:val="clear" w:color="auto" w:fill="FFFFFF"/>
        </w:rPr>
      </w:pPr>
      <w:bookmarkStart w:id="15" w:name="_Toc73738988"/>
      <w:r>
        <w:rPr>
          <w:rFonts w:eastAsia="Arial Unicode MS" w:cs="Arial Unicode MS"/>
          <w:shd w:val="clear" w:color="auto" w:fill="FFFFFF"/>
          <w:lang w:val="en-US"/>
        </w:rPr>
        <w:t>1.3. Research Purpose</w:t>
      </w:r>
      <w:bookmarkEnd w:id="15"/>
    </w:p>
    <w:p w14:paraId="3D52F6F1" w14:textId="77777777" w:rsidR="00DC4459" w:rsidRDefault="00077D4E">
      <w:pPr>
        <w:pStyle w:val="Body"/>
        <w:spacing w:before="240" w:after="0" w:line="360" w:lineRule="auto"/>
        <w:jc w:val="both"/>
        <w:rPr>
          <w:rFonts w:ascii="Times New Roman" w:eastAsia="Times New Roman" w:hAnsi="Times New Roman" w:cs="Times New Roman"/>
          <w:color w:val="222222"/>
          <w:sz w:val="24"/>
          <w:szCs w:val="24"/>
          <w:u w:color="222222"/>
          <w:shd w:val="clear" w:color="auto" w:fill="FFFFFF"/>
        </w:rPr>
      </w:pPr>
      <w:r>
        <w:rPr>
          <w:rFonts w:ascii="Times New Roman" w:hAnsi="Times New Roman"/>
          <w:color w:val="222222"/>
          <w:sz w:val="24"/>
          <w:szCs w:val="24"/>
          <w:u w:color="222222"/>
          <w:shd w:val="clear" w:color="auto" w:fill="FFFFFF"/>
          <w:lang w:val="en-US"/>
        </w:rPr>
        <w:t>The central purpose of the study is to investigate the factors that determine the adherence of Corporate Governance codes amongst banking firms in Ireland.  Ireland adopts the principle-based approach similar to the UK.  As explained earlier, this is popularly known as the "comply-explain" approach.  This approach has been severely criticized for its flexibility and ineffectiveness in ensuring that corporate governance principles are adhered to (</w:t>
      </w:r>
      <w:proofErr w:type="spellStart"/>
      <w:r>
        <w:rPr>
          <w:rFonts w:ascii="Times New Roman" w:hAnsi="Times New Roman"/>
          <w:color w:val="222222"/>
          <w:sz w:val="24"/>
          <w:szCs w:val="24"/>
          <w:u w:color="222222"/>
          <w:shd w:val="clear" w:color="auto" w:fill="FFFFFF"/>
          <w:lang w:val="en-US"/>
        </w:rPr>
        <w:t>Onakoya</w:t>
      </w:r>
      <w:proofErr w:type="spellEnd"/>
      <w:r>
        <w:rPr>
          <w:rFonts w:ascii="Times New Roman" w:hAnsi="Times New Roman"/>
          <w:color w:val="222222"/>
          <w:sz w:val="24"/>
          <w:szCs w:val="24"/>
          <w:u w:color="222222"/>
          <w:shd w:val="clear" w:color="auto" w:fill="FFFFFF"/>
          <w:lang w:val="en-US"/>
        </w:rPr>
        <w:t xml:space="preserve">, et al, 2014).  Kim (2015), note that this approach has been questioned the UK and all over the EU, sufficient deficiencies in the model is identified which revolves around the problematic and inadequate engagement of shareholders especially in monitoring their implementation and application of the process by companies and also the vague, as well as insufficient explanations managers, provide for non-compliance with the code. Herath and </w:t>
      </w:r>
      <w:proofErr w:type="spellStart"/>
      <w:r>
        <w:rPr>
          <w:rFonts w:ascii="Times New Roman" w:hAnsi="Times New Roman"/>
          <w:color w:val="222222"/>
          <w:sz w:val="24"/>
          <w:szCs w:val="24"/>
          <w:u w:color="222222"/>
          <w:shd w:val="clear" w:color="auto" w:fill="FFFFFF"/>
          <w:lang w:val="en-US"/>
        </w:rPr>
        <w:t>Altamimi</w:t>
      </w:r>
      <w:proofErr w:type="spellEnd"/>
      <w:r>
        <w:rPr>
          <w:rFonts w:ascii="Times New Roman" w:hAnsi="Times New Roman"/>
          <w:color w:val="222222"/>
          <w:sz w:val="24"/>
          <w:szCs w:val="24"/>
          <w:u w:color="222222"/>
          <w:shd w:val="clear" w:color="auto" w:fill="FFFFFF"/>
          <w:lang w:val="en-US"/>
        </w:rPr>
        <w:t xml:space="preserve"> (2017), explain that the "Comply-Explain" approach breeds passivity and apathy amongst shareholders in monitoring companies' compliance.  This is because the monitoring of corporate governance codes is time and cost-ineffective. Investors have several investments across countries of the world. They are confronted with several corporate governance codes and sales to read evaluate. Thus, monitoring compliance of codes in one country is sometimes impossible. Statement of codes can run over to hundred pages, if not more sometimes, complicated and decked with statistical computations, making it difficult, time-consuming, and costly for investors/shareholders to monitor companies' adherence level to such codes.  In the same vein, Ibrahim, et al, 2017) note that dispersed and diverse compliance in the UK creates ownership structures with different documents that need to be read and understood. This alone is a disincentive to shareholders; thus, they are unwilling to devote time and money to monitor compliance levels.  </w:t>
      </w:r>
    </w:p>
    <w:p w14:paraId="32D8517F" w14:textId="77777777" w:rsidR="00DC4459" w:rsidRDefault="00077D4E">
      <w:pPr>
        <w:pStyle w:val="Body"/>
        <w:spacing w:before="240" w:after="0" w:line="360" w:lineRule="auto"/>
        <w:jc w:val="both"/>
        <w:rPr>
          <w:rFonts w:ascii="Times New Roman" w:eastAsia="Times New Roman" w:hAnsi="Times New Roman" w:cs="Times New Roman"/>
          <w:color w:val="222222"/>
          <w:sz w:val="24"/>
          <w:szCs w:val="24"/>
          <w:u w:color="222222"/>
        </w:rPr>
      </w:pPr>
      <w:r>
        <w:rPr>
          <w:rFonts w:ascii="Times New Roman" w:hAnsi="Times New Roman"/>
          <w:color w:val="222222"/>
          <w:sz w:val="24"/>
          <w:szCs w:val="24"/>
          <w:u w:color="222222"/>
          <w:shd w:val="clear" w:color="auto" w:fill="FFFFFF"/>
          <w:lang w:val="en-US"/>
        </w:rPr>
        <w:t xml:space="preserve">Kim (2015), also notes that adherence to corporate governance codes in countries operating the "comply-explain" was significantly affected by shareholders' lack of interest in explanations but rather performance. "Comply or explain" is no longer practiced but "comply or perform". This means that shareholders are mainly concerned about performance rather than explanations, giving room for managers to deviate from adhering to the codes to meet the expectations of shareholders. </w:t>
      </w:r>
    </w:p>
    <w:p w14:paraId="2FBB35BA" w14:textId="77777777" w:rsidR="00DC4459" w:rsidRDefault="00077D4E">
      <w:pPr>
        <w:pStyle w:val="Body"/>
        <w:spacing w:before="240" w:after="0" w:line="360" w:lineRule="auto"/>
        <w:jc w:val="both"/>
        <w:rPr>
          <w:rFonts w:ascii="Times New Roman" w:eastAsia="Times New Roman" w:hAnsi="Times New Roman" w:cs="Times New Roman"/>
          <w:color w:val="222222"/>
          <w:sz w:val="24"/>
          <w:szCs w:val="24"/>
          <w:u w:color="222222"/>
          <w:shd w:val="clear" w:color="auto" w:fill="FFFFFF"/>
        </w:rPr>
      </w:pPr>
      <w:r>
        <w:rPr>
          <w:rFonts w:ascii="Times New Roman" w:hAnsi="Times New Roman"/>
          <w:color w:val="222222"/>
          <w:sz w:val="24"/>
          <w:szCs w:val="24"/>
          <w:u w:color="222222"/>
          <w:shd w:val="clear" w:color="auto" w:fill="FFFFFF"/>
          <w:lang w:val="en-US"/>
        </w:rPr>
        <w:lastRenderedPageBreak/>
        <w:t xml:space="preserve">The above are few factors discovered by researchers that impact the adherence and nonadherence of corporate governance principles in countries operating the "comply-explain approach".   This, however, is yet to be examined in relation to Ireland. Thus, several unanswered questions persist in corporate governance studies in Ireland.  Questions such as; "What factors determine the adherence to corporate governance principles? Does adopting the "comply-explain" approach to corporate governance lead to inefficiency? Are shareholders passive and display apathy in monitoring corporate governance codes?"  All these are questions are unanswered questions within corporate governance literature, which the researcher attempts to answer by focusing on the banking sector in Ireland. </w:t>
      </w:r>
    </w:p>
    <w:p w14:paraId="3C08EA13" w14:textId="77777777" w:rsidR="00DC4459" w:rsidRDefault="00077D4E">
      <w:pPr>
        <w:pStyle w:val="Heading"/>
        <w:rPr>
          <w:shd w:val="clear" w:color="auto" w:fill="FFFFFF"/>
        </w:rPr>
      </w:pPr>
      <w:bookmarkStart w:id="16" w:name="_Toc73738989"/>
      <w:r>
        <w:rPr>
          <w:rFonts w:eastAsia="Arial Unicode MS" w:cs="Arial Unicode MS"/>
          <w:shd w:val="clear" w:color="auto" w:fill="FFFFFF"/>
          <w:lang w:val="en-US"/>
        </w:rPr>
        <w:t>1.4. Research Questions</w:t>
      </w:r>
      <w:bookmarkEnd w:id="16"/>
    </w:p>
    <w:p w14:paraId="3D08BC03" w14:textId="77777777" w:rsidR="00DC4459" w:rsidRDefault="00077D4E">
      <w:pPr>
        <w:pStyle w:val="Body"/>
        <w:spacing w:before="240" w:after="0" w:line="360" w:lineRule="auto"/>
        <w:jc w:val="both"/>
        <w:rPr>
          <w:rFonts w:ascii="Times New Roman" w:eastAsia="Times New Roman" w:hAnsi="Times New Roman" w:cs="Times New Roman"/>
          <w:color w:val="222222"/>
          <w:sz w:val="24"/>
          <w:szCs w:val="24"/>
          <w:u w:color="222222"/>
          <w:shd w:val="clear" w:color="auto" w:fill="FFFFFF"/>
        </w:rPr>
      </w:pPr>
      <w:r>
        <w:rPr>
          <w:rFonts w:ascii="Times New Roman" w:hAnsi="Times New Roman"/>
          <w:color w:val="222222"/>
          <w:sz w:val="24"/>
          <w:szCs w:val="24"/>
          <w:u w:color="222222"/>
          <w:shd w:val="clear" w:color="auto" w:fill="FFFFFF"/>
          <w:lang w:val="en-US"/>
        </w:rPr>
        <w:t>To this end, the questions which this research seeks to answer are;</w:t>
      </w:r>
    </w:p>
    <w:p w14:paraId="13218227" w14:textId="77777777" w:rsidR="00DC4459" w:rsidRDefault="00077D4E">
      <w:pPr>
        <w:pStyle w:val="ListParagraph"/>
        <w:numPr>
          <w:ilvl w:val="0"/>
          <w:numId w:val="2"/>
        </w:numPr>
        <w:spacing w:before="240" w:after="0" w:line="360" w:lineRule="auto"/>
        <w:jc w:val="both"/>
        <w:rPr>
          <w:rFonts w:ascii="Times New Roman" w:hAnsi="Times New Roman"/>
          <w:color w:val="222222"/>
          <w:sz w:val="24"/>
          <w:szCs w:val="24"/>
        </w:rPr>
      </w:pPr>
      <w:r>
        <w:rPr>
          <w:rFonts w:ascii="Times New Roman" w:hAnsi="Times New Roman"/>
          <w:color w:val="222222"/>
          <w:sz w:val="24"/>
          <w:szCs w:val="24"/>
          <w:u w:color="222222"/>
          <w:shd w:val="clear" w:color="auto" w:fill="FFFFFF"/>
        </w:rPr>
        <w:t>What is the level of compliance to corporate governance codes amongst Irish Banks?</w:t>
      </w:r>
    </w:p>
    <w:p w14:paraId="078ADB74" w14:textId="77777777" w:rsidR="00DC4459" w:rsidRDefault="00077D4E">
      <w:pPr>
        <w:pStyle w:val="ListParagraph"/>
        <w:numPr>
          <w:ilvl w:val="0"/>
          <w:numId w:val="2"/>
        </w:numPr>
        <w:spacing w:before="240" w:after="0" w:line="360" w:lineRule="auto"/>
        <w:jc w:val="both"/>
        <w:rPr>
          <w:rFonts w:ascii="Times New Roman" w:hAnsi="Times New Roman"/>
          <w:color w:val="222222"/>
          <w:sz w:val="24"/>
          <w:szCs w:val="24"/>
        </w:rPr>
      </w:pPr>
      <w:r>
        <w:rPr>
          <w:rFonts w:ascii="Times New Roman" w:hAnsi="Times New Roman"/>
          <w:color w:val="222222"/>
          <w:sz w:val="24"/>
          <w:szCs w:val="24"/>
          <w:u w:color="222222"/>
          <w:shd w:val="clear" w:color="auto" w:fill="FFFFFF"/>
        </w:rPr>
        <w:t>What are the factors influencing the adherence and nonadherence of corporate governance codes in the Irish banking sector?</w:t>
      </w:r>
    </w:p>
    <w:p w14:paraId="751196FA" w14:textId="77777777" w:rsidR="00DC4459" w:rsidRDefault="00077D4E">
      <w:pPr>
        <w:pStyle w:val="ListParagraph"/>
        <w:numPr>
          <w:ilvl w:val="0"/>
          <w:numId w:val="2"/>
        </w:numPr>
        <w:spacing w:before="240" w:after="0" w:line="360" w:lineRule="auto"/>
        <w:jc w:val="both"/>
        <w:rPr>
          <w:rFonts w:ascii="Times New Roman" w:hAnsi="Times New Roman"/>
          <w:color w:val="222222"/>
          <w:sz w:val="24"/>
          <w:szCs w:val="24"/>
        </w:rPr>
      </w:pPr>
      <w:r>
        <w:rPr>
          <w:rFonts w:ascii="Times New Roman" w:hAnsi="Times New Roman"/>
          <w:color w:val="222222"/>
          <w:sz w:val="24"/>
          <w:szCs w:val="24"/>
          <w:u w:color="222222"/>
          <w:shd w:val="clear" w:color="auto" w:fill="FFFFFF"/>
        </w:rPr>
        <w:t>What are the challenges facing corporate governance within the Irish banking sector?</w:t>
      </w:r>
    </w:p>
    <w:p w14:paraId="3ED9EA9C" w14:textId="77777777" w:rsidR="00DC4459" w:rsidRDefault="00DC4459">
      <w:pPr>
        <w:pStyle w:val="Body"/>
        <w:spacing w:line="360" w:lineRule="auto"/>
        <w:jc w:val="both"/>
        <w:rPr>
          <w:rFonts w:ascii="Times New Roman" w:eastAsia="Times New Roman" w:hAnsi="Times New Roman" w:cs="Times New Roman"/>
          <w:color w:val="222222"/>
          <w:sz w:val="24"/>
          <w:szCs w:val="24"/>
          <w:u w:color="222222"/>
          <w:shd w:val="clear" w:color="auto" w:fill="FFFFFF"/>
          <w:lang w:val="en-US"/>
        </w:rPr>
      </w:pPr>
    </w:p>
    <w:p w14:paraId="490A2AD4" w14:textId="77777777" w:rsidR="00DC4459" w:rsidRDefault="00077D4E">
      <w:pPr>
        <w:pStyle w:val="Heading"/>
      </w:pPr>
      <w:bookmarkStart w:id="17" w:name="_Toc73738990"/>
      <w:r>
        <w:rPr>
          <w:rFonts w:eastAsia="Arial Unicode MS" w:cs="Arial Unicode MS"/>
          <w:shd w:val="clear" w:color="auto" w:fill="FFFFFF"/>
          <w:lang w:val="en-US"/>
        </w:rPr>
        <w:t>1.5. Aims and Objectives</w:t>
      </w:r>
      <w:bookmarkEnd w:id="17"/>
    </w:p>
    <w:p w14:paraId="2619DDC9" w14:textId="77777777" w:rsidR="00DC4459" w:rsidRDefault="00077D4E">
      <w:pPr>
        <w:pStyle w:val="Body"/>
        <w:spacing w:before="240" w:after="0" w:line="360" w:lineRule="auto"/>
        <w:jc w:val="both"/>
        <w:rPr>
          <w:rFonts w:ascii="Times New Roman" w:eastAsia="Times New Roman" w:hAnsi="Times New Roman" w:cs="Times New Roman"/>
          <w:color w:val="222222"/>
          <w:sz w:val="24"/>
          <w:szCs w:val="24"/>
          <w:u w:color="222222"/>
          <w:shd w:val="clear" w:color="auto" w:fill="FFFFFF"/>
        </w:rPr>
      </w:pPr>
      <w:r>
        <w:rPr>
          <w:rFonts w:ascii="Times New Roman" w:hAnsi="Times New Roman"/>
          <w:color w:val="222222"/>
          <w:sz w:val="24"/>
          <w:szCs w:val="24"/>
          <w:u w:color="222222"/>
          <w:shd w:val="clear" w:color="auto" w:fill="FFFFFF"/>
          <w:lang w:val="en-US"/>
        </w:rPr>
        <w:t>The banking sector in Ireland is one of the most developed sectors in the country, with numerous stakeholders, shareholders, and investors (Statista, 2020). Corporate governance is important in the banking sector as it allows for transparency, accountability, efficiency, and effectiveness. Further, corporate governance is essential in the banking sector as it enhances the adequate monitoring of board practices to ensure that the interest of stakeholders and shareholders is being upheld</w:t>
      </w:r>
      <w:r>
        <w:rPr>
          <w:sz w:val="24"/>
          <w:szCs w:val="24"/>
        </w:rPr>
        <w:t xml:space="preserve"> (</w:t>
      </w:r>
      <w:r>
        <w:rPr>
          <w:rFonts w:ascii="Times New Roman" w:hAnsi="Times New Roman"/>
          <w:color w:val="222222"/>
          <w:sz w:val="24"/>
          <w:szCs w:val="24"/>
          <w:u w:color="222222"/>
          <w:shd w:val="clear" w:color="auto" w:fill="FFFFFF"/>
          <w:lang w:val="en-US"/>
        </w:rPr>
        <w:t>Ibrahim, et.al., 2017). However, as discussed in the preceding section, answered questions persist in corporate governance practices in Ireland.   Therefore, these questions that border on the general adherence to corporate governance principles form the study's foundation. The research objectives are:</w:t>
      </w:r>
    </w:p>
    <w:p w14:paraId="495E2888" w14:textId="77777777" w:rsidR="00DC4459" w:rsidRDefault="00077D4E">
      <w:pPr>
        <w:pStyle w:val="Heading"/>
        <w:jc w:val="both"/>
      </w:pPr>
      <w:r>
        <w:rPr>
          <w:lang w:val="en-US"/>
        </w:rPr>
        <w:lastRenderedPageBreak/>
        <w:br/>
      </w:r>
      <w:bookmarkStart w:id="18" w:name="_Toc73738991"/>
      <w:r>
        <w:rPr>
          <w:shd w:val="clear" w:color="auto" w:fill="FFFFFF"/>
          <w:lang w:val="en-US"/>
        </w:rPr>
        <w:t>1.5.1. To Critically Examine Factors Influencing the Adherence or Nonadherence to Corporate Governance Principles in Ireland</w:t>
      </w:r>
      <w:bookmarkEnd w:id="18"/>
    </w:p>
    <w:p w14:paraId="3C45D24E" w14:textId="77777777" w:rsidR="00DC4459" w:rsidRDefault="00077D4E">
      <w:pPr>
        <w:pStyle w:val="Body"/>
        <w:spacing w:before="240" w:after="0" w:line="360" w:lineRule="auto"/>
        <w:jc w:val="both"/>
        <w:rPr>
          <w:rFonts w:ascii="Times New Roman" w:eastAsia="Times New Roman" w:hAnsi="Times New Roman" w:cs="Times New Roman"/>
          <w:color w:val="222222"/>
          <w:sz w:val="24"/>
          <w:szCs w:val="24"/>
          <w:u w:color="222222"/>
        </w:rPr>
      </w:pPr>
      <w:r>
        <w:rPr>
          <w:rFonts w:ascii="Times New Roman" w:hAnsi="Times New Roman"/>
          <w:color w:val="222222"/>
          <w:sz w:val="24"/>
          <w:szCs w:val="24"/>
          <w:u w:color="222222"/>
          <w:shd w:val="clear" w:color="auto" w:fill="FFFFFF"/>
          <w:lang w:val="en-US"/>
        </w:rPr>
        <w:t xml:space="preserve">Herath and </w:t>
      </w:r>
      <w:proofErr w:type="spellStart"/>
      <w:r>
        <w:rPr>
          <w:rFonts w:ascii="Times New Roman" w:hAnsi="Times New Roman"/>
          <w:color w:val="222222"/>
          <w:sz w:val="24"/>
          <w:szCs w:val="24"/>
          <w:u w:color="222222"/>
          <w:shd w:val="clear" w:color="auto" w:fill="FFFFFF"/>
          <w:lang w:val="en-US"/>
        </w:rPr>
        <w:t>Altamimi</w:t>
      </w:r>
      <w:proofErr w:type="spellEnd"/>
      <w:r>
        <w:rPr>
          <w:rFonts w:ascii="Times New Roman" w:hAnsi="Times New Roman"/>
          <w:color w:val="222222"/>
          <w:sz w:val="24"/>
          <w:szCs w:val="24"/>
          <w:u w:color="222222"/>
          <w:shd w:val="clear" w:color="auto" w:fill="FFFFFF"/>
          <w:lang w:val="en-US"/>
        </w:rPr>
        <w:t xml:space="preserve"> (2017)</w:t>
      </w:r>
      <w:r>
        <w:rPr>
          <w:rFonts w:ascii="Times New Roman" w:hAnsi="Times New Roman"/>
          <w:color w:val="222222"/>
          <w:sz w:val="24"/>
          <w:szCs w:val="24"/>
          <w:u w:color="222222"/>
          <w:lang w:val="en-US"/>
        </w:rPr>
        <w:t xml:space="preserve"> note that shareholders' passivity and apathy reasons for lack of adherence to corporate governance principles the flexibility provided by the "comply or explain" approach leads to nonchalance amongst board members in complying with corporate governance codes. </w:t>
      </w:r>
      <w:proofErr w:type="spellStart"/>
      <w:r>
        <w:rPr>
          <w:rFonts w:ascii="Times New Roman" w:hAnsi="Times New Roman"/>
          <w:color w:val="222222"/>
          <w:sz w:val="24"/>
          <w:szCs w:val="24"/>
          <w:u w:color="222222"/>
          <w:lang w:val="en-US"/>
        </w:rPr>
        <w:t>Onakoya</w:t>
      </w:r>
      <w:proofErr w:type="spellEnd"/>
      <w:r>
        <w:rPr>
          <w:rFonts w:ascii="Times New Roman" w:hAnsi="Times New Roman"/>
          <w:color w:val="222222"/>
          <w:sz w:val="24"/>
          <w:szCs w:val="24"/>
          <w:u w:color="222222"/>
          <w:lang w:val="en-US"/>
        </w:rPr>
        <w:t>, et. al., (2014), explains that the exchange of "comply or explain" with " comply or perform" has resulted in nonadherence to corporate governance codes.  However, none of those, as mentioned earlier, have been empirically investigated in relation to Irish banks.  Thus, this research intends to empirically discover the reasons associated with adherence or nonadherence to Irish banks' corporate governance codes. </w:t>
      </w:r>
    </w:p>
    <w:p w14:paraId="5DA1DF90" w14:textId="77777777" w:rsidR="00DC4459" w:rsidRDefault="00077D4E">
      <w:pPr>
        <w:pStyle w:val="Heading"/>
        <w:jc w:val="both"/>
      </w:pPr>
      <w:bookmarkStart w:id="19" w:name="_Toc73738992"/>
      <w:r>
        <w:rPr>
          <w:shd w:val="clear" w:color="auto" w:fill="FFFFFF"/>
          <w:lang w:val="en-US"/>
        </w:rPr>
        <w:t>1.5.2. To Determine the Level of Adherence to Corporate Governance Principles Amongst Banks in Ireland.</w:t>
      </w:r>
      <w:bookmarkEnd w:id="19"/>
      <w:r>
        <w:rPr>
          <w:shd w:val="clear" w:color="auto" w:fill="FFFFFF"/>
          <w:lang w:val="en-US"/>
        </w:rPr>
        <w:t> </w:t>
      </w:r>
    </w:p>
    <w:p w14:paraId="260A805D" w14:textId="77777777" w:rsidR="00DC4459" w:rsidRDefault="00077D4E">
      <w:pPr>
        <w:pStyle w:val="Body"/>
        <w:spacing w:before="240" w:line="360" w:lineRule="auto"/>
        <w:jc w:val="both"/>
        <w:rPr>
          <w:rFonts w:ascii="Times New Roman" w:eastAsia="Times New Roman" w:hAnsi="Times New Roman" w:cs="Times New Roman"/>
          <w:color w:val="222222"/>
          <w:sz w:val="24"/>
          <w:szCs w:val="24"/>
          <w:u w:color="222222"/>
          <w:shd w:val="clear" w:color="auto" w:fill="FFFFFF"/>
        </w:rPr>
      </w:pPr>
      <w:r>
        <w:rPr>
          <w:rFonts w:ascii="Times New Roman" w:hAnsi="Times New Roman"/>
          <w:color w:val="222222"/>
          <w:sz w:val="24"/>
          <w:szCs w:val="24"/>
          <w:u w:color="222222"/>
          <w:shd w:val="clear" w:color="auto" w:fill="FFFFFF"/>
          <w:lang w:val="en-US"/>
        </w:rPr>
        <w:t>Kim (2015), Ibrahim, et. al., (2017), note that the "comply-explain" approach leads to inadequacies and inefficiency in adhering to corporate governance principles, it is a popular opinion that Corporate Governance in Ireland will be inadequate and inefficient since Ireland adopts the "comply-explain" approach. This, however, is yet to be authenticated through empirical evidence and investigation.  This research aims to critically examine corporate governance in Ireland and determine if banks in Ireland comply with its principles.</w:t>
      </w:r>
    </w:p>
    <w:p w14:paraId="7BEB3C95" w14:textId="77777777" w:rsidR="00DC4459" w:rsidRDefault="00077D4E">
      <w:pPr>
        <w:pStyle w:val="Heading2"/>
        <w:rPr>
          <w:color w:val="222222"/>
          <w:u w:color="222222"/>
          <w:shd w:val="clear" w:color="auto" w:fill="FFFFFF"/>
        </w:rPr>
      </w:pPr>
      <w:r>
        <w:rPr>
          <w:lang w:val="en-US"/>
        </w:rPr>
        <w:br/>
      </w:r>
      <w:bookmarkStart w:id="20" w:name="_Toc73738993"/>
      <w:r>
        <w:rPr>
          <w:rFonts w:eastAsia="Arial Unicode MS" w:cs="Arial Unicode MS"/>
          <w:shd w:val="clear" w:color="auto" w:fill="FFFFFF"/>
          <w:lang w:val="en-US"/>
        </w:rPr>
        <w:t>1.5.3. To Discover the Challenges Associated with Corporate Governance Amongst Irish Banks</w:t>
      </w:r>
      <w:bookmarkEnd w:id="20"/>
    </w:p>
    <w:p w14:paraId="0A80274E" w14:textId="77777777" w:rsidR="00DC4459" w:rsidRDefault="00077D4E">
      <w:pPr>
        <w:pStyle w:val="Body"/>
        <w:spacing w:line="360" w:lineRule="auto"/>
        <w:jc w:val="both"/>
        <w:rPr>
          <w:rFonts w:ascii="Times New Roman" w:eastAsia="Times New Roman" w:hAnsi="Times New Roman" w:cs="Times New Roman"/>
          <w:color w:val="222222"/>
          <w:sz w:val="24"/>
          <w:szCs w:val="24"/>
          <w:u w:color="222222"/>
          <w:shd w:val="clear" w:color="auto" w:fill="FFFFFF"/>
        </w:rPr>
      </w:pPr>
      <w:r>
        <w:rPr>
          <w:rFonts w:ascii="Times New Roman" w:eastAsia="Times New Roman" w:hAnsi="Times New Roman" w:cs="Times New Roman"/>
          <w:color w:val="222222"/>
          <w:sz w:val="24"/>
          <w:szCs w:val="24"/>
          <w:u w:color="222222"/>
          <w:lang w:val="en-US"/>
        </w:rPr>
        <w:br/>
      </w:r>
      <w:r>
        <w:rPr>
          <w:rFonts w:ascii="Times New Roman" w:hAnsi="Times New Roman"/>
          <w:sz w:val="24"/>
          <w:szCs w:val="24"/>
          <w:lang w:val="en-US"/>
        </w:rPr>
        <w:t>Several challenges relating to corporate governance is embedded in literature; challenges such as flexibility, time and cost inefficiency, and lack of effective monitoring have been discovered (</w:t>
      </w:r>
      <w:proofErr w:type="spellStart"/>
      <w:r>
        <w:rPr>
          <w:rFonts w:ascii="Times New Roman" w:hAnsi="Times New Roman"/>
          <w:sz w:val="24"/>
          <w:szCs w:val="24"/>
          <w:lang w:val="it-IT"/>
        </w:rPr>
        <w:t>Chaganti</w:t>
      </w:r>
      <w:proofErr w:type="spellEnd"/>
      <w:r>
        <w:rPr>
          <w:rFonts w:ascii="Times New Roman" w:hAnsi="Times New Roman"/>
          <w:sz w:val="24"/>
          <w:szCs w:val="24"/>
          <w:lang w:val="it-IT"/>
        </w:rPr>
        <w:t xml:space="preserve">, et. al., 2017; </w:t>
      </w:r>
      <w:proofErr w:type="spellStart"/>
      <w:r>
        <w:rPr>
          <w:rFonts w:ascii="Times New Roman" w:hAnsi="Times New Roman"/>
          <w:sz w:val="24"/>
          <w:szCs w:val="24"/>
          <w:lang w:val="it-IT"/>
        </w:rPr>
        <w:t>Stoeberl</w:t>
      </w:r>
      <w:proofErr w:type="spellEnd"/>
      <w:r>
        <w:rPr>
          <w:rFonts w:ascii="Times New Roman" w:hAnsi="Times New Roman"/>
          <w:sz w:val="24"/>
          <w:szCs w:val="24"/>
          <w:lang w:val="it-IT"/>
        </w:rPr>
        <w:t xml:space="preserve"> and </w:t>
      </w:r>
      <w:proofErr w:type="spellStart"/>
      <w:r>
        <w:rPr>
          <w:rFonts w:ascii="Times New Roman" w:hAnsi="Times New Roman"/>
          <w:sz w:val="24"/>
          <w:szCs w:val="24"/>
          <w:lang w:val="it-IT"/>
        </w:rPr>
        <w:t>Sherony</w:t>
      </w:r>
      <w:proofErr w:type="spellEnd"/>
      <w:r>
        <w:rPr>
          <w:rFonts w:ascii="Times New Roman" w:hAnsi="Times New Roman"/>
          <w:sz w:val="24"/>
          <w:szCs w:val="24"/>
          <w:lang w:val="it-IT"/>
        </w:rPr>
        <w:t>, 2017</w:t>
      </w:r>
      <w:r>
        <w:rPr>
          <w:rFonts w:ascii="Times New Roman" w:hAnsi="Times New Roman"/>
          <w:sz w:val="24"/>
          <w:szCs w:val="24"/>
          <w:lang w:val="en-US"/>
        </w:rPr>
        <w:t xml:space="preserve">;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Such studies, have made a broad scale of analysis using data from the UK or other EU countries. This study, however, investigates these </w:t>
      </w:r>
      <w:r>
        <w:rPr>
          <w:rFonts w:ascii="Times New Roman" w:eastAsia="Times New Roman" w:hAnsi="Times New Roman" w:cs="Times New Roman"/>
          <w:sz w:val="24"/>
          <w:szCs w:val="24"/>
          <w:lang w:val="en-US"/>
        </w:rPr>
        <w:br/>
      </w:r>
      <w:r>
        <w:rPr>
          <w:rFonts w:ascii="Times New Roman" w:hAnsi="Times New Roman"/>
          <w:sz w:val="24"/>
          <w:szCs w:val="24"/>
          <w:lang w:val="en-US"/>
        </w:rPr>
        <w:t xml:space="preserve">challenges in relation to Irish Banks. </w:t>
      </w:r>
    </w:p>
    <w:p w14:paraId="71708285" w14:textId="77777777" w:rsidR="00DC4459" w:rsidRDefault="00077D4E">
      <w:pPr>
        <w:pStyle w:val="Heading"/>
      </w:pPr>
      <w:bookmarkStart w:id="21" w:name="_Toc73738994"/>
      <w:r>
        <w:rPr>
          <w:rFonts w:eastAsia="Arial Unicode MS" w:cs="Arial Unicode MS"/>
          <w:lang w:val="en-US"/>
        </w:rPr>
        <w:lastRenderedPageBreak/>
        <w:t>1.6. Significance of the Study</w:t>
      </w:r>
      <w:bookmarkEnd w:id="21"/>
    </w:p>
    <w:p w14:paraId="044C2873"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Studies of corporate governance are pertinent to understanding corporate governance, compliance, regulations, and challenges. Adequate studies on corporate governance improve the quality of corporate governance codes, justification and implementation and thus enhance the performance of corporations and boost the overall confidence and positive outcome in the stock market. On a broad scale, a study like this is essential in studying the roles, practice, and challenges of corporate governance in Ireland, thus recommending a framework for effective monitoring mechanisms and as well improving the overall corporate governance systems</w:t>
      </w:r>
    </w:p>
    <w:p w14:paraId="78B86844"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u w:color="222222"/>
          <w:lang w:val="en-US"/>
        </w:rPr>
        <w:br/>
      </w:r>
      <w:r>
        <w:rPr>
          <w:rFonts w:ascii="Times New Roman" w:hAnsi="Times New Roman"/>
          <w:color w:val="222222"/>
          <w:sz w:val="24"/>
          <w:szCs w:val="24"/>
          <w:u w:color="222222"/>
          <w:shd w:val="clear" w:color="auto" w:fill="FFFFFF"/>
          <w:lang w:val="en-US"/>
        </w:rPr>
        <w:t>Particularly, this research investigates the level of adherence to corporate governance principles by banks in Ireland. This fills in the gap in existing literature as well as provide empirical proof by which judgment can be made on the efficiency, efficacy, or insufficiency and inadequacy of the "comply-explain" approach. The research is also relevant in discovering factors responsible for the adherence or nonadherence to corporate governance codes in Ireland. This approves or disapproves existing literature on corporate governance challenges, particularly companies adopting the "comply-explain model".  Furthermore, the study identifies the challenges of adhering to corporate governance, which provides workable recommendations for both theory and practice to corporate governance in Ireland.</w:t>
      </w:r>
    </w:p>
    <w:p w14:paraId="5584E426" w14:textId="77777777" w:rsidR="00DC4459" w:rsidRDefault="00077D4E">
      <w:pPr>
        <w:pStyle w:val="Heading"/>
      </w:pPr>
      <w:bookmarkStart w:id="22" w:name="_Toc73738995"/>
      <w:r>
        <w:rPr>
          <w:rFonts w:eastAsia="Arial Unicode MS" w:cs="Arial Unicode MS"/>
          <w:lang w:val="en-US"/>
        </w:rPr>
        <w:t>1.7. Outline of Chapters</w:t>
      </w:r>
      <w:bookmarkEnd w:id="22"/>
    </w:p>
    <w:p w14:paraId="663171ED"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dissertation is structured into five chapters; </w:t>
      </w:r>
    </w:p>
    <w:p w14:paraId="11EC6F10"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Chapter one is the introductory chapter; it provides the research overview, the purpose of the study, aims, and objectives as well as the significance of the study. The chapter lays the background of the study, </w:t>
      </w:r>
      <w:proofErr w:type="spellStart"/>
      <w:r>
        <w:rPr>
          <w:rFonts w:ascii="Times New Roman" w:hAnsi="Times New Roman"/>
          <w:sz w:val="24"/>
          <w:szCs w:val="24"/>
          <w:lang w:val="en-US"/>
        </w:rPr>
        <w:t>i.e</w:t>
      </w:r>
      <w:proofErr w:type="spellEnd"/>
      <w:r>
        <w:rPr>
          <w:rFonts w:ascii="Times New Roman" w:hAnsi="Times New Roman"/>
          <w:sz w:val="24"/>
          <w:szCs w:val="24"/>
          <w:lang w:val="en-US"/>
        </w:rPr>
        <w:t xml:space="preserve">, the foundation for the research; thus, it provides detailed insights on what the research will be about. This chapter is essential as it provides the basis for the research as well as justifications. </w:t>
      </w:r>
    </w:p>
    <w:p w14:paraId="366D63BF"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Chapter two is the literature review, which analyses and critiques relevant studies associated with the research objectives. The literature review also provides the conceptual framework that informs the collection of data and analysis. This chapter critically analyses each text in relation to the objective of the study. This chapter is essential for putting the research objectives in the context of previous studies and identifying the gaps of the study for further improvements.</w:t>
      </w:r>
    </w:p>
    <w:p w14:paraId="1D98734D"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Chapter three contains the methodological framework for the research; it gives the study philosophical underpinnings and strategy towards data collection and analysis. This chapter is essential as it provides the instrument that the researcher uses to achieve the objectives and answer the research questions.</w:t>
      </w:r>
    </w:p>
    <w:p w14:paraId="7C8C0D70"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Chapter four contains the analysis and presentation of data, explanation of findings, and discussion of findings according to the research objectives. This chapter gives the basic importance of the research findings. It provides a critical understanding and explanation of the research objectives in light of the research findings. Thus, concluding if the research questions have been answered and the research objectives achieved. </w:t>
      </w:r>
    </w:p>
    <w:p w14:paraId="23EC71EF" w14:textId="143C2DD5"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Chapter five summari</w:t>
      </w:r>
      <w:r w:rsidR="002E0492">
        <w:rPr>
          <w:rFonts w:ascii="Times New Roman" w:hAnsi="Times New Roman"/>
          <w:sz w:val="24"/>
          <w:szCs w:val="24"/>
          <w:lang w:val="en-US"/>
        </w:rPr>
        <w:t>z</w:t>
      </w:r>
      <w:r>
        <w:rPr>
          <w:rFonts w:ascii="Times New Roman" w:hAnsi="Times New Roman"/>
          <w:sz w:val="24"/>
          <w:szCs w:val="24"/>
          <w:lang w:val="en-US"/>
        </w:rPr>
        <w:t xml:space="preserve">es the research that discusses the study's implication, reflections, and recommendations for future research and practice. This chapter concludes the entire chapter. It is important for drawing upon lessons and findings learned in the study; it is also essential in making recommendations. </w:t>
      </w:r>
    </w:p>
    <w:p w14:paraId="40DB9532"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42F781EB"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2C3FFDA6"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2DF284A6"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4BD7A8C0"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2B719C6D"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408AD0CC"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2878FBBA"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445DCB56"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5D4E87FE"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28C40EBD" w14:textId="77777777" w:rsidR="00DC4459" w:rsidRDefault="00DC4459">
      <w:pPr>
        <w:pStyle w:val="Body"/>
        <w:spacing w:line="360" w:lineRule="auto"/>
        <w:jc w:val="both"/>
        <w:rPr>
          <w:b/>
          <w:bCs/>
          <w:sz w:val="24"/>
          <w:szCs w:val="24"/>
        </w:rPr>
      </w:pPr>
    </w:p>
    <w:p w14:paraId="04763EFB" w14:textId="77777777" w:rsidR="00DC4459" w:rsidRDefault="00077D4E">
      <w:pPr>
        <w:pStyle w:val="Heading"/>
        <w:jc w:val="center"/>
      </w:pPr>
      <w:bookmarkStart w:id="23" w:name="_Toc73738996"/>
      <w:r>
        <w:rPr>
          <w:lang w:val="de-DE"/>
        </w:rPr>
        <w:lastRenderedPageBreak/>
        <w:t>CHAPTER TWO</w:t>
      </w:r>
      <w:bookmarkEnd w:id="23"/>
    </w:p>
    <w:p w14:paraId="475AE040" w14:textId="77777777" w:rsidR="00DC4459" w:rsidRDefault="00077D4E">
      <w:pPr>
        <w:pStyle w:val="Heading"/>
        <w:jc w:val="center"/>
      </w:pPr>
      <w:bookmarkStart w:id="24" w:name="_Toc73738997"/>
      <w:r>
        <w:rPr>
          <w:lang w:val="de-DE"/>
        </w:rPr>
        <w:t>LITERATURE REVIEW</w:t>
      </w:r>
      <w:bookmarkEnd w:id="24"/>
    </w:p>
    <w:p w14:paraId="0459D284" w14:textId="77777777" w:rsidR="00DC4459" w:rsidRDefault="00077D4E">
      <w:pPr>
        <w:pStyle w:val="Heading"/>
      </w:pPr>
      <w:bookmarkStart w:id="25" w:name="_Toc73738998"/>
      <w:r>
        <w:rPr>
          <w:rFonts w:eastAsia="Arial Unicode MS" w:cs="Arial Unicode MS"/>
          <w:lang w:val="fr-FR"/>
        </w:rPr>
        <w:t>2.1. Introduction</w:t>
      </w:r>
      <w:bookmarkEnd w:id="25"/>
    </w:p>
    <w:p w14:paraId="04EDCE9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chapter is the literature review that analyses and critiques relevant studies associated with the research objectives. The literature review also provides the conceptual framework that informs the collection of data and analysis. This chapter critically analyses each text in relation to the objective of the study. This chapter is essential for putting the research objectives in context of previous studies as well as identifying the gaps of the study for further improvements.</w:t>
      </w:r>
    </w:p>
    <w:p w14:paraId="321A8EDB" w14:textId="77777777" w:rsidR="00DC4459" w:rsidRDefault="00077D4E">
      <w:pPr>
        <w:pStyle w:val="Heading"/>
      </w:pPr>
      <w:bookmarkStart w:id="26" w:name="_Toc73738999"/>
      <w:r>
        <w:rPr>
          <w:rFonts w:eastAsia="Arial Unicode MS" w:cs="Arial Unicode MS"/>
          <w:lang w:val="en-US"/>
        </w:rPr>
        <w:t>2.2. Conceptual Review</w:t>
      </w:r>
      <w:bookmarkEnd w:id="26"/>
    </w:p>
    <w:p w14:paraId="3FE73CE7" w14:textId="77777777" w:rsidR="00DC4459" w:rsidRDefault="00077D4E">
      <w:pPr>
        <w:pStyle w:val="Heading2"/>
      </w:pPr>
      <w:bookmarkStart w:id="27" w:name="_Toc73739000"/>
      <w:r>
        <w:rPr>
          <w:rFonts w:eastAsia="Arial Unicode MS" w:cs="Arial Unicode MS"/>
          <w:lang w:val="pt-PT"/>
        </w:rPr>
        <w:t>2.2.1. Corporate Governance</w:t>
      </w:r>
      <w:bookmarkEnd w:id="27"/>
    </w:p>
    <w:p w14:paraId="25183F7D"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Over the past decades, corporate governance has been important within the financial system and in other academic literature (Kim, 2015) for its ownership structure, economic success and commuter industry competition, geographic sense, and a wide-ranging discussion. Differences between administrators and stakeholders create a need for corporate governance. The successful compromise between the two parties cannot be used to address these conflicts of interest. Corporate governance is an important strategy for resolving conflict of interests by consensus used by business executives. </w:t>
      </w:r>
      <w:proofErr w:type="spellStart"/>
      <w:r>
        <w:rPr>
          <w:rFonts w:ascii="Times New Roman" w:hAnsi="Times New Roman"/>
          <w:sz w:val="24"/>
          <w:szCs w:val="24"/>
          <w:lang w:val="en-US"/>
        </w:rPr>
        <w:t>Organisational</w:t>
      </w:r>
      <w:proofErr w:type="spellEnd"/>
      <w:r>
        <w:rPr>
          <w:rFonts w:ascii="Times New Roman" w:hAnsi="Times New Roman"/>
          <w:sz w:val="24"/>
          <w:szCs w:val="24"/>
          <w:lang w:val="en-US"/>
        </w:rPr>
        <w:t xml:space="preserve"> governance provides a means for management to establish strategic priorities and corporate strategies. Corporate governance allows managers to </w:t>
      </w:r>
      <w:proofErr w:type="spellStart"/>
      <w:r>
        <w:rPr>
          <w:rFonts w:ascii="Times New Roman" w:hAnsi="Times New Roman"/>
          <w:sz w:val="24"/>
          <w:szCs w:val="24"/>
          <w:lang w:val="en-US"/>
        </w:rPr>
        <w:t>minimise</w:t>
      </w:r>
      <w:proofErr w:type="spellEnd"/>
      <w:r>
        <w:rPr>
          <w:rFonts w:ascii="Times New Roman" w:hAnsi="Times New Roman"/>
          <w:sz w:val="24"/>
          <w:szCs w:val="24"/>
          <w:lang w:val="en-US"/>
        </w:rPr>
        <w:t xml:space="preserve"> the market risk by effective internal and external regulation to a lower level (Kim, 2015). There is no common framework of corporate governance among researchers; however, management scientists have different concepts of corporate governance and link their particular aspects to the meaning of corporate governance (</w:t>
      </w:r>
      <w:proofErr w:type="spellStart"/>
      <w:r>
        <w:rPr>
          <w:rFonts w:ascii="Times New Roman" w:hAnsi="Times New Roman"/>
          <w:sz w:val="24"/>
          <w:szCs w:val="24"/>
          <w:lang w:val="en-US"/>
        </w:rPr>
        <w:t>Onakoya</w:t>
      </w:r>
      <w:proofErr w:type="spellEnd"/>
      <w:r>
        <w:rPr>
          <w:rFonts w:ascii="Times New Roman" w:hAnsi="Times New Roman"/>
          <w:sz w:val="24"/>
          <w:szCs w:val="24"/>
          <w:lang w:val="en-US"/>
        </w:rPr>
        <w:t xml:space="preserve">, et. al., 2014). However, two key collections of corporate governance concepts are </w:t>
      </w:r>
      <w:proofErr w:type="spellStart"/>
      <w:r>
        <w:rPr>
          <w:rFonts w:ascii="Times New Roman" w:hAnsi="Times New Roman"/>
          <w:sz w:val="24"/>
          <w:szCs w:val="24"/>
          <w:lang w:val="en-US"/>
        </w:rPr>
        <w:t>categorised</w:t>
      </w:r>
      <w:proofErr w:type="spellEnd"/>
      <w:r>
        <w:rPr>
          <w:rFonts w:ascii="Times New Roman" w:hAnsi="Times New Roman"/>
          <w:sz w:val="24"/>
          <w:szCs w:val="24"/>
          <w:lang w:val="en-US"/>
        </w:rPr>
        <w:t xml:space="preserve"> based on a literature analysis and current studies. </w:t>
      </w:r>
    </w:p>
    <w:p w14:paraId="2E486285"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first set of concepts for stakeholders and shareholders' financial systems, growth, productivity, success, and relationships are recognition of company </w:t>
      </w:r>
      <w:proofErr w:type="spellStart"/>
      <w:r>
        <w:rPr>
          <w:rFonts w:ascii="Times New Roman" w:hAnsi="Times New Roman"/>
          <w:sz w:val="24"/>
          <w:szCs w:val="24"/>
          <w:lang w:val="en-US"/>
        </w:rPr>
        <w:t>behaviour</w:t>
      </w:r>
      <w:proofErr w:type="spellEnd"/>
      <w:r>
        <w:rPr>
          <w:rFonts w:ascii="Times New Roman" w:hAnsi="Times New Roman"/>
          <w:sz w:val="24"/>
          <w:szCs w:val="24"/>
          <w:lang w:val="en-US"/>
        </w:rPr>
        <w:t xml:space="preserve"> trends. The second collection of concepts in the laws and regulations regulating, managing, tracking, and shaping market practices is the description of the normative context (</w:t>
      </w:r>
      <w:proofErr w:type="spellStart"/>
      <w:r>
        <w:rPr>
          <w:rFonts w:ascii="Times New Roman" w:hAnsi="Times New Roman"/>
          <w:sz w:val="24"/>
          <w:szCs w:val="24"/>
          <w:lang w:val="en-US"/>
        </w:rPr>
        <w:t>Onakoya</w:t>
      </w:r>
      <w:proofErr w:type="spellEnd"/>
      <w:r>
        <w:rPr>
          <w:rFonts w:ascii="Times New Roman" w:hAnsi="Times New Roman"/>
          <w:sz w:val="24"/>
          <w:szCs w:val="24"/>
          <w:lang w:val="en-US"/>
        </w:rPr>
        <w:t xml:space="preserve">, et. al., 2014). </w:t>
      </w:r>
      <w:r>
        <w:rPr>
          <w:rFonts w:ascii="Times New Roman" w:hAnsi="Times New Roman"/>
          <w:sz w:val="24"/>
          <w:szCs w:val="24"/>
          <w:lang w:val="en-US"/>
        </w:rPr>
        <w:lastRenderedPageBreak/>
        <w:t xml:space="preserve">Between the two sets, there is an overlap. In this same vein, different meanings of corporate governance, particularly those consistent with agency theory and stakeholder theory, are listed. Simple, sound business management will discourage shareholder ownership and fraud and reduce the risk of small investors (Kim, 2015). Corporate governance in businesses of minority populations could be better. Business governance can be categorized into two major categories: insider and outsider. The small and powerful shareholders in the insider system compete in the interest, and the rivalry between stable management and narrowly distributed shareholders is in the outsider system </w:t>
      </w:r>
      <w:bookmarkStart w:id="28" w:name="_Hlk70937970"/>
      <w:r>
        <w:rPr>
          <w:rFonts w:ascii="Times New Roman" w:hAnsi="Times New Roman"/>
          <w:sz w:val="24"/>
          <w:szCs w:val="24"/>
        </w:rPr>
        <w:t>(Ibrahim, et. al., 2017)</w:t>
      </w:r>
      <w:bookmarkEnd w:id="28"/>
      <w:r>
        <w:rPr>
          <w:rFonts w:ascii="Times New Roman" w:hAnsi="Times New Roman"/>
          <w:sz w:val="24"/>
          <w:szCs w:val="24"/>
          <w:lang w:val="en-US"/>
        </w:rPr>
        <w:t>. Corporate governance programs have two main goals: firstly, reputation management; secondly, guidelines to optimize the wealth generated by shareholders.</w:t>
      </w:r>
    </w:p>
    <w:p w14:paraId="29F8666E" w14:textId="77777777" w:rsidR="00DC4459" w:rsidRDefault="00077D4E">
      <w:pPr>
        <w:pStyle w:val="Heading2"/>
      </w:pPr>
      <w:bookmarkStart w:id="29" w:name="_Toc73739001"/>
      <w:r>
        <w:rPr>
          <w:rFonts w:eastAsia="Arial Unicode MS" w:cs="Arial Unicode MS"/>
          <w:lang w:val="en-US"/>
        </w:rPr>
        <w:t>2.2.2. Board Composition</w:t>
      </w:r>
      <w:bookmarkEnd w:id="29"/>
    </w:p>
    <w:p w14:paraId="397E42D5"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committee's membership consists of demographic boards, board members, selection commissions, board members, credentials and criteria, planning and assessment board members, and management. One of the main factors assessing the financial performance of corporations is the board's composition. Comparing the board size between failed and successful companies in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xml:space="preserve"> et. al., (2017), suggest that successful companies have larger boards. However, </w:t>
      </w:r>
      <w:proofErr w:type="spellStart"/>
      <w:r>
        <w:rPr>
          <w:rFonts w:ascii="Times New Roman" w:hAnsi="Times New Roman"/>
          <w:sz w:val="24"/>
          <w:szCs w:val="24"/>
          <w:lang w:val="en-US"/>
        </w:rPr>
        <w:t>Hermalin</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Weisbach</w:t>
      </w:r>
      <w:proofErr w:type="spellEnd"/>
      <w:r>
        <w:rPr>
          <w:rFonts w:ascii="Times New Roman" w:hAnsi="Times New Roman"/>
          <w:sz w:val="24"/>
          <w:szCs w:val="24"/>
          <w:lang w:val="en-US"/>
        </w:rPr>
        <w:t xml:space="preserve"> (2014) stated to have no relevant relationships to the composition of the board and results. Group size depends on the type of organization, the asset level, and the culture of the management team.  How big is the board of directors' optimal size? There are many perspectives on the optimal board level, both academic and technical. However, it is more critical than ever that boards review their scale to decide the correct number to conduct efficient, accountable company governance in an environment of increased regulation and the potential for further government control (Ibrahim et. al., 2017).</w:t>
      </w:r>
    </w:p>
    <w:p w14:paraId="3BD6BA0C" w14:textId="77777777" w:rsidR="00DC4459" w:rsidRDefault="00077D4E">
      <w:pPr>
        <w:pStyle w:val="Heading2"/>
      </w:pPr>
      <w:bookmarkStart w:id="30" w:name="_Toc73739002"/>
      <w:r>
        <w:rPr>
          <w:rFonts w:eastAsia="Arial Unicode MS" w:cs="Arial Unicode MS"/>
          <w:lang w:val="en-US"/>
        </w:rPr>
        <w:t>2.2.3. Board Size</w:t>
      </w:r>
      <w:bookmarkEnd w:id="30"/>
      <w:r>
        <w:rPr>
          <w:rFonts w:eastAsia="Arial Unicode MS" w:cs="Arial Unicode MS"/>
          <w:lang w:val="en-US"/>
        </w:rPr>
        <w:t xml:space="preserve"> </w:t>
      </w:r>
    </w:p>
    <w:p w14:paraId="37AC41F1"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number of Board members influences the management power of the board. A smaller selection of professional administrators will have a broader set of management expectations. Small boards are often thought to monitor the actions of top management, making oversight of larger boards more difficult for </w:t>
      </w:r>
      <w:bookmarkStart w:id="31" w:name="_Hlk73431321"/>
      <w:r>
        <w:rPr>
          <w:rFonts w:ascii="Times New Roman" w:hAnsi="Times New Roman"/>
          <w:sz w:val="24"/>
          <w:szCs w:val="24"/>
          <w:lang w:val="en-US"/>
        </w:rPr>
        <w:t>CEOs</w:t>
      </w:r>
      <w:bookmarkEnd w:id="31"/>
      <w:r>
        <w:rPr>
          <w:rFonts w:ascii="Times New Roman" w:hAnsi="Times New Roman"/>
          <w:sz w:val="24"/>
          <w:szCs w:val="24"/>
          <w:lang w:val="en-US"/>
        </w:rPr>
        <w:t xml:space="preserve"> (Guest, 2019). The CEO also suggests that it could be challenging to reach an agreement on policies that would be harmful to the interest of shareholders. Smaller boards could, however, be more successful, as they could decide strategically timely. </w:t>
      </w:r>
    </w:p>
    <w:p w14:paraId="666A7D6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 xml:space="preserve">They also noticed that smaller boards and external inclusion are conducive to an involved board with a strong degree of strategic wording participation. A decreased number of managers suggests a high level of cooperation and contact between managers.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xml:space="preserve"> et. al., (2017) concluded that smaller boards might be managed and play a control role more frequently, while larger boards do not work efficiently because management leaves the board completely loose. </w:t>
      </w:r>
    </w:p>
    <w:p w14:paraId="1E5919B5" w14:textId="77777777" w:rsidR="00DC4459" w:rsidRDefault="00077D4E">
      <w:pPr>
        <w:pStyle w:val="Heading2"/>
      </w:pPr>
      <w:bookmarkStart w:id="32" w:name="_Toc73739003"/>
      <w:r>
        <w:rPr>
          <w:rFonts w:eastAsia="Arial Unicode MS" w:cs="Arial Unicode MS"/>
          <w:lang w:val="en-US"/>
        </w:rPr>
        <w:t>2.2.4. CEO Duality</w:t>
      </w:r>
      <w:bookmarkEnd w:id="32"/>
      <w:r>
        <w:rPr>
          <w:rFonts w:eastAsia="Arial Unicode MS" w:cs="Arial Unicode MS"/>
          <w:lang w:val="en-US"/>
        </w:rPr>
        <w:t xml:space="preserve"> </w:t>
      </w:r>
    </w:p>
    <w:p w14:paraId="5B3BE6F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Agency theory assumes that CEO duality will improve the CEO's ability not to support shareholder preferences but will usurp the right of other executives, thus producing a weak board of directors. The consequence is that most CEOs cannot or may not wish to stress the exercise of CEO success and procedures. This could be attributed to the convergence of decision-making with decision-making (</w:t>
      </w:r>
      <w:bookmarkStart w:id="33" w:name="_Hlk70938531"/>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w:t>
      </w:r>
      <w:bookmarkEnd w:id="33"/>
      <w:r>
        <w:rPr>
          <w:rFonts w:ascii="Times New Roman" w:hAnsi="Times New Roman"/>
          <w:sz w:val="24"/>
          <w:szCs w:val="24"/>
          <w:lang w:val="en-US"/>
        </w:rPr>
        <w:t>). This would have a detrimental impact on business results in merging CEO and Chairman Roles. The theory of management also indicates that CEO duality would have a positive effect on firm results. Therefore, CEO duality can allow a solid and transparent leadership process and be an efficient way of maintaining the company's profitability and delivering success (</w:t>
      </w:r>
      <w:proofErr w:type="spellStart"/>
      <w:r>
        <w:rPr>
          <w:rFonts w:ascii="Times New Roman" w:hAnsi="Times New Roman"/>
          <w:sz w:val="24"/>
          <w:szCs w:val="24"/>
          <w:lang w:val="en-US"/>
        </w:rPr>
        <w:t>Stoeberl</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Sherony</w:t>
      </w:r>
      <w:proofErr w:type="spellEnd"/>
      <w:r>
        <w:rPr>
          <w:rFonts w:ascii="Times New Roman" w:hAnsi="Times New Roman"/>
          <w:sz w:val="24"/>
          <w:szCs w:val="24"/>
          <w:lang w:val="en-US"/>
        </w:rPr>
        <w:t>, 2017, Lam and Lee (2018). Managers are more self-</w:t>
      </w:r>
      <w:proofErr w:type="spellStart"/>
      <w:r>
        <w:rPr>
          <w:rFonts w:ascii="Times New Roman" w:hAnsi="Times New Roman"/>
          <w:sz w:val="24"/>
          <w:szCs w:val="24"/>
          <w:lang w:val="en-US"/>
        </w:rPr>
        <w:t>realising</w:t>
      </w:r>
      <w:proofErr w:type="spellEnd"/>
      <w:r>
        <w:rPr>
          <w:rFonts w:ascii="Times New Roman" w:hAnsi="Times New Roman"/>
          <w:sz w:val="24"/>
          <w:szCs w:val="24"/>
          <w:lang w:val="en-US"/>
        </w:rPr>
        <w:t xml:space="preserve"> than opportunistic. Furthermore, administrators would not sacrifice their jobs to behave against clients' wishes to improve their work satisfaction and prestige. Thus, CEO duality is supposed to gain company efficiency according to stewardship theory.</w:t>
      </w:r>
    </w:p>
    <w:p w14:paraId="2418134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However, the agency's key trait demands that the rights of shareholders be secured by the separation of the position of chairman and CEO. The point is that the CEO, who is also a board member, would be able to make decisions on its own rights and on behalf of shareholders with a consolidated power base. The unified arrangement was stated by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xml:space="preserve"> (2015), to be a wrong way of managing one of the firm's most important power relationships. The study revealed that the management system is an endogenous result that can </w:t>
      </w:r>
      <w:proofErr w:type="spellStart"/>
      <w:r>
        <w:rPr>
          <w:rFonts w:ascii="Times New Roman" w:hAnsi="Times New Roman"/>
          <w:sz w:val="24"/>
          <w:szCs w:val="24"/>
          <w:lang w:val="en-US"/>
        </w:rPr>
        <w:t>optimise</w:t>
      </w:r>
      <w:proofErr w:type="spellEnd"/>
      <w:r>
        <w:rPr>
          <w:rFonts w:ascii="Times New Roman" w:hAnsi="Times New Roman"/>
          <w:sz w:val="24"/>
          <w:szCs w:val="24"/>
          <w:lang w:val="en-US"/>
        </w:rPr>
        <w:t xml:space="preserve"> the business's profit. They proposed that the governance process is affected endogenously by the sense of management, board characteristics, and market results. </w:t>
      </w:r>
    </w:p>
    <w:p w14:paraId="4AA96A0E" w14:textId="77777777" w:rsidR="00DC4459" w:rsidRDefault="00077D4E">
      <w:pPr>
        <w:pStyle w:val="Body"/>
        <w:keepNext/>
        <w:keepLines/>
        <w:spacing w:before="240" w:line="360" w:lineRule="auto"/>
        <w:jc w:val="both"/>
        <w:outlineLvl w:val="0"/>
        <w:rPr>
          <w:rStyle w:val="Heading2Char"/>
        </w:rPr>
      </w:pPr>
      <w:r>
        <w:rPr>
          <w:rFonts w:ascii="Times New Roman" w:hAnsi="Times New Roman"/>
          <w:b/>
          <w:bCs/>
          <w:sz w:val="24"/>
          <w:szCs w:val="24"/>
        </w:rPr>
        <w:t>2</w:t>
      </w:r>
      <w:r>
        <w:rPr>
          <w:rStyle w:val="Heading2Char"/>
        </w:rPr>
        <w:t>.2.5. Audit Committee Composition</w:t>
      </w:r>
    </w:p>
    <w:p w14:paraId="6056894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chairperson of the audit committee, "The audit committee is practically a supervisory body, responsible for internal investigations and financial reporting," according to the </w:t>
      </w:r>
      <w:bookmarkStart w:id="34" w:name="_Hlk73431348"/>
      <w:r>
        <w:rPr>
          <w:rFonts w:ascii="Times New Roman" w:hAnsi="Times New Roman"/>
          <w:sz w:val="24"/>
          <w:szCs w:val="24"/>
          <w:lang w:val="fr-FR"/>
        </w:rPr>
        <w:t xml:space="preserve">FTSE </w:t>
      </w:r>
      <w:bookmarkEnd w:id="34"/>
      <w:r>
        <w:rPr>
          <w:rFonts w:ascii="Times New Roman" w:hAnsi="Times New Roman"/>
          <w:sz w:val="24"/>
          <w:szCs w:val="24"/>
          <w:lang w:val="en-US"/>
        </w:rPr>
        <w:t>100 Audit Committee (</w:t>
      </w:r>
      <w:bookmarkStart w:id="35" w:name="_Hlk73431365"/>
      <w:r>
        <w:rPr>
          <w:rFonts w:ascii="Times New Roman" w:hAnsi="Times New Roman"/>
          <w:sz w:val="24"/>
          <w:szCs w:val="24"/>
          <w:lang w:val="de-DE"/>
        </w:rPr>
        <w:t>ACI</w:t>
      </w:r>
      <w:bookmarkEnd w:id="35"/>
      <w:r>
        <w:rPr>
          <w:rFonts w:ascii="Times New Roman" w:hAnsi="Times New Roman"/>
          <w:sz w:val="24"/>
          <w:szCs w:val="24"/>
          <w:lang w:val="en-US"/>
        </w:rPr>
        <w:t xml:space="preserve">; 2013). The same as set out in Title 1 of Public Law no. 107-204, </w:t>
      </w:r>
      <w:r>
        <w:rPr>
          <w:rFonts w:ascii="Times New Roman" w:hAnsi="Times New Roman"/>
          <w:sz w:val="24"/>
          <w:szCs w:val="24"/>
          <w:lang w:val="en-US"/>
        </w:rPr>
        <w:lastRenderedPageBreak/>
        <w:t xml:space="preserve">which says: "Audit Committee shall be a committee (or similar body) set up by and within the boards of directors of the issuer with a view to the oversight of the issuer's accounting and financial reporting processes and the audit of issuer's accounts. Therefore, the audit committee is formed by and under the commissioners 'board's authority </w:t>
      </w:r>
    </w:p>
    <w:p w14:paraId="72DE5697" w14:textId="77777777" w:rsidR="00DC4459" w:rsidRDefault="00077D4E">
      <w:pPr>
        <w:pStyle w:val="Heading2"/>
      </w:pPr>
      <w:bookmarkStart w:id="36" w:name="_Toc73739004"/>
      <w:r>
        <w:rPr>
          <w:rFonts w:eastAsia="Arial Unicode MS" w:cs="Arial Unicode MS"/>
          <w:lang w:val="en-US"/>
        </w:rPr>
        <w:t>2.2.6. Adherence to Corporate Governance Codes</w:t>
      </w:r>
      <w:bookmarkEnd w:id="36"/>
    </w:p>
    <w:p w14:paraId="56ACD637"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Governance systems in developing economies have gone through a series of reforms</w:t>
      </w:r>
      <w:bookmarkStart w:id="37" w:name="_Hlk70938267"/>
      <w:r>
        <w:rPr>
          <w:rFonts w:ascii="Times New Roman" w:hAnsi="Times New Roman"/>
          <w:sz w:val="24"/>
          <w:szCs w:val="24"/>
        </w:rPr>
        <w:t>.  Al-</w:t>
      </w:r>
      <w:proofErr w:type="spellStart"/>
      <w:r>
        <w:rPr>
          <w:rFonts w:ascii="Times New Roman" w:hAnsi="Times New Roman"/>
          <w:sz w:val="24"/>
          <w:szCs w:val="24"/>
        </w:rPr>
        <w:t>Janadi</w:t>
      </w:r>
      <w:proofErr w:type="spellEnd"/>
      <w:r>
        <w:rPr>
          <w:rFonts w:ascii="Times New Roman" w:hAnsi="Times New Roman"/>
          <w:sz w:val="24"/>
          <w:szCs w:val="24"/>
        </w:rPr>
        <w:t xml:space="preserve"> et al. (2013)</w:t>
      </w:r>
      <w:bookmarkEnd w:id="37"/>
      <w:r>
        <w:rPr>
          <w:rFonts w:ascii="Times New Roman" w:hAnsi="Times New Roman"/>
          <w:sz w:val="24"/>
          <w:szCs w:val="24"/>
          <w:lang w:val="en-US"/>
        </w:rPr>
        <w:t xml:space="preserve">, states the governance structure of Middle Eastern and Northern Africa has largely been influenced by international governance standards, and reforms are being undertaken to demonstrate good governance practices. This denotes that legislation varies from country to country. In this case, adherence to corporate governance codes varies from business to business. Adherence to Information disclosure, especially as one of the codes of corporate governance, can be in different forms, namely, non-financial and financial information, information relating to management boards, management discussions and analysis, and future projections for the business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further note that voluntary disclosure as a public externality that forms part of the monitoring and control process, protection of stakeholder interest, and reducing agency costs causing asymmetric information between agents and principals of the business was part of corporate governance principles; however, many companies do not adhere to this</w:t>
      </w:r>
    </w:p>
    <w:p w14:paraId="3FA2E375"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In light of this, codes are vital in governance practices. The theories of corporate governance have served as the basis for codes in the firm; most importantly is the agency theory. Many of these theories have varying arguments. But they all have it in common that adherence to codes is necessary for users of information as the investors, stakeholders, creditors, and government in their decision-making process</w:t>
      </w:r>
      <w:r>
        <w:rPr>
          <w:sz w:val="24"/>
          <w:szCs w:val="24"/>
        </w:rPr>
        <w:t xml:space="preserve"> (</w:t>
      </w:r>
      <w:r>
        <w:rPr>
          <w:rFonts w:ascii="Times New Roman" w:hAnsi="Times New Roman"/>
          <w:sz w:val="24"/>
          <w:szCs w:val="24"/>
          <w:lang w:val="en-US"/>
        </w:rPr>
        <w:t xml:space="preserve">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Most corporations aspire to increase firm value for stakeholders through information disclosure and supplementary information at the end of the year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2017).  Studies undertaken in codes such as; governance mechanisms, the structure of ownership, or corporate governance characteristics have all been done in developed climes. Only a handful has looked at the level of adherence to these codes.</w:t>
      </w:r>
    </w:p>
    <w:p w14:paraId="66FCD36C"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Also, a large amount of literature has been written to evaluate variables that impact the adherence levels of these codes. Variables such as board composition, CEO duality, the board size, audit firm and audit committee, ownership structure are amongst the factors proposed. </w:t>
      </w:r>
      <w:r>
        <w:rPr>
          <w:rFonts w:ascii="Times New Roman" w:hAnsi="Times New Roman"/>
          <w:sz w:val="24"/>
          <w:szCs w:val="24"/>
          <w:lang w:val="en-US"/>
        </w:rPr>
        <w:lastRenderedPageBreak/>
        <w:t>However, scholars have conflicting opinions on the significance of board size as a corporate governance characteristic. Al-</w:t>
      </w:r>
      <w:proofErr w:type="spellStart"/>
      <w:r>
        <w:rPr>
          <w:rFonts w:ascii="Times New Roman" w:hAnsi="Times New Roman"/>
          <w:sz w:val="24"/>
          <w:szCs w:val="24"/>
          <w:lang w:val="en-US"/>
        </w:rPr>
        <w:t>Janadi</w:t>
      </w:r>
      <w:proofErr w:type="spellEnd"/>
      <w:r>
        <w:rPr>
          <w:rFonts w:ascii="Times New Roman" w:hAnsi="Times New Roman"/>
          <w:sz w:val="24"/>
          <w:szCs w:val="24"/>
          <w:lang w:val="en-US"/>
        </w:rPr>
        <w:t xml:space="preserve"> et al (2013), states that board size has significant negative or positive impact on the other factors. The role of the CEO has remained debatable for a long while with some advocating for the distinction in the positions of chairman and CEO. In contrast, others will </w:t>
      </w:r>
      <w:proofErr w:type="spellStart"/>
      <w:r>
        <w:rPr>
          <w:rFonts w:ascii="Times New Roman" w:hAnsi="Times New Roman"/>
          <w:sz w:val="24"/>
          <w:szCs w:val="24"/>
          <w:lang w:val="en-US"/>
        </w:rPr>
        <w:t>favour</w:t>
      </w:r>
      <w:proofErr w:type="spellEnd"/>
      <w:r>
        <w:rPr>
          <w:rFonts w:ascii="Times New Roman" w:hAnsi="Times New Roman"/>
          <w:sz w:val="24"/>
          <w:szCs w:val="24"/>
          <w:lang w:val="en-US"/>
        </w:rPr>
        <w:t xml:space="preserve"> the position being held by one person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w:t>
      </w:r>
    </w:p>
    <w:p w14:paraId="0C47C0DC" w14:textId="77777777" w:rsidR="00DC4459" w:rsidRDefault="00077D4E">
      <w:pPr>
        <w:pStyle w:val="Heading2"/>
      </w:pPr>
      <w:bookmarkStart w:id="38" w:name="_Toc73739005"/>
      <w:r>
        <w:rPr>
          <w:rFonts w:eastAsia="Arial Unicode MS" w:cs="Arial Unicode MS"/>
          <w:lang w:val="en-US"/>
        </w:rPr>
        <w:t>2.2.7. Corporate Governance: Agency Problem</w:t>
      </w:r>
      <w:bookmarkEnd w:id="38"/>
      <w:r>
        <w:rPr>
          <w:rFonts w:eastAsia="Arial Unicode MS" w:cs="Arial Unicode MS"/>
          <w:lang w:val="en-US"/>
        </w:rPr>
        <w:t xml:space="preserve"> </w:t>
      </w:r>
    </w:p>
    <w:p w14:paraId="37BE7D9B"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Corporate governance codes are enacted to provide solutions to three sets of problems inherent in organizational structure: conflicts between the agents and the principals; conflicts arising between majority shareholders and minority shareholders; and conflicts between the controllers of the company (whether managers or majority shareholders) and non-shareholder stakeholders. Like most corporations, the first, second sets of conflicts do not occur simultaneously and are mutually exclusive events. The occurrence of one is dependent on the ownership structure of the business</w:t>
      </w:r>
      <w:r>
        <w:rPr>
          <w:sz w:val="24"/>
          <w:szCs w:val="24"/>
        </w:rPr>
        <w:t xml:space="preserve">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w:t>
      </w:r>
    </w:p>
    <w:p w14:paraId="21E57A4D"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Corporations with dispersed ownership will most likely experience conflicting interests of that of shareholders as a class. Regardless of the rights of shareholders, the lack of powers for them to act in practice poses a challenge for principals to impose their rights or control over the company's management board.  This connotes those managers may pursue activities that do not support shareholders' interest, including the interest of managers themselves, i.e., the agency problem</w:t>
      </w:r>
      <w:r>
        <w:rPr>
          <w:sz w:val="24"/>
          <w:szCs w:val="24"/>
        </w:rPr>
        <w:t xml:space="preserve"> (</w:t>
      </w:r>
      <w:bookmarkStart w:id="39" w:name="_Hlk70938839"/>
      <w:proofErr w:type="spellStart"/>
      <w:r>
        <w:rPr>
          <w:rFonts w:ascii="Times New Roman" w:hAnsi="Times New Roman"/>
          <w:sz w:val="24"/>
          <w:szCs w:val="24"/>
          <w:lang w:val="fr-FR"/>
        </w:rPr>
        <w:t>Chaganti</w:t>
      </w:r>
      <w:proofErr w:type="spellEnd"/>
      <w:r>
        <w:rPr>
          <w:rFonts w:ascii="Times New Roman" w:hAnsi="Times New Roman"/>
          <w:sz w:val="24"/>
          <w:szCs w:val="24"/>
          <w:lang w:val="fr-FR"/>
        </w:rPr>
        <w:t xml:space="preserve"> et, al., 2017</w:t>
      </w:r>
      <w:bookmarkEnd w:id="39"/>
      <w:r>
        <w:rPr>
          <w:rFonts w:ascii="Times New Roman" w:hAnsi="Times New Roman"/>
          <w:sz w:val="24"/>
          <w:szCs w:val="24"/>
          <w:lang w:val="en-US"/>
        </w:rPr>
        <w:t>). The challenge for corporate governance is finding a means of eradicating the agency cost of a diversified ownership structure. The agency problem of diverse ownership has been a cause of concern for any corporation and has been on for a long while (</w:t>
      </w:r>
      <w:bookmarkStart w:id="40" w:name="_Hlk70939058"/>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w:t>
      </w:r>
      <w:bookmarkEnd w:id="40"/>
      <w:r>
        <w:rPr>
          <w:rFonts w:ascii="Times New Roman" w:hAnsi="Times New Roman"/>
          <w:sz w:val="24"/>
          <w:szCs w:val="24"/>
        </w:rPr>
        <w:t>).</w:t>
      </w:r>
    </w:p>
    <w:p w14:paraId="7B91B163"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One way to solve the agency problem is by adhering to corporate governance codes, codes especially on disclosure of financial and non-financial elements, leading to greater effectiveness, transparency, and accountability. Shareholders (owners of the company) will be carefully able to monitor managers' actions, thus identifying breaches or nonadherence to governance codes (Donnelly and Mulcahy, 2008).</w:t>
      </w:r>
    </w:p>
    <w:p w14:paraId="1F4F25DE"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Managers can devise ways to exploit loopholes in the firm, especially with information asymmetry, to go against principals' interests. One way of solving this is reducing information asymmetry between agents and owners. Information asymmetry refers to the condition where one party in a contract has more information than the other, leading to a disconnect in </w:t>
      </w:r>
      <w:r>
        <w:rPr>
          <w:rFonts w:ascii="Times New Roman" w:hAnsi="Times New Roman"/>
          <w:sz w:val="24"/>
          <w:szCs w:val="24"/>
          <w:lang w:val="en-US"/>
        </w:rPr>
        <w:lastRenderedPageBreak/>
        <w:t>operations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In corporate governance information asymmetry is responsible for most failures and the inability of shareholders to keep "a close eye" on managers. It also results in ineffective monitoring,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and oversight by shareholders to managers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xml:space="preserve">, et. al., 2017). </w:t>
      </w:r>
    </w:p>
    <w:p w14:paraId="3A6C75B6"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study considers the categories of management discloses in their annual report and financial statement. Disclosure can be financial and non-financial disclosure. (Donnelly and Mulcahy, 2008) asserts that voluntary disclosure will bring about superior management-investor communications but do not tackle information asymmetry problems. The study of codes, especially voluntary disclosure, is vital to understanding shareholder communication and the efficiency of corporate governance in companies. </w:t>
      </w:r>
    </w:p>
    <w:p w14:paraId="6DECAC91" w14:textId="77777777" w:rsidR="00DC4459" w:rsidRDefault="00077D4E">
      <w:pPr>
        <w:pStyle w:val="Heading2"/>
      </w:pPr>
      <w:bookmarkStart w:id="41" w:name="_Toc73739006"/>
      <w:r>
        <w:rPr>
          <w:rFonts w:eastAsia="Arial Unicode MS" w:cs="Arial Unicode MS"/>
          <w:lang w:val="en-US"/>
        </w:rPr>
        <w:t>2.2.8. Rationality of Studying Corporate Governance Codes</w:t>
      </w:r>
      <w:bookmarkEnd w:id="41"/>
      <w:r>
        <w:rPr>
          <w:rFonts w:eastAsia="Arial Unicode MS" w:cs="Arial Unicode MS"/>
          <w:lang w:val="en-US"/>
        </w:rPr>
        <w:t xml:space="preserve"> </w:t>
      </w:r>
    </w:p>
    <w:p w14:paraId="2BA534A2"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To establish corporate governance trends suitable to developing and developed economies, it is iterative to study the corporate ownership models of various selected economies (US, UK, Japan, and Germany). The business model of that of the US and the UK, with retail investors and private investors as a key subscriber in US corporate shareholding, is very dispersed while major corporations of the UK are concentrated ownership. Ownership concentration in Germany and Japan is strong, with that of German firms often referred to as consolidated ownership, with majority shareholders having the bulk of decision-making (Deb and Dube, 2017). </w:t>
      </w:r>
    </w:p>
    <w:p w14:paraId="7BE0EB5D"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growth of </w:t>
      </w:r>
      <w:proofErr w:type="spellStart"/>
      <w:r>
        <w:rPr>
          <w:rFonts w:ascii="Times New Roman" w:hAnsi="Times New Roman"/>
          <w:sz w:val="24"/>
          <w:szCs w:val="24"/>
          <w:lang w:val="en-US"/>
        </w:rPr>
        <w:t>Konzern</w:t>
      </w:r>
      <w:proofErr w:type="spellEnd"/>
      <w:r>
        <w:rPr>
          <w:rFonts w:ascii="Times New Roman" w:hAnsi="Times New Roman"/>
          <w:sz w:val="24"/>
          <w:szCs w:val="24"/>
          <w:lang w:val="en-US"/>
        </w:rPr>
        <w:t>, a German word for a group of companies, has significantly influenced the type of ownership model in large corporations of the region. The collapse of Zaibatsu companies, a conglomerate of industrial and financial firms in Japan, gave rise to the Keiretsu Companies, a group of companies with interlocking business relationships as the model for ownership structure in Japan. The Keiretsu companies are individually owned clusters of businesses with decision-making in the hands of majority stakeholders. The Keiretsu companies consisted of banks, manufacturers, suppliers, and supply chain partners. There was less asymmetric information among member companies as they are interrelated through cross-holdings of ownership. Since 1950, Keiretsu has played a critical role in Japan's business and corporate governance (Deb and Dube, 2017). The major financial institutions are responsible for disciplining and reforming the management of underperforming businesses. It was Japan's position in the world's dynamic business market.</w:t>
      </w:r>
    </w:p>
    <w:p w14:paraId="7EB237AE" w14:textId="77777777" w:rsidR="00DC4459" w:rsidRDefault="00077D4E">
      <w:pPr>
        <w:pStyle w:val="Heading2"/>
      </w:pPr>
      <w:bookmarkStart w:id="42" w:name="_Toc73739007"/>
      <w:r>
        <w:rPr>
          <w:rFonts w:eastAsia="Arial Unicode MS" w:cs="Arial Unicode MS"/>
          <w:lang w:val="en-US"/>
        </w:rPr>
        <w:lastRenderedPageBreak/>
        <w:t>2.2.9. Comply-Explain (CEP) Approach to Corporate Governance</w:t>
      </w:r>
      <w:bookmarkEnd w:id="42"/>
    </w:p>
    <w:p w14:paraId="160F19C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CEP originated from the UK's 1992 Cadbury code, a central feature of this approach is its flexibility that provides freedom for companies to comply with particular corporate governance codes in relation to their particular situation, </w:t>
      </w:r>
      <w:proofErr w:type="spellStart"/>
      <w:r>
        <w:rPr>
          <w:rFonts w:ascii="Times New Roman" w:hAnsi="Times New Roman"/>
          <w:sz w:val="24"/>
          <w:szCs w:val="24"/>
          <w:lang w:val="en-US"/>
        </w:rPr>
        <w:t>organisation</w:t>
      </w:r>
      <w:proofErr w:type="spellEnd"/>
      <w:r>
        <w:rPr>
          <w:rFonts w:ascii="Times New Roman" w:hAnsi="Times New Roman"/>
          <w:sz w:val="24"/>
          <w:szCs w:val="24"/>
          <w:lang w:val="en-US"/>
        </w:rPr>
        <w:t>, or modes of operations.</w:t>
      </w:r>
    </w:p>
    <w:p w14:paraId="5C5DB69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According to Guest (2019), this form of corporate governance discourages box-ticking while encouraging the spirit of code. The CEP approach towards corporate governance is predominantly adopted by countries that follow the British government or economic systems (Schwartz-Ziv, 2017). </w:t>
      </w:r>
      <w:proofErr w:type="spellStart"/>
      <w:r>
        <w:rPr>
          <w:rFonts w:ascii="Times New Roman" w:hAnsi="Times New Roman"/>
          <w:sz w:val="24"/>
          <w:szCs w:val="24"/>
          <w:lang w:val="en-US"/>
        </w:rPr>
        <w:t>Morck</w:t>
      </w:r>
      <w:proofErr w:type="spellEnd"/>
      <w:r>
        <w:rPr>
          <w:rFonts w:ascii="Times New Roman" w:hAnsi="Times New Roman"/>
          <w:sz w:val="24"/>
          <w:szCs w:val="24"/>
          <w:lang w:val="en-US"/>
        </w:rPr>
        <w:t xml:space="preserve"> (2005), research on corporate governance worldwide, notes that the CEP is mostly practiced in smaller countries such as Rome, France, Ireland, etc. A distinguishing factor of the </w:t>
      </w:r>
      <w:bookmarkStart w:id="43" w:name="_Hlk73431388"/>
      <w:r>
        <w:rPr>
          <w:rFonts w:ascii="Times New Roman" w:hAnsi="Times New Roman"/>
          <w:sz w:val="24"/>
          <w:szCs w:val="24"/>
        </w:rPr>
        <w:t>CEP</w:t>
      </w:r>
      <w:bookmarkEnd w:id="43"/>
      <w:r>
        <w:rPr>
          <w:rFonts w:ascii="Times New Roman" w:hAnsi="Times New Roman"/>
          <w:sz w:val="24"/>
          <w:szCs w:val="24"/>
          <w:lang w:val="en-US"/>
        </w:rPr>
        <w:t xml:space="preserve"> approach is that companies are not expected to follow all the principles of corporate governance; they were given the liberty to choose which codes to adhere/not to adhere to. However, they were mandated to explain why they may not be complying with certain corporate governance codes and principles. </w:t>
      </w:r>
      <w:proofErr w:type="spellStart"/>
      <w:r>
        <w:rPr>
          <w:rFonts w:ascii="Times New Roman" w:hAnsi="Times New Roman"/>
          <w:sz w:val="24"/>
          <w:szCs w:val="24"/>
          <w:lang w:val="en-US"/>
        </w:rPr>
        <w:t>Baixauli</w:t>
      </w:r>
      <w:proofErr w:type="spellEnd"/>
      <w:r>
        <w:rPr>
          <w:rFonts w:ascii="Times New Roman" w:hAnsi="Times New Roman"/>
          <w:sz w:val="24"/>
          <w:szCs w:val="24"/>
          <w:lang w:val="en-US"/>
        </w:rPr>
        <w:t xml:space="preserve">, et. al., (2015), explain that this was essential as most times, codes may not be compatible with </w:t>
      </w:r>
      <w:proofErr w:type="spellStart"/>
      <w:r>
        <w:rPr>
          <w:rFonts w:ascii="Times New Roman" w:hAnsi="Times New Roman"/>
          <w:sz w:val="24"/>
          <w:szCs w:val="24"/>
          <w:lang w:val="en-US"/>
        </w:rPr>
        <w:t>organisation</w:t>
      </w:r>
      <w:proofErr w:type="spellEnd"/>
      <w:r>
        <w:rPr>
          <w:rFonts w:ascii="Times New Roman" w:hAnsi="Times New Roman"/>
          <w:sz w:val="24"/>
          <w:szCs w:val="24"/>
          <w:lang w:val="en-US"/>
        </w:rPr>
        <w:t xml:space="preserve"> size, purpose, operations, and characteristics. The codes, therefore, provided opportunities for firms to deviate; however, they needed to explain reasons for their deviation. </w:t>
      </w:r>
    </w:p>
    <w:p w14:paraId="1232DF5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According to Garcia-</w:t>
      </w:r>
      <w:proofErr w:type="spellStart"/>
      <w:r>
        <w:rPr>
          <w:rFonts w:ascii="Times New Roman" w:hAnsi="Times New Roman"/>
          <w:sz w:val="24"/>
          <w:szCs w:val="24"/>
          <w:lang w:val="en-US"/>
        </w:rPr>
        <w:t>Meca</w:t>
      </w:r>
      <w:proofErr w:type="spellEnd"/>
      <w:r>
        <w:rPr>
          <w:rFonts w:ascii="Times New Roman" w:hAnsi="Times New Roman"/>
          <w:sz w:val="24"/>
          <w:szCs w:val="24"/>
          <w:lang w:val="en-US"/>
        </w:rPr>
        <w:t xml:space="preserve">, Martinez, and Sanchez (2015), despite the relative flexibility and freedom of this approach, it gives special room for accommodating the differences of </w:t>
      </w:r>
      <w:proofErr w:type="spellStart"/>
      <w:r>
        <w:rPr>
          <w:rFonts w:ascii="Times New Roman" w:hAnsi="Times New Roman"/>
          <w:sz w:val="24"/>
          <w:szCs w:val="24"/>
          <w:lang w:val="en-US"/>
        </w:rPr>
        <w:t>organisations</w:t>
      </w:r>
      <w:proofErr w:type="spellEnd"/>
      <w:r>
        <w:rPr>
          <w:rFonts w:ascii="Times New Roman" w:hAnsi="Times New Roman"/>
          <w:sz w:val="24"/>
          <w:szCs w:val="24"/>
          <w:lang w:val="en-US"/>
        </w:rPr>
        <w:t>, leading to its widespread acceptability amongst investors, companies, and regulators across the world. Several critics have challenged the approach, noting that it led to inefficiency. Thus, the approach is not suitable for modern corporate governance practices (</w:t>
      </w:r>
      <w:proofErr w:type="spellStart"/>
      <w:r>
        <w:rPr>
          <w:rFonts w:ascii="Times New Roman" w:hAnsi="Times New Roman"/>
          <w:sz w:val="24"/>
          <w:szCs w:val="24"/>
          <w:lang w:val="en-US"/>
        </w:rPr>
        <w:t>Mullineux</w:t>
      </w:r>
      <w:proofErr w:type="spellEnd"/>
      <w:r>
        <w:rPr>
          <w:rFonts w:ascii="Times New Roman" w:hAnsi="Times New Roman"/>
          <w:sz w:val="24"/>
          <w:szCs w:val="24"/>
          <w:lang w:val="en-US"/>
        </w:rPr>
        <w:t xml:space="preserve">, 2010).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xml:space="preserve"> (2015); </w:t>
      </w:r>
      <w:proofErr w:type="spellStart"/>
      <w:r>
        <w:rPr>
          <w:rFonts w:ascii="Times New Roman" w:hAnsi="Times New Roman"/>
          <w:sz w:val="24"/>
          <w:szCs w:val="24"/>
          <w:lang w:val="en-US"/>
        </w:rPr>
        <w:t>Kapkiyai</w:t>
      </w:r>
      <w:proofErr w:type="spellEnd"/>
      <w:r>
        <w:rPr>
          <w:rFonts w:ascii="Times New Roman" w:hAnsi="Times New Roman"/>
          <w:sz w:val="24"/>
          <w:szCs w:val="24"/>
          <w:lang w:val="en-US"/>
        </w:rPr>
        <w:t xml:space="preserve">, et. al., (2020), note that the CEP approach created spaces for companies to derelict their obligations and not offer sufficient explanations for their actions. Similarly,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explain that the feature that accorded companies liberty to explain further led to superficial and unsubstantial reasons for disclosures and departures from code prescriptions. This is authenticated by </w:t>
      </w:r>
      <w:proofErr w:type="spellStart"/>
      <w:r>
        <w:rPr>
          <w:rFonts w:ascii="Times New Roman" w:hAnsi="Times New Roman"/>
          <w:sz w:val="24"/>
          <w:szCs w:val="24"/>
          <w:lang w:val="en-US"/>
        </w:rPr>
        <w:t>Bataineh</w:t>
      </w:r>
      <w:proofErr w:type="spellEnd"/>
      <w:r>
        <w:rPr>
          <w:rFonts w:ascii="Times New Roman" w:hAnsi="Times New Roman"/>
          <w:sz w:val="24"/>
          <w:szCs w:val="24"/>
          <w:lang w:val="en-US"/>
        </w:rPr>
        <w:t>, et al (2021) research, where they studied the level and context of compliant statements across the UK and discovered that they were unsuitable and lacked the necessary premise to support logical reasons for lack of compliance to codes. Similarly, Deb and Dube (2017) discovered that companies gave qualitative reasons that were "</w:t>
      </w:r>
      <w:proofErr w:type="spellStart"/>
      <w:r>
        <w:rPr>
          <w:rFonts w:ascii="Times New Roman" w:hAnsi="Times New Roman"/>
          <w:sz w:val="24"/>
          <w:szCs w:val="24"/>
          <w:lang w:val="en-US"/>
        </w:rPr>
        <w:t>unqualitative</w:t>
      </w:r>
      <w:proofErr w:type="spellEnd"/>
      <w:r>
        <w:rPr>
          <w:rFonts w:ascii="Times New Roman" w:hAnsi="Times New Roman"/>
          <w:sz w:val="24"/>
          <w:szCs w:val="24"/>
          <w:lang w:val="en-US"/>
        </w:rPr>
        <w:t>" and unreasonable.</w:t>
      </w:r>
    </w:p>
    <w:p w14:paraId="44AF5C62"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In relation to the above, several scholars have taken the time to investigate reasons for adherence and nonadherence to corporate governance principles. </w:t>
      </w:r>
      <w:proofErr w:type="spellStart"/>
      <w:r>
        <w:rPr>
          <w:rFonts w:ascii="Times New Roman" w:hAnsi="Times New Roman"/>
          <w:sz w:val="24"/>
          <w:szCs w:val="24"/>
          <w:lang w:val="en-US"/>
        </w:rPr>
        <w:t>Qurashi</w:t>
      </w:r>
      <w:proofErr w:type="spellEnd"/>
      <w:r>
        <w:rPr>
          <w:rFonts w:ascii="Times New Roman" w:hAnsi="Times New Roman"/>
          <w:sz w:val="24"/>
          <w:szCs w:val="24"/>
          <w:lang w:val="en-US"/>
        </w:rPr>
        <w:t xml:space="preserve"> (2018), notes that the </w:t>
      </w:r>
      <w:r>
        <w:rPr>
          <w:rFonts w:ascii="Times New Roman" w:hAnsi="Times New Roman"/>
          <w:sz w:val="24"/>
          <w:szCs w:val="24"/>
          <w:lang w:val="en-US"/>
        </w:rPr>
        <w:lastRenderedPageBreak/>
        <w:t xml:space="preserve">level of positive compliance and conformity to corporate governance principles were significantly linked to the board of directors, the number of shareholders, and the nature by which non-executive directors exercised the principle of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w:t>
      </w:r>
      <w:proofErr w:type="spellStart"/>
      <w:r>
        <w:rPr>
          <w:rFonts w:ascii="Times New Roman" w:hAnsi="Times New Roman"/>
          <w:sz w:val="24"/>
          <w:szCs w:val="24"/>
          <w:lang w:val="en-US"/>
        </w:rPr>
        <w:t>Almaqtari</w:t>
      </w:r>
      <w:proofErr w:type="spellEnd"/>
      <w:r>
        <w:rPr>
          <w:rFonts w:ascii="Times New Roman" w:hAnsi="Times New Roman"/>
          <w:sz w:val="24"/>
          <w:szCs w:val="24"/>
          <w:lang w:val="en-US"/>
        </w:rPr>
        <w:t xml:space="preserve">, et. al., (2020), on the other hand, linked the level of adherence to the extent to which companies are engaged in the formulation and review of codes, the existence of relevant, interested, and functioning monitors of codes, and the extent to which soft regulation is used as a traditional means for control in a particular country. Findings from </w:t>
      </w:r>
      <w:proofErr w:type="spellStart"/>
      <w:r>
        <w:rPr>
          <w:rFonts w:ascii="Times New Roman" w:hAnsi="Times New Roman"/>
          <w:sz w:val="24"/>
          <w:szCs w:val="24"/>
          <w:lang w:val="en-US"/>
        </w:rPr>
        <w:t>Bataineh</w:t>
      </w:r>
      <w:proofErr w:type="spellEnd"/>
      <w:r>
        <w:rPr>
          <w:rFonts w:ascii="Times New Roman" w:hAnsi="Times New Roman"/>
          <w:sz w:val="24"/>
          <w:szCs w:val="24"/>
          <w:lang w:val="en-US"/>
        </w:rPr>
        <w:t xml:space="preserve">, et. al., (2021), counters those as mentioned earlier by noting that they did not provide sufficient explanations for adherence/lack of adherence to corporate governance codes. This is because in countries where soft regulations were put in place and companies were carried along on the corporate governance process, noncompliance and unsubstantial explanations were still recorded. The Spanish market regulation (2011), reported that there was no significant improvement in the quality of compliance or explanations offered for lack of compliance, this is despite having soft regulations and an inclusive corporate governance process. </w:t>
      </w:r>
    </w:p>
    <w:p w14:paraId="1677E98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Also, Acro et al. (2010) </w:t>
      </w:r>
      <w:proofErr w:type="spellStart"/>
      <w:r>
        <w:rPr>
          <w:rFonts w:ascii="Times New Roman" w:hAnsi="Times New Roman"/>
          <w:sz w:val="24"/>
          <w:szCs w:val="24"/>
          <w:lang w:val="en-US"/>
        </w:rPr>
        <w:t>analysed</w:t>
      </w:r>
      <w:proofErr w:type="spellEnd"/>
      <w:r>
        <w:rPr>
          <w:rFonts w:ascii="Times New Roman" w:hAnsi="Times New Roman"/>
          <w:sz w:val="24"/>
          <w:szCs w:val="24"/>
          <w:lang w:val="en-US"/>
        </w:rPr>
        <w:t xml:space="preserve"> corporate governance amongst 145 non-financial firms for four years (1998-2004). Results revealed that though the compliance rate increased over the years, there were still low-quality explanations on why principles were not complied with; this was partly due to limited monitoring capabilities amongst shareholders. </w:t>
      </w:r>
    </w:p>
    <w:p w14:paraId="1146B64A"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Within the CEP regulatory framework, it was usually the responsibility of the markets to determine whether the reasons for noncompliance were adequate or not and further take the necessary actions to enforce conformity to the principles of CG, provisions for disclosures, and explanations on nondisclosures. Thus, it is the government's responsibility through regulatory frameworks to ensure that corporate governance codes were adhered to, and when not adhered to, sufficient explanations were provided. Central to this is another criticism of the CEP approach. Guest (2019), notes that the government of countries adopting the CEP were most times nonchalant about monitoring the CG process; this allows many companies to deviate without providing concrete explanations on reasons for deviating. </w:t>
      </w:r>
    </w:p>
    <w:p w14:paraId="60CBEAFB" w14:textId="77777777" w:rsidR="00DC4459" w:rsidRDefault="00077D4E">
      <w:pPr>
        <w:pStyle w:val="Body"/>
        <w:spacing w:before="240" w:line="360" w:lineRule="auto"/>
        <w:jc w:val="both"/>
        <w:rPr>
          <w:rFonts w:ascii="Times New Roman" w:eastAsia="Times New Roman" w:hAnsi="Times New Roman" w:cs="Times New Roman"/>
          <w:sz w:val="24"/>
          <w:szCs w:val="24"/>
        </w:rPr>
      </w:pPr>
      <w:proofErr w:type="spellStart"/>
      <w:r>
        <w:rPr>
          <w:rFonts w:ascii="Times New Roman" w:hAnsi="Times New Roman"/>
          <w:sz w:val="24"/>
          <w:szCs w:val="24"/>
          <w:lang w:val="en-US"/>
        </w:rPr>
        <w:t>Mullineux</w:t>
      </w:r>
      <w:proofErr w:type="spellEnd"/>
      <w:r>
        <w:rPr>
          <w:rFonts w:ascii="Times New Roman" w:hAnsi="Times New Roman"/>
          <w:sz w:val="24"/>
          <w:szCs w:val="24"/>
          <w:lang w:val="en-US"/>
        </w:rPr>
        <w:t xml:space="preserve"> (2010), notes that since the government was loosed in performing its duties, regulatory functions were then passed to shareholders who are empowered to make informed evaluations concerning the justification for noncompliance. Shareholders became regulators who use board meetings to air out their voices concerning corporate governance applications within the company. This may have proven as a formidable opinion to ensure that companies </w:t>
      </w:r>
      <w:r>
        <w:rPr>
          <w:rFonts w:ascii="Times New Roman" w:hAnsi="Times New Roman"/>
          <w:sz w:val="24"/>
          <w:szCs w:val="24"/>
          <w:lang w:val="en-US"/>
        </w:rPr>
        <w:lastRenderedPageBreak/>
        <w:t>comply or explain their stance towards corporate governance. However, Garcia-</w:t>
      </w:r>
      <w:proofErr w:type="spellStart"/>
      <w:r>
        <w:rPr>
          <w:rFonts w:ascii="Times New Roman" w:hAnsi="Times New Roman"/>
          <w:sz w:val="24"/>
          <w:szCs w:val="24"/>
          <w:lang w:val="en-US"/>
        </w:rPr>
        <w:t>Meca</w:t>
      </w:r>
      <w:proofErr w:type="spellEnd"/>
      <w:r>
        <w:rPr>
          <w:rFonts w:ascii="Times New Roman" w:hAnsi="Times New Roman"/>
          <w:sz w:val="24"/>
          <w:szCs w:val="24"/>
          <w:lang w:val="en-US"/>
        </w:rPr>
        <w:t xml:space="preserve">, et. al., (2015), note that shareholders themselves have been compromised, as a majority of shareholders no longer care about compliance but performance, thus if the company was performing properly with positive financial indicators, there was no need to check its level of compliance. This act by shareholders has brought about several issues of unaccountability and unethical practices amongst managers, all in the bid to keep companies or make it seem as if companies were performing well. This, however does not go without consequences, as unethical and unaccountability in practices is bound to backfire leading to the collapse of the </w:t>
      </w:r>
      <w:proofErr w:type="spellStart"/>
      <w:r>
        <w:rPr>
          <w:rFonts w:ascii="Times New Roman" w:hAnsi="Times New Roman"/>
          <w:sz w:val="24"/>
          <w:szCs w:val="24"/>
          <w:lang w:val="en-US"/>
        </w:rPr>
        <w:t>organisation</w:t>
      </w:r>
      <w:proofErr w:type="spellEnd"/>
      <w:r>
        <w:rPr>
          <w:rFonts w:ascii="Times New Roman" w:hAnsi="Times New Roman"/>
          <w:sz w:val="24"/>
          <w:szCs w:val="24"/>
          <w:lang w:val="en-US"/>
        </w:rPr>
        <w:t xml:space="preserve"> as in the case of Enron and the BCI bank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xml:space="preserve">, 2015) </w:t>
      </w:r>
    </w:p>
    <w:p w14:paraId="0A027E92" w14:textId="77777777" w:rsidR="00DC4459" w:rsidRDefault="00077D4E">
      <w:pPr>
        <w:pStyle w:val="Body"/>
        <w:spacing w:before="240" w:line="360" w:lineRule="auto"/>
        <w:jc w:val="both"/>
        <w:rPr>
          <w:sz w:val="24"/>
          <w:szCs w:val="24"/>
        </w:rPr>
      </w:pPr>
      <w:proofErr w:type="spellStart"/>
      <w:r>
        <w:rPr>
          <w:rFonts w:ascii="Times New Roman" w:hAnsi="Times New Roman"/>
          <w:sz w:val="24"/>
          <w:szCs w:val="24"/>
          <w:lang w:val="en-US"/>
        </w:rPr>
        <w:t>Kapkiyai</w:t>
      </w:r>
      <w:proofErr w:type="spellEnd"/>
      <w:r>
        <w:rPr>
          <w:rFonts w:ascii="Times New Roman" w:hAnsi="Times New Roman"/>
          <w:sz w:val="24"/>
          <w:szCs w:val="24"/>
          <w:lang w:val="en-US"/>
        </w:rPr>
        <w:t xml:space="preserve">, et. al., (2020), also point out that shareholders were becoming too occupied to monitor and ensure that reasons provided for noncompliance were accurate and sufficient. This is because company statements were usually bulky and decked with several statistical computations; shareholders did not have time to go through statements. Many of them had investments in different companies and countries that they had to monitor, thus monitoring a single company for lack of compliance was difficult and cumbersome. </w:t>
      </w:r>
    </w:p>
    <w:p w14:paraId="1CBE634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As a solution to the above, several scholars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Lungu, Pompei, </w:t>
      </w:r>
      <w:proofErr w:type="spellStart"/>
      <w:r>
        <w:rPr>
          <w:rFonts w:ascii="Times New Roman" w:hAnsi="Times New Roman"/>
          <w:sz w:val="24"/>
          <w:szCs w:val="24"/>
          <w:lang w:val="en-US"/>
        </w:rPr>
        <w:t>Caraiani</w:t>
      </w:r>
      <w:proofErr w:type="spellEnd"/>
      <w:r>
        <w:rPr>
          <w:rFonts w:ascii="Times New Roman" w:hAnsi="Times New Roman"/>
          <w:sz w:val="24"/>
          <w:szCs w:val="24"/>
          <w:lang w:val="en-US"/>
        </w:rPr>
        <w:t xml:space="preserve"> et al (2020); Khan (2018), have proposed that the CEP approach be modified thus providing room for sanctions against companies who do not comply with corporate governance codes, more importantly, those who do not provide adequate explanations for lack of adherence. In the view of Guest (2019), these calls were not in the proper place as the intent of the CEP approach was not to force companies to comply with corporate governance codes but to give them the freedom to provide good reasons for not complying with codes, therefore more emphasis and actions should be made to ensure that explanations given for noncompliance were authentic and void of unreasonable and dubious intentions. </w:t>
      </w:r>
    </w:p>
    <w:p w14:paraId="4EF39C7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In the context of this research, investigating the reasons giving by companies for complying or not complying is central to achieving the research objectives; this is built on the fact that despite the widespread support for the CEP approach throughout the EU amongst investors, companies, and regulators. Serious concerns about the level of adherence or explanations given for lack of adherence have not to be provided.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xml:space="preserve"> (2015), in their study of over 103 firms, noted that only 39% of all explanations provided for lack of compliance to corporate governance codes were not sufficient and informative; in a more severe case,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notes that 32% of noncompliance cases were not explained at all. Lungu, et al. </w:t>
      </w:r>
      <w:r>
        <w:rPr>
          <w:rFonts w:ascii="Times New Roman" w:hAnsi="Times New Roman"/>
          <w:sz w:val="24"/>
          <w:szCs w:val="24"/>
          <w:lang w:val="en-US"/>
        </w:rPr>
        <w:lastRenderedPageBreak/>
        <w:t xml:space="preserve">(2020), also discover that only a few companies change their reasons for noncompliance, as most of them maintained the same reasons over time. </w:t>
      </w:r>
    </w:p>
    <w:p w14:paraId="72C777B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From the above review, it is evident that the research objective of discovering the reasons for adherence and nonadherence is in place as significant reasons are not provided for lack of adherence by existing literature. Furthermore, the level of compliance amongst banks in Ireland is yet to be ascertained. This forms a significant gap in the literature, coupled with this, despite noting that the composition of boards, board size, audit member composition could be a relevant reason why companies adhere to corporate governance codes</w:t>
      </w:r>
      <w:r>
        <w:rPr>
          <w:sz w:val="24"/>
          <w:szCs w:val="24"/>
        </w:rPr>
        <w:t xml:space="preserve">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xml:space="preserve">, et. al., 2017;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It is not placed in the proper perspective, in the sense that how these can result in adherence to corporate governance codes amongst Banks in Ireland has not been investigated. Thus, this research is conducted to fill in the aforementioned gaps. </w:t>
      </w:r>
    </w:p>
    <w:p w14:paraId="6948C7E6" w14:textId="77777777" w:rsidR="00DC4459" w:rsidRDefault="00077D4E">
      <w:pPr>
        <w:pStyle w:val="Heading"/>
      </w:pPr>
      <w:bookmarkStart w:id="44" w:name="_Toc73739008"/>
      <w:r>
        <w:rPr>
          <w:rFonts w:eastAsia="Arial Unicode MS" w:cs="Arial Unicode MS"/>
          <w:lang w:val="en-US"/>
        </w:rPr>
        <w:t>2.3. Theoretical Reviews</w:t>
      </w:r>
      <w:bookmarkEnd w:id="44"/>
    </w:p>
    <w:p w14:paraId="2829BEB6" w14:textId="77777777" w:rsidR="00DC4459" w:rsidRDefault="00077D4E">
      <w:pPr>
        <w:pStyle w:val="Heading2"/>
      </w:pPr>
      <w:bookmarkStart w:id="45" w:name="_Toc73739009"/>
      <w:r>
        <w:rPr>
          <w:rFonts w:eastAsia="Arial Unicode MS" w:cs="Arial Unicode MS"/>
          <w:lang w:val="en-US"/>
        </w:rPr>
        <w:t>2.3.1. Agency Theory</w:t>
      </w:r>
      <w:bookmarkEnd w:id="45"/>
    </w:p>
    <w:p w14:paraId="64862521"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agency theory was first introduced by Stephen Ross and Barry Mitnick in 1973. Agency theory involves the settlement of conflicts that can arise in agency relations; that is, between managers (e.g., shareholders) and officers of management (e.g., executives of a company)</w:t>
      </w:r>
      <w:r>
        <w:t xml:space="preserve"> (</w:t>
      </w:r>
      <w:proofErr w:type="spellStart"/>
      <w:r>
        <w:rPr>
          <w:rFonts w:ascii="Times New Roman" w:hAnsi="Times New Roman"/>
          <w:sz w:val="24"/>
          <w:szCs w:val="24"/>
          <w:lang w:val="en-US"/>
        </w:rPr>
        <w:t>Morck</w:t>
      </w:r>
      <w:proofErr w:type="spellEnd"/>
      <w:r>
        <w:rPr>
          <w:rFonts w:ascii="Times New Roman" w:hAnsi="Times New Roman"/>
          <w:sz w:val="24"/>
          <w:szCs w:val="24"/>
          <w:lang w:val="en-US"/>
        </w:rPr>
        <w:t xml:space="preserve">, 2005). The two issues discussed by the agencies' theory are: the difficulties where the principal and the agent's interests or expectations are in disagreement, and the director cannot validate the success of the actor and the problems resulting from the various dangerous </w:t>
      </w:r>
      <w:proofErr w:type="spellStart"/>
      <w:r>
        <w:rPr>
          <w:rFonts w:ascii="Times New Roman" w:hAnsi="Times New Roman"/>
          <w:sz w:val="24"/>
          <w:szCs w:val="24"/>
          <w:lang w:val="en-US"/>
        </w:rPr>
        <w:t>behaviours</w:t>
      </w:r>
      <w:proofErr w:type="spellEnd"/>
      <w:r>
        <w:rPr>
          <w:rFonts w:ascii="Times New Roman" w:hAnsi="Times New Roman"/>
          <w:sz w:val="24"/>
          <w:szCs w:val="24"/>
          <w:lang w:val="en-US"/>
        </w:rPr>
        <w:t>. The principle and the department will be expected to make different decisions because of varying risk tolerances</w:t>
      </w:r>
      <w:r>
        <w:t xml:space="preserve"> (</w:t>
      </w:r>
      <w:proofErr w:type="spellStart"/>
      <w:r>
        <w:rPr>
          <w:rFonts w:ascii="Times New Roman" w:hAnsi="Times New Roman"/>
          <w:sz w:val="24"/>
          <w:szCs w:val="24"/>
        </w:rPr>
        <w:t>Kapkiyai</w:t>
      </w:r>
      <w:proofErr w:type="spellEnd"/>
      <w:r>
        <w:rPr>
          <w:rFonts w:ascii="Times New Roman" w:hAnsi="Times New Roman"/>
          <w:sz w:val="24"/>
          <w:szCs w:val="24"/>
        </w:rPr>
        <w:t>, et. al., 2020).</w:t>
      </w:r>
    </w:p>
    <w:p w14:paraId="094B5B1A" w14:textId="77777777" w:rsidR="00DC4459" w:rsidRDefault="00077D4E">
      <w:pPr>
        <w:pStyle w:val="Body"/>
        <w:spacing w:before="240" w:after="240" w:line="360" w:lineRule="auto"/>
        <w:jc w:val="both"/>
        <w:rPr>
          <w:rFonts w:ascii="Times New Roman" w:eastAsia="Times New Roman" w:hAnsi="Times New Roman" w:cs="Times New Roman"/>
          <w:sz w:val="24"/>
          <w:szCs w:val="24"/>
        </w:rPr>
      </w:pPr>
      <w:proofErr w:type="spellStart"/>
      <w:r>
        <w:rPr>
          <w:rFonts w:ascii="Times New Roman" w:hAnsi="Times New Roman"/>
          <w:sz w:val="24"/>
          <w:szCs w:val="24"/>
          <w:lang w:val="en-US"/>
        </w:rPr>
        <w:t>Smii</w:t>
      </w:r>
      <w:proofErr w:type="spellEnd"/>
      <w:r>
        <w:rPr>
          <w:rFonts w:ascii="Times New Roman" w:hAnsi="Times New Roman"/>
          <w:sz w:val="24"/>
          <w:szCs w:val="24"/>
          <w:lang w:val="en-US"/>
        </w:rPr>
        <w:t xml:space="preserve"> (2016), has seen the leader as possessing an incentive activity to increase its utility function under the philosophy of agency theory. The owners employ a third party (external auditor) to monitor management and monitor the accuracy of the documents they report to deal with this action. The role of the external audit in managing and lowering organization expenses is twice as critical as this theoretical framework: "it allows, on the one hand, to </w:t>
      </w:r>
      <w:proofErr w:type="spellStart"/>
      <w:r>
        <w:rPr>
          <w:rFonts w:ascii="Times New Roman" w:hAnsi="Times New Roman"/>
          <w:sz w:val="24"/>
          <w:szCs w:val="24"/>
          <w:lang w:val="en-US"/>
        </w:rPr>
        <w:t>minimise</w:t>
      </w:r>
      <w:proofErr w:type="spellEnd"/>
      <w:r>
        <w:rPr>
          <w:rFonts w:ascii="Times New Roman" w:hAnsi="Times New Roman"/>
          <w:sz w:val="24"/>
          <w:szCs w:val="24"/>
          <w:lang w:val="en-US"/>
        </w:rPr>
        <w:t xml:space="preserve"> the asymmetry in knowledge and, on the other hand, to improve the business management processes"</w:t>
      </w:r>
      <w:r>
        <w:t xml:space="preserve"> (</w:t>
      </w:r>
      <w:proofErr w:type="spellStart"/>
      <w:r>
        <w:rPr>
          <w:rFonts w:ascii="Times New Roman" w:hAnsi="Times New Roman"/>
          <w:sz w:val="24"/>
          <w:szCs w:val="24"/>
        </w:rPr>
        <w:t>Kapkiyai</w:t>
      </w:r>
      <w:proofErr w:type="spellEnd"/>
      <w:r>
        <w:rPr>
          <w:rFonts w:ascii="Times New Roman" w:hAnsi="Times New Roman"/>
          <w:sz w:val="24"/>
          <w:szCs w:val="24"/>
        </w:rPr>
        <w:t>, et. al., 2020).</w:t>
      </w:r>
    </w:p>
    <w:p w14:paraId="2AF2AE71" w14:textId="77777777" w:rsidR="00DC4459" w:rsidRDefault="00077D4E">
      <w:pPr>
        <w:pStyle w:val="Body"/>
        <w:spacing w:before="240" w:after="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 xml:space="preserve">The </w:t>
      </w:r>
      <w:proofErr w:type="spellStart"/>
      <w:r>
        <w:rPr>
          <w:rFonts w:ascii="Times New Roman" w:hAnsi="Times New Roman"/>
          <w:sz w:val="24"/>
          <w:szCs w:val="24"/>
          <w:lang w:val="en-US"/>
        </w:rPr>
        <w:t>organisation's</w:t>
      </w:r>
      <w:proofErr w:type="spellEnd"/>
      <w:r>
        <w:rPr>
          <w:rFonts w:ascii="Times New Roman" w:hAnsi="Times New Roman"/>
          <w:sz w:val="24"/>
          <w:szCs w:val="24"/>
          <w:lang w:val="en-US"/>
        </w:rPr>
        <w:t xml:space="preserve"> philosophy stresses the need for supervisors to control the activity of the board. An independent director with main financial experience and know-how would minimize management anomalies or misconduct in this partnership. It is assumed that accounting and/or finance administrators are more knowledgeable than directors with no such history in financial service practices</w:t>
      </w:r>
      <w:r>
        <w:t xml:space="preserve"> (</w:t>
      </w:r>
      <w:r>
        <w:rPr>
          <w:rFonts w:ascii="Times New Roman" w:hAnsi="Times New Roman"/>
          <w:sz w:val="24"/>
          <w:szCs w:val="24"/>
          <w:lang w:val="en-US"/>
        </w:rPr>
        <w:t>Schwartz-Ziv, 2017). Hence, it seems that independent audit committees have a symbiotic audit management partnership and financial report. The board's size is commonly perceived to be a significant factor, among the other features of the Governing Body, impacting management oversight and limiting the scope of the executive body's dominance, and facilitating decision-making to boost company results</w:t>
      </w:r>
      <w:r>
        <w:t xml:space="preserve"> (</w:t>
      </w:r>
      <w:proofErr w:type="spellStart"/>
      <w:r>
        <w:rPr>
          <w:rFonts w:ascii="Times New Roman" w:hAnsi="Times New Roman"/>
          <w:sz w:val="24"/>
          <w:szCs w:val="24"/>
          <w:lang w:val="fr-FR"/>
        </w:rPr>
        <w:t>Mullineux</w:t>
      </w:r>
      <w:proofErr w:type="spellEnd"/>
      <w:r>
        <w:rPr>
          <w:rFonts w:ascii="Times New Roman" w:hAnsi="Times New Roman"/>
          <w:sz w:val="24"/>
          <w:szCs w:val="24"/>
          <w:lang w:val="fr-FR"/>
        </w:rPr>
        <w:t>, 2010).</w:t>
      </w:r>
    </w:p>
    <w:p w14:paraId="3B1AEF28"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autonomous board of directors can also bring value to organizations regarding management oversight practices and financial results (Hillman and Dalziel, 2015). They often affect a company's performance on monitoring the operational processes that allow managers to concentrate instead of routine activities on long-term results and permit management decisions to consider whether they </w:t>
      </w:r>
      <w:proofErr w:type="spellStart"/>
      <w:r>
        <w:rPr>
          <w:rFonts w:ascii="Times New Roman" w:hAnsi="Times New Roman"/>
          <w:sz w:val="24"/>
          <w:szCs w:val="24"/>
          <w:lang w:val="en-US"/>
        </w:rPr>
        <w:t>favour</w:t>
      </w:r>
      <w:proofErr w:type="spellEnd"/>
      <w:r>
        <w:rPr>
          <w:rFonts w:ascii="Times New Roman" w:hAnsi="Times New Roman"/>
          <w:sz w:val="24"/>
          <w:szCs w:val="24"/>
          <w:lang w:val="en-US"/>
        </w:rPr>
        <w:t xml:space="preserve"> shareholders.</w:t>
      </w:r>
    </w:p>
    <w:p w14:paraId="13559DA9" w14:textId="77777777" w:rsidR="00DC4459" w:rsidRDefault="00077D4E">
      <w:pPr>
        <w:pStyle w:val="Heading2"/>
      </w:pPr>
      <w:bookmarkStart w:id="46" w:name="_Toc73739010"/>
      <w:r>
        <w:rPr>
          <w:rFonts w:eastAsia="Arial Unicode MS" w:cs="Arial Unicode MS"/>
          <w:lang w:val="en-US"/>
        </w:rPr>
        <w:t>2.3.2. Stewardship Theory</w:t>
      </w:r>
      <w:bookmarkEnd w:id="46"/>
    </w:p>
    <w:p w14:paraId="568E24D9"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Stewardship theory emphasizes a 'Theory Y' of motivation (</w:t>
      </w:r>
      <w:proofErr w:type="spellStart"/>
      <w:r>
        <w:rPr>
          <w:rFonts w:ascii="Times New Roman" w:hAnsi="Times New Roman"/>
          <w:sz w:val="24"/>
          <w:szCs w:val="24"/>
          <w:lang w:val="en-US"/>
        </w:rPr>
        <w:t>Madhani</w:t>
      </w:r>
      <w:proofErr w:type="spellEnd"/>
      <w:r>
        <w:rPr>
          <w:rFonts w:ascii="Times New Roman" w:hAnsi="Times New Roman"/>
          <w:sz w:val="24"/>
          <w:szCs w:val="24"/>
          <w:lang w:val="en-US"/>
        </w:rPr>
        <w:t xml:space="preserve">, 2017), and hence suggests that an overemphasis on monitoring is unnecessary for the board to impact on corporate performance. Stewardship Theory recognizes the existence of a trust-based relationship that, in turn, minimizes the cost of monitoring and monitoring management </w:t>
      </w:r>
      <w:proofErr w:type="spellStart"/>
      <w:r>
        <w:rPr>
          <w:rFonts w:ascii="Times New Roman" w:hAnsi="Times New Roman"/>
          <w:sz w:val="24"/>
          <w:szCs w:val="24"/>
          <w:lang w:val="en-US"/>
        </w:rPr>
        <w:t>behaviour</w:t>
      </w:r>
      <w:proofErr w:type="spellEnd"/>
      <w:r>
        <w:t xml:space="preserve"> (</w:t>
      </w:r>
      <w:r>
        <w:rPr>
          <w:rFonts w:ascii="Times New Roman" w:hAnsi="Times New Roman"/>
          <w:sz w:val="24"/>
          <w:szCs w:val="24"/>
          <w:lang w:val="en-US"/>
        </w:rPr>
        <w:t>Garcia-</w:t>
      </w:r>
      <w:proofErr w:type="spellStart"/>
      <w:r>
        <w:rPr>
          <w:rFonts w:ascii="Times New Roman" w:hAnsi="Times New Roman"/>
          <w:sz w:val="24"/>
          <w:szCs w:val="24"/>
          <w:lang w:val="en-US"/>
        </w:rPr>
        <w:t>Meca,et</w:t>
      </w:r>
      <w:proofErr w:type="spellEnd"/>
      <w:r>
        <w:rPr>
          <w:rFonts w:ascii="Times New Roman" w:hAnsi="Times New Roman"/>
          <w:sz w:val="24"/>
          <w:szCs w:val="24"/>
          <w:lang w:val="en-US"/>
        </w:rPr>
        <w:t>. al., 2015). The stewardship theory provides for managers to be trustworthy persons and therefore to be good stewards of resources. The stewardship theory advocates CEO duality since the company should not split CEO and Chairperson's dual role to reduce the agency's cost. The duality of the CEO creates more efficient and effective harmony between the board, managers, and shareholders to achieve organizational goals</w:t>
      </w:r>
      <w:r>
        <w:t xml:space="preserve"> (</w:t>
      </w:r>
      <w:proofErr w:type="spellStart"/>
      <w:r>
        <w:rPr>
          <w:rFonts w:ascii="Times New Roman" w:hAnsi="Times New Roman"/>
          <w:sz w:val="24"/>
          <w:szCs w:val="24"/>
          <w:lang w:val="en-US"/>
        </w:rPr>
        <w:t>Baixauli</w:t>
      </w:r>
      <w:proofErr w:type="spellEnd"/>
      <w:r>
        <w:rPr>
          <w:rFonts w:ascii="Times New Roman" w:hAnsi="Times New Roman"/>
          <w:sz w:val="24"/>
          <w:szCs w:val="24"/>
          <w:lang w:val="en-US"/>
        </w:rPr>
        <w:t>, et al, 2015). The philosophy of stewardship advocates corporate management empowerment. This study allows managers of high-ranking companies to make better business decisions if appointed on board as internal directors. Since managers inside the company govern spend their work lives, they understand the companies better than external managers. Inside the company, directors prefer to make long-term choices taking into account their relationship with corporations</w:t>
      </w:r>
      <w:r>
        <w:t xml:space="preserve"> (</w:t>
      </w:r>
      <w:proofErr w:type="spellStart"/>
      <w:r>
        <w:rPr>
          <w:rFonts w:ascii="Times New Roman" w:hAnsi="Times New Roman"/>
          <w:sz w:val="24"/>
          <w:szCs w:val="24"/>
          <w:lang w:val="en-US"/>
        </w:rPr>
        <w:t>Mullineux</w:t>
      </w:r>
      <w:proofErr w:type="spellEnd"/>
      <w:r>
        <w:rPr>
          <w:rFonts w:ascii="Times New Roman" w:hAnsi="Times New Roman"/>
          <w:sz w:val="24"/>
          <w:szCs w:val="24"/>
          <w:lang w:val="en-US"/>
        </w:rPr>
        <w:t xml:space="preserve">, 2010). Therefore, advocates of management theory argue that superior corporate performance is linked to most internal managers, who naturally work hard to maximize shareholder profit. Managers are, of course, trustworthy and agency costs are </w:t>
      </w:r>
      <w:r>
        <w:rPr>
          <w:rFonts w:ascii="Times New Roman" w:hAnsi="Times New Roman"/>
          <w:sz w:val="24"/>
          <w:szCs w:val="24"/>
          <w:lang w:val="en-US"/>
        </w:rPr>
        <w:lastRenderedPageBreak/>
        <w:t>usually minimized because managers (as inside managers) will probably not put their shareholders at a disadvantage for fear of compromising the long-earned reputations of their companions (</w:t>
      </w:r>
      <w:bookmarkStart w:id="47" w:name="_Hlk73381462"/>
      <w:proofErr w:type="spellStart"/>
      <w:r>
        <w:rPr>
          <w:rFonts w:ascii="Times New Roman" w:hAnsi="Times New Roman"/>
          <w:sz w:val="24"/>
          <w:szCs w:val="24"/>
        </w:rPr>
        <w:t>Danescu</w:t>
      </w:r>
      <w:proofErr w:type="spellEnd"/>
      <w:r>
        <w:rPr>
          <w:rFonts w:ascii="Times New Roman" w:hAnsi="Times New Roman"/>
          <w:sz w:val="24"/>
          <w:szCs w:val="24"/>
        </w:rPr>
        <w:t xml:space="preserve"> and Popa, 2020</w:t>
      </w:r>
      <w:bookmarkEnd w:id="47"/>
      <w:r>
        <w:rPr>
          <w:rFonts w:ascii="Times New Roman" w:hAnsi="Times New Roman"/>
          <w:sz w:val="24"/>
          <w:szCs w:val="24"/>
        </w:rPr>
        <w:t>)</w:t>
      </w:r>
    </w:p>
    <w:p w14:paraId="26288B79" w14:textId="77777777" w:rsidR="00DC4459" w:rsidRDefault="00077D4E">
      <w:pPr>
        <w:pStyle w:val="Heading2"/>
      </w:pPr>
      <w:bookmarkStart w:id="48" w:name="_Toc73739011"/>
      <w:r>
        <w:rPr>
          <w:rFonts w:eastAsia="Arial Unicode MS" w:cs="Arial Unicode MS"/>
          <w:lang w:val="en-US"/>
        </w:rPr>
        <w:t>2.3.3. Resource Dependence Theory</w:t>
      </w:r>
      <w:bookmarkEnd w:id="48"/>
    </w:p>
    <w:p w14:paraId="7C7B7759"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resource dependence theory focuses on board involvement with the domestic and foreign environment, which requires resources. The board is the most skilled at linking substantial donations together. The board believes the company's relationship with relevant resources will enable it to maximize its performance</w:t>
      </w:r>
      <w:r>
        <w:t xml:space="preserve"> (</w:t>
      </w:r>
      <w:proofErr w:type="spellStart"/>
      <w:r>
        <w:rPr>
          <w:rFonts w:ascii="Times New Roman" w:hAnsi="Times New Roman"/>
          <w:sz w:val="24"/>
          <w:szCs w:val="24"/>
          <w:lang w:val="en-US"/>
        </w:rPr>
        <w:t>Achtenhagen</w:t>
      </w:r>
      <w:proofErr w:type="spellEnd"/>
      <w:r>
        <w:rPr>
          <w:rFonts w:ascii="Times New Roman" w:hAnsi="Times New Roman"/>
          <w:sz w:val="24"/>
          <w:szCs w:val="24"/>
          <w:lang w:val="en-US"/>
        </w:rPr>
        <w:t>, et. al., 2018). Because the board has ties with an outside party, it is a valuable resource to the business. The board's composition can be seen to address the external challenges that a company faces (</w:t>
      </w:r>
      <w:r>
        <w:t xml:space="preserve">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The resource dependence theory focuses on how organizations use resources and the environment to obtain benefits and influence their surroundings. The need for interdependency stems from the lack of resources necessary for organizations that do not produce all the needed resources. Uncertainty prevents the organization from controlling resources and strategies and prevents it from functioning as intended. Organizations must function in the face of uncertainty and produce results to be competitive (</w:t>
      </w:r>
      <w:r>
        <w:t xml:space="preserve"> </w:t>
      </w:r>
      <w:r>
        <w:rPr>
          <w:rFonts w:ascii="Times New Roman" w:hAnsi="Times New Roman"/>
          <w:sz w:val="24"/>
          <w:szCs w:val="24"/>
          <w:lang w:val="en-US"/>
        </w:rPr>
        <w:t>Khan, 2018). Resource dependence theory proposes that the board is a mechanism by which external dependencies are managed, reduced environmental uncertainty, and reduced environmental interdependence transactions.</w:t>
      </w:r>
    </w:p>
    <w:p w14:paraId="279E7BBB"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As a resource-dependent </w:t>
      </w:r>
      <w:proofErr w:type="spellStart"/>
      <w:r>
        <w:rPr>
          <w:rFonts w:ascii="Times New Roman" w:hAnsi="Times New Roman"/>
          <w:sz w:val="24"/>
          <w:szCs w:val="24"/>
          <w:lang w:val="en-US"/>
        </w:rPr>
        <w:t>organisation</w:t>
      </w:r>
      <w:proofErr w:type="spellEnd"/>
      <w:r>
        <w:rPr>
          <w:rFonts w:ascii="Times New Roman" w:hAnsi="Times New Roman"/>
          <w:sz w:val="24"/>
          <w:szCs w:val="24"/>
          <w:lang w:val="en-US"/>
        </w:rPr>
        <w:t xml:space="preserve"> the board plays a vital role by exposing the </w:t>
      </w:r>
      <w:proofErr w:type="spellStart"/>
      <w:r>
        <w:rPr>
          <w:rFonts w:ascii="Times New Roman" w:hAnsi="Times New Roman"/>
          <w:sz w:val="24"/>
          <w:szCs w:val="24"/>
          <w:lang w:val="en-US"/>
        </w:rPr>
        <w:t>organisation</w:t>
      </w:r>
      <w:proofErr w:type="spellEnd"/>
      <w:r>
        <w:rPr>
          <w:rFonts w:ascii="Times New Roman" w:hAnsi="Times New Roman"/>
          <w:sz w:val="24"/>
          <w:szCs w:val="24"/>
          <w:lang w:val="en-US"/>
        </w:rPr>
        <w:t xml:space="preserve"> to its environment. Managers also provide the company with the resources such as financial resources, technology, and key components (e.g., suppliers, buyers, public policy decision-makers, social groups) (</w:t>
      </w:r>
      <w:proofErr w:type="spellStart"/>
      <w:r>
        <w:rPr>
          <w:rFonts w:ascii="Times New Roman" w:hAnsi="Times New Roman"/>
          <w:sz w:val="24"/>
          <w:szCs w:val="24"/>
          <w:lang w:val="en-US"/>
        </w:rPr>
        <w:t>Almaqtari</w:t>
      </w:r>
      <w:proofErr w:type="spellEnd"/>
      <w:r>
        <w:rPr>
          <w:rFonts w:ascii="Times New Roman" w:hAnsi="Times New Roman"/>
          <w:sz w:val="24"/>
          <w:szCs w:val="24"/>
          <w:lang w:val="en-US"/>
        </w:rPr>
        <w:t>, et. al., 2020). The extent to which the board members are beneficial depends on whether they have valuable information and resources and whether their presence improves the legitimacy of the business. The board's main roles are to provide expertise and advice for the firm; to link businesses to major stakeholders; to establish external relations; to facilitate access to resources, and to support the development and formulation of strategy and other key decisions of the firm</w:t>
      </w:r>
      <w:r>
        <w:t xml:space="preserve"> (</w:t>
      </w:r>
      <w:r>
        <w:rPr>
          <w:rFonts w:ascii="Times New Roman" w:hAnsi="Times New Roman"/>
          <w:sz w:val="24"/>
          <w:szCs w:val="24"/>
          <w:lang w:val="en-US"/>
        </w:rPr>
        <w:t>Donnelly and Mulcahy, 2008). According to the Resource Dependence Theory, the relational capital of a board of directors comprises the various formal and informal ties a board member has with the board. A connected director has greater access to additional information than other directors because they have information from multiple companies( Garcia-</w:t>
      </w:r>
      <w:proofErr w:type="spellStart"/>
      <w:r>
        <w:rPr>
          <w:rFonts w:ascii="Times New Roman" w:hAnsi="Times New Roman"/>
          <w:sz w:val="24"/>
          <w:szCs w:val="24"/>
          <w:lang w:val="en-US"/>
        </w:rPr>
        <w:t>Meca,et</w:t>
      </w:r>
      <w:proofErr w:type="spellEnd"/>
      <w:r>
        <w:rPr>
          <w:rFonts w:ascii="Times New Roman" w:hAnsi="Times New Roman"/>
          <w:sz w:val="24"/>
          <w:szCs w:val="24"/>
          <w:lang w:val="en-US"/>
        </w:rPr>
        <w:t xml:space="preserve"> al, 2015). The networked directors, for example, can collectively provide the company with insight on effective management, efficiency </w:t>
      </w:r>
      <w:r>
        <w:rPr>
          <w:rFonts w:ascii="Times New Roman" w:hAnsi="Times New Roman"/>
          <w:sz w:val="24"/>
          <w:szCs w:val="24"/>
          <w:lang w:val="en-US"/>
        </w:rPr>
        <w:lastRenderedPageBreak/>
        <w:t>improvement in technology, and innovative compensation structures. A director's network can also help companies exchange resources and mutually benefit each other.</w:t>
      </w:r>
      <w:r>
        <w:t xml:space="preserve">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showed that interlocking boards between Indian firms significantly increase research and development spending and patenting. </w:t>
      </w:r>
    </w:p>
    <w:p w14:paraId="05FD8C14"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According to the Theory of Resource Dependence, the company receives limited resources from the external environment, increasing the company's value. Outside managers are sources of useful information for a company that can help form external relationships. The external connections and networks used by board members can greatly impact a company's growth potential. This theory holds that organizations attempt to control their environment by using whatever resources they must have. Thus, board directors promote the success of a company</w:t>
      </w:r>
      <w:r>
        <w:t xml:space="preserve"> (</w:t>
      </w:r>
      <w:r>
        <w:rPr>
          <w:rFonts w:ascii="Times New Roman" w:hAnsi="Times New Roman"/>
          <w:sz w:val="24"/>
          <w:szCs w:val="24"/>
          <w:lang w:val="en-US"/>
        </w:rPr>
        <w:t>Donnelly and Mulcahy, 2008).</w:t>
      </w:r>
    </w:p>
    <w:p w14:paraId="6AF39841" w14:textId="77777777" w:rsidR="00DC4459" w:rsidRDefault="00077D4E">
      <w:pPr>
        <w:pStyle w:val="Body"/>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resource-dependence theory suggests boards have a larger role in providing resources to the organization than simply monitoring the firm's management. The resource dependence theory focuses on the need to link the company to external resources environmentally. Directors connect the company with external factors in this perspective. External managers provide primarily the resources required to address external factors</w:t>
      </w:r>
      <w:r>
        <w:t xml:space="preserve"> (</w:t>
      </w:r>
      <w:r>
        <w:rPr>
          <w:rFonts w:ascii="Times New Roman" w:hAnsi="Times New Roman"/>
          <w:sz w:val="24"/>
          <w:szCs w:val="24"/>
          <w:lang w:val="en-US"/>
        </w:rPr>
        <w:t xml:space="preserve">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2017). There are four main environmental benefits: (1) the provision of specific resources, such as expertise and advice from persons with experience in various policy areas; (2) the communication channels between external agencies and the company; (3) support for commitments or assistance from key elements outside the business; and (4) the support provided by boards of external board members (Hillman and Dalziel, 2015). External managers may advise a firm on its independent advice and its significant role in facilitating access to much-needed resources. It also indicates an intention for an enterprise to pay more attention and legitimacy to its external environment</w:t>
      </w:r>
      <w:r>
        <w:t xml:space="preserve"> (</w:t>
      </w:r>
      <w:proofErr w:type="spellStart"/>
      <w:r>
        <w:rPr>
          <w:rFonts w:ascii="Times New Roman" w:hAnsi="Times New Roman"/>
          <w:sz w:val="24"/>
          <w:szCs w:val="24"/>
          <w:lang w:val="en-US"/>
        </w:rPr>
        <w:t>Bataineh</w:t>
      </w:r>
      <w:proofErr w:type="spellEnd"/>
      <w:r>
        <w:rPr>
          <w:rFonts w:ascii="Times New Roman" w:hAnsi="Times New Roman"/>
          <w:sz w:val="24"/>
          <w:szCs w:val="24"/>
          <w:lang w:val="en-US"/>
        </w:rPr>
        <w:t>, et. al., 2021). The external directors give access to valuable resources, information, and networking capabilities of protecting the company against adversity. The board would be considered a visible link to the company's external environment in the resource dependence theory.</w:t>
      </w:r>
    </w:p>
    <w:p w14:paraId="1E24F046" w14:textId="77777777" w:rsidR="00DC4459" w:rsidRDefault="00077D4E">
      <w:pPr>
        <w:pStyle w:val="Heading"/>
      </w:pPr>
      <w:bookmarkStart w:id="49" w:name="_Toc73739012"/>
      <w:r>
        <w:rPr>
          <w:rFonts w:eastAsia="Arial Unicode MS" w:cs="Arial Unicode MS"/>
          <w:lang w:val="en-US"/>
        </w:rPr>
        <w:t>2.4. Empirical Reviews</w:t>
      </w:r>
      <w:bookmarkEnd w:id="49"/>
    </w:p>
    <w:p w14:paraId="0A226E3F"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Several scholarly works have touch-based on reasons for adherence/nonadherence to corporate governance codes. Khan (2018), conducted an empirical investigation into the extent of voluntary corporate governance disclosure of 38 listed banks in Pakistan. His research also </w:t>
      </w:r>
      <w:r>
        <w:rPr>
          <w:rFonts w:ascii="Times New Roman" w:hAnsi="Times New Roman"/>
          <w:sz w:val="24"/>
          <w:szCs w:val="24"/>
          <w:lang w:val="en-US"/>
        </w:rPr>
        <w:lastRenderedPageBreak/>
        <w:t>included the relationship between corporate governance mechanisms and voluntary disclosure of the sample companies. Findings revealed that Pakistani banks disclose a substantial amount of information voluntarily.  Debs and Dube (2017), studied corporate governance disclosure in the context of Indian banks. Their study focused on corporate governance practices and the type of disclosed information of eight banks. Findings revealed that firm size has a significant positive relationship with the disclosure index; the more extensive the firm, the more information disclosed. The general assertion is that the strategic considerations of management influence the choice of disclosure, levels and extent of disclosed information.,</w:t>
      </w:r>
      <w:r>
        <w:t xml:space="preserve"> </w:t>
      </w:r>
      <w:r>
        <w:rPr>
          <w:rFonts w:ascii="Times New Roman" w:hAnsi="Times New Roman"/>
          <w:sz w:val="24"/>
          <w:szCs w:val="24"/>
          <w:lang w:val="en-US"/>
        </w:rPr>
        <w:t>Donnelly and Mulcahy (2008), conducted a study on the corporate governance disclosure index in for Commercial Banks in Ireland. The disclosure index was constructed to assist the promoters, common shareholders, creditors, investors and other stakeholders of the banks in Ireland. Some irregularities were reported in the CG practices of a few other prime commercial’</w:t>
      </w:r>
      <w:r>
        <w:rPr>
          <w:rFonts w:ascii="Times New Roman" w:hAnsi="Times New Roman"/>
          <w:sz w:val="24"/>
          <w:szCs w:val="24"/>
        </w:rPr>
        <w:t>s banks.</w:t>
      </w:r>
    </w:p>
    <w:p w14:paraId="65EC1EEE" w14:textId="77777777" w:rsidR="00DC4459" w:rsidRDefault="00077D4E">
      <w:pPr>
        <w:pStyle w:val="Body"/>
        <w:spacing w:before="240" w:line="360" w:lineRule="auto"/>
        <w:jc w:val="both"/>
        <w:rPr>
          <w:rFonts w:ascii="Times New Roman" w:eastAsia="Times New Roman" w:hAnsi="Times New Roman" w:cs="Times New Roman"/>
          <w:sz w:val="24"/>
          <w:szCs w:val="24"/>
        </w:rPr>
      </w:pPr>
      <w:proofErr w:type="spellStart"/>
      <w:r>
        <w:rPr>
          <w:rFonts w:ascii="Times New Roman" w:hAnsi="Times New Roman"/>
          <w:sz w:val="24"/>
          <w:szCs w:val="24"/>
          <w:lang w:val="en-US"/>
        </w:rPr>
        <w:t>Bataineh</w:t>
      </w:r>
      <w:proofErr w:type="spellEnd"/>
      <w:r>
        <w:rPr>
          <w:rFonts w:ascii="Times New Roman" w:hAnsi="Times New Roman"/>
          <w:sz w:val="24"/>
          <w:szCs w:val="24"/>
          <w:lang w:val="en-US"/>
        </w:rPr>
        <w:t xml:space="preserve">, et. al., (2021), discovered that shareholders of big corporations, most especially institutional investors, could not provide efficient monitoring in relation to the risk taken by banks as a result, could not increase bank performance. </w:t>
      </w:r>
    </w:p>
    <w:p w14:paraId="2E6B8B92" w14:textId="77777777" w:rsidR="00DC4459" w:rsidRDefault="00077D4E">
      <w:pPr>
        <w:pStyle w:val="Body"/>
        <w:spacing w:before="240" w:line="360" w:lineRule="auto"/>
        <w:jc w:val="both"/>
        <w:rPr>
          <w:rFonts w:ascii="Times New Roman" w:eastAsia="Times New Roman" w:hAnsi="Times New Roman" w:cs="Times New Roman"/>
          <w:sz w:val="24"/>
          <w:szCs w:val="24"/>
        </w:rPr>
      </w:pPr>
      <w:proofErr w:type="spellStart"/>
      <w:r>
        <w:rPr>
          <w:rFonts w:ascii="Times New Roman" w:hAnsi="Times New Roman"/>
          <w:sz w:val="24"/>
          <w:szCs w:val="24"/>
          <w:lang w:val="en-US"/>
        </w:rPr>
        <w:t>Isukul</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Chizea</w:t>
      </w:r>
      <w:proofErr w:type="spellEnd"/>
      <w:r>
        <w:rPr>
          <w:rFonts w:ascii="Times New Roman" w:hAnsi="Times New Roman"/>
          <w:sz w:val="24"/>
          <w:szCs w:val="24"/>
          <w:lang w:val="en-US"/>
        </w:rPr>
        <w:t xml:space="preserve"> (2017), carried out a study on the impact of corporate governance on financial firms' performance during the financial crisis of 2007-08. They found that organizations with a higher independent board of directors and high institutional ownership structure posted worse stock returns during this crisis. </w:t>
      </w:r>
      <w:proofErr w:type="spellStart"/>
      <w:r>
        <w:rPr>
          <w:rFonts w:ascii="Times New Roman" w:hAnsi="Times New Roman"/>
          <w:sz w:val="24"/>
          <w:szCs w:val="24"/>
          <w:lang w:val="en-US"/>
        </w:rPr>
        <w:t>Kabkiyai</w:t>
      </w:r>
      <w:proofErr w:type="spellEnd"/>
      <w:r>
        <w:rPr>
          <w:rFonts w:ascii="Times New Roman" w:hAnsi="Times New Roman"/>
          <w:sz w:val="24"/>
          <w:szCs w:val="24"/>
          <w:lang w:val="en-US"/>
        </w:rPr>
        <w:t xml:space="preserve"> et. al., (2020), in their study on corporate governance practices of Andhra Bank, concluded that the overall CG practices of this bank were good.</w:t>
      </w:r>
    </w:p>
    <w:p w14:paraId="6ED62439" w14:textId="77777777" w:rsidR="00DC4459" w:rsidRDefault="00077D4E">
      <w:pPr>
        <w:pStyle w:val="Heading"/>
      </w:pPr>
      <w:bookmarkStart w:id="50" w:name="_Toc73739013"/>
      <w:r>
        <w:rPr>
          <w:rFonts w:eastAsia="Arial Unicode MS" w:cs="Arial Unicode MS"/>
          <w:lang w:val="en-US"/>
        </w:rPr>
        <w:t>2.5. Conceptual Framework</w:t>
      </w:r>
      <w:bookmarkEnd w:id="50"/>
    </w:p>
    <w:p w14:paraId="283883C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conceptual framework for this study is built on the series of findings from the literature review, especially concerning the CEP, level of compliance, the theories of corporate governance (resource-based, agency theory, and stewardship theory), and empirical reviews. It was noted from the literature review that factors such as corporate social responsibility, the board size, CEO duality, firm Size, non-executive directors, and ownership structure determine the compliance level of </w:t>
      </w:r>
      <w:proofErr w:type="spellStart"/>
      <w:r>
        <w:rPr>
          <w:rFonts w:ascii="Times New Roman" w:hAnsi="Times New Roman"/>
          <w:sz w:val="24"/>
          <w:szCs w:val="24"/>
          <w:lang w:val="en-US"/>
        </w:rPr>
        <w:t>organisations</w:t>
      </w:r>
      <w:proofErr w:type="spellEnd"/>
      <w:r>
        <w:rPr>
          <w:rFonts w:ascii="Times New Roman" w:hAnsi="Times New Roman"/>
          <w:sz w:val="24"/>
          <w:szCs w:val="24"/>
          <w:lang w:val="en-US"/>
        </w:rPr>
        <w:t xml:space="preserve"> to corporate governance. Thus, this forms the point of the investigation, which is linked to the first objective of this study. The researcher interrogates these factors to discover if they are responsible for adherence/nonadherence to corporate governance codes within banks in Ireland. Further, since available studies have not investigated </w:t>
      </w:r>
      <w:r>
        <w:rPr>
          <w:rFonts w:ascii="Times New Roman" w:hAnsi="Times New Roman"/>
          <w:sz w:val="24"/>
          <w:szCs w:val="24"/>
          <w:lang w:val="en-US"/>
        </w:rPr>
        <w:lastRenderedPageBreak/>
        <w:t xml:space="preserve">the level of adherence and challenges facing corporate governance in Ireland, the research adopts qualitative means of investigating this from the target population, thereby achieving objectives two and three of the research. The pictorial representation of the conceptual framework is explained below: </w:t>
      </w:r>
    </w:p>
    <w:p w14:paraId="1B249136" w14:textId="77777777" w:rsidR="00DC4459" w:rsidRDefault="00077D4E">
      <w:pPr>
        <w:pStyle w:val="Caption"/>
      </w:pPr>
      <w:r>
        <w:t>Figure 1. Conceptual Framework</w:t>
      </w:r>
    </w:p>
    <w:p w14:paraId="64E37A4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anchor distT="57150" distB="57150" distL="57150" distR="57150" simplePos="0" relativeHeight="251659264" behindDoc="0" locked="0" layoutInCell="1" allowOverlap="1" wp14:anchorId="177C95ED" wp14:editId="21905282">
            <wp:simplePos x="0" y="0"/>
            <wp:positionH relativeFrom="page">
              <wp:posOffset>434370</wp:posOffset>
            </wp:positionH>
            <wp:positionV relativeFrom="line">
              <wp:posOffset>276225</wp:posOffset>
            </wp:positionV>
            <wp:extent cx="6691570" cy="2712630"/>
            <wp:effectExtent l="0" t="0" r="0" b="0"/>
            <wp:wrapSquare wrapText="bothSides" distT="57150" distB="57150" distL="57150" distR="57150"/>
            <wp:docPr id="1073741826" name="officeArt object" descr="Picture 1"/>
            <wp:cNvGraphicFramePr/>
            <a:graphic xmlns:a="http://schemas.openxmlformats.org/drawingml/2006/main">
              <a:graphicData uri="http://schemas.openxmlformats.org/drawingml/2006/picture">
                <pic:pic xmlns:pic="http://schemas.openxmlformats.org/drawingml/2006/picture">
                  <pic:nvPicPr>
                    <pic:cNvPr id="1073741826" name="Picture 1" descr="Picture 1"/>
                    <pic:cNvPicPr>
                      <a:picLocks noChangeAspect="1"/>
                    </pic:cNvPicPr>
                  </pic:nvPicPr>
                  <pic:blipFill>
                    <a:blip r:embed="rId11"/>
                    <a:stretch>
                      <a:fillRect/>
                    </a:stretch>
                  </pic:blipFill>
                  <pic:spPr>
                    <a:xfrm>
                      <a:off x="0" y="0"/>
                      <a:ext cx="6691570" cy="2712630"/>
                    </a:xfrm>
                    <a:prstGeom prst="rect">
                      <a:avLst/>
                    </a:prstGeom>
                    <a:ln w="12700" cap="flat">
                      <a:noFill/>
                      <a:miter lim="400000"/>
                    </a:ln>
                    <a:effectLst/>
                  </pic:spPr>
                </pic:pic>
              </a:graphicData>
            </a:graphic>
          </wp:anchor>
        </w:drawing>
      </w:r>
    </w:p>
    <w:p w14:paraId="05D65EA5"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0BF98E8D"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7FDE69F2"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Overall, the conceptual framework </w:t>
      </w:r>
      <w:proofErr w:type="spellStart"/>
      <w:r>
        <w:rPr>
          <w:rFonts w:ascii="Times New Roman" w:hAnsi="Times New Roman"/>
          <w:sz w:val="24"/>
          <w:szCs w:val="24"/>
          <w:lang w:val="en-US"/>
        </w:rPr>
        <w:t>synthesises</w:t>
      </w:r>
      <w:proofErr w:type="spellEnd"/>
      <w:r>
        <w:rPr>
          <w:rFonts w:ascii="Times New Roman" w:hAnsi="Times New Roman"/>
          <w:sz w:val="24"/>
          <w:szCs w:val="24"/>
          <w:lang w:val="en-US"/>
        </w:rPr>
        <w:t xml:space="preserve"> the research objectives, literature review, and data collection, thereby ensuring that the research follows a logical order</w:t>
      </w:r>
    </w:p>
    <w:p w14:paraId="129367FF" w14:textId="77777777" w:rsidR="00DC4459" w:rsidRDefault="00077D4E">
      <w:pPr>
        <w:pStyle w:val="Heading"/>
      </w:pPr>
      <w:bookmarkStart w:id="51" w:name="_Toc73739014"/>
      <w:r>
        <w:rPr>
          <w:rFonts w:eastAsia="Arial Unicode MS" w:cs="Arial Unicode MS"/>
          <w:lang w:val="it-IT"/>
        </w:rPr>
        <w:t xml:space="preserve">2.6. </w:t>
      </w:r>
      <w:proofErr w:type="spellStart"/>
      <w:r>
        <w:rPr>
          <w:rFonts w:eastAsia="Arial Unicode MS" w:cs="Arial Unicode MS"/>
          <w:lang w:val="it-IT"/>
        </w:rPr>
        <w:t>Conclusion</w:t>
      </w:r>
      <w:bookmarkEnd w:id="51"/>
      <w:proofErr w:type="spellEnd"/>
    </w:p>
    <w:p w14:paraId="3C09578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chapter has critically reviewed text relating to corporate governance, the CEP approach, and factors determining the adherence/nonadherence of corporate governance codes. This is necessary for developing the conceptual framework and placing it in view of the research objectives. The next chapter contains the research methodology, which contains all tools, frameworks, and procedures for data collection and analysis</w:t>
      </w:r>
    </w:p>
    <w:p w14:paraId="4D6F0711"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376F0625"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394B93A8" w14:textId="77777777" w:rsidR="00DC4459" w:rsidRDefault="00077D4E">
      <w:pPr>
        <w:pStyle w:val="Heading2"/>
        <w:jc w:val="center"/>
      </w:pPr>
      <w:bookmarkStart w:id="52" w:name="_Toc73739015"/>
      <w:r>
        <w:rPr>
          <w:lang w:val="de-DE"/>
        </w:rPr>
        <w:lastRenderedPageBreak/>
        <w:t>CHAPTER THREE</w:t>
      </w:r>
      <w:bookmarkEnd w:id="52"/>
    </w:p>
    <w:p w14:paraId="236C622F" w14:textId="77777777" w:rsidR="00DC4459" w:rsidRDefault="00077D4E">
      <w:pPr>
        <w:pStyle w:val="Heading2"/>
        <w:jc w:val="center"/>
      </w:pPr>
      <w:bookmarkStart w:id="53" w:name="_Toc73739016"/>
      <w:r>
        <w:rPr>
          <w:lang w:val="de-DE"/>
        </w:rPr>
        <w:t>RESEARCH METHODOLOGY</w:t>
      </w:r>
      <w:bookmarkEnd w:id="53"/>
    </w:p>
    <w:p w14:paraId="0FFF69DD" w14:textId="77777777" w:rsidR="00DC4459" w:rsidRDefault="00077D4E">
      <w:pPr>
        <w:pStyle w:val="Heading"/>
      </w:pPr>
      <w:bookmarkStart w:id="54" w:name="_Toc73739017"/>
      <w:r>
        <w:rPr>
          <w:rFonts w:eastAsia="Arial Unicode MS" w:cs="Arial Unicode MS"/>
          <w:lang w:val="fr-FR"/>
        </w:rPr>
        <w:t>3.1. Introduction</w:t>
      </w:r>
      <w:bookmarkEnd w:id="54"/>
    </w:p>
    <w:p w14:paraId="548CED05"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section contains the research methodology that provides a breakdown of all methodological instruments adopted to collect and </w:t>
      </w:r>
      <w:proofErr w:type="spellStart"/>
      <w:r>
        <w:rPr>
          <w:rFonts w:ascii="Times New Roman" w:hAnsi="Times New Roman"/>
          <w:sz w:val="24"/>
          <w:szCs w:val="24"/>
          <w:lang w:val="en-US"/>
        </w:rPr>
        <w:t>analyse</w:t>
      </w:r>
      <w:proofErr w:type="spellEnd"/>
      <w:r>
        <w:rPr>
          <w:rFonts w:ascii="Times New Roman" w:hAnsi="Times New Roman"/>
          <w:sz w:val="24"/>
          <w:szCs w:val="24"/>
          <w:lang w:val="en-US"/>
        </w:rPr>
        <w:t xml:space="preserve"> data. The methodology comprises the philosophy, approach, design, strategy, methods of data collection and analysis</w:t>
      </w:r>
    </w:p>
    <w:p w14:paraId="3D6DB953" w14:textId="77777777" w:rsidR="00DC4459" w:rsidRDefault="00077D4E">
      <w:pPr>
        <w:pStyle w:val="Heading"/>
      </w:pPr>
      <w:bookmarkStart w:id="55" w:name="_Toc73739018"/>
      <w:r>
        <w:rPr>
          <w:rFonts w:eastAsia="Arial Unicode MS" w:cs="Arial Unicode MS"/>
          <w:lang w:val="en-US"/>
        </w:rPr>
        <w:t>3.2. Research Philosophy</w:t>
      </w:r>
      <w:bookmarkEnd w:id="55"/>
    </w:p>
    <w:p w14:paraId="356B7D32"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Research philosophies are important to the overall coordination of research (</w:t>
      </w:r>
      <w:bookmarkStart w:id="56" w:name="_Hlk70996520"/>
      <w:r>
        <w:rPr>
          <w:rFonts w:ascii="Times New Roman" w:hAnsi="Times New Roman"/>
          <w:sz w:val="24"/>
          <w:szCs w:val="24"/>
          <w:lang w:val="en-US"/>
        </w:rPr>
        <w:t>Saunders and Lewis, 2007</w:t>
      </w:r>
      <w:bookmarkEnd w:id="56"/>
      <w:r>
        <w:rPr>
          <w:rFonts w:ascii="Times New Roman" w:hAnsi="Times New Roman"/>
          <w:sz w:val="24"/>
          <w:szCs w:val="24"/>
          <w:lang w:val="en-US"/>
        </w:rPr>
        <w:t xml:space="preserve">) because the research philosophy governs the conduct and provides the principles by which a scientific </w:t>
      </w:r>
      <w:proofErr w:type="spellStart"/>
      <w:r>
        <w:rPr>
          <w:rFonts w:ascii="Times New Roman" w:hAnsi="Times New Roman"/>
          <w:sz w:val="24"/>
          <w:szCs w:val="24"/>
          <w:lang w:val="en-US"/>
        </w:rPr>
        <w:t>endeavour</w:t>
      </w:r>
      <w:proofErr w:type="spellEnd"/>
      <w:r>
        <w:rPr>
          <w:rFonts w:ascii="Times New Roman" w:hAnsi="Times New Roman"/>
          <w:sz w:val="24"/>
          <w:szCs w:val="24"/>
          <w:lang w:val="en-US"/>
        </w:rPr>
        <w:t xml:space="preserve"> is carried out (</w:t>
      </w:r>
      <w:bookmarkStart w:id="57" w:name="_Hlk70996500"/>
      <w:proofErr w:type="spellStart"/>
      <w:r>
        <w:rPr>
          <w:rFonts w:ascii="Times New Roman" w:hAnsi="Times New Roman"/>
          <w:sz w:val="24"/>
          <w:szCs w:val="24"/>
          <w:lang w:val="de-DE"/>
        </w:rPr>
        <w:t>Creswell</w:t>
      </w:r>
      <w:proofErr w:type="spellEnd"/>
      <w:r>
        <w:rPr>
          <w:rFonts w:ascii="Times New Roman" w:hAnsi="Times New Roman"/>
          <w:sz w:val="24"/>
          <w:szCs w:val="24"/>
          <w:lang w:val="de-DE"/>
        </w:rPr>
        <w:t>, 2013</w:t>
      </w:r>
      <w:bookmarkEnd w:id="57"/>
      <w:r>
        <w:rPr>
          <w:rFonts w:ascii="Times New Roman" w:hAnsi="Times New Roman"/>
          <w:sz w:val="24"/>
          <w:szCs w:val="24"/>
          <w:lang w:val="en-US"/>
        </w:rPr>
        <w:t xml:space="preserve">). When properly applied, the research philosophy enhances the conversion of ideas into knowledge by providing guidelines through which the researcher can collect and </w:t>
      </w:r>
      <w:proofErr w:type="spellStart"/>
      <w:r>
        <w:rPr>
          <w:rFonts w:ascii="Times New Roman" w:hAnsi="Times New Roman"/>
          <w:sz w:val="24"/>
          <w:szCs w:val="24"/>
          <w:lang w:val="en-US"/>
        </w:rPr>
        <w:t>analyse</w:t>
      </w:r>
      <w:proofErr w:type="spellEnd"/>
      <w:r>
        <w:rPr>
          <w:rFonts w:ascii="Times New Roman" w:hAnsi="Times New Roman"/>
          <w:sz w:val="24"/>
          <w:szCs w:val="24"/>
          <w:lang w:val="en-US"/>
        </w:rPr>
        <w:t xml:space="preserve"> data; this is central to answering the research questions (Cooper and Schindler, 2013). As such, the research philosophy is the basis for all scientific inquiry (Lancaster, 2005). Creswell (2013) explains that the research philosophy provides researchers with the philosophical, instrumental, theoretical, and methodological foundations for research; philosophies thus encompass wide structures of beliefs, perceptions, awareness, and practices adopted in the conduct of scientific inquiry. </w:t>
      </w:r>
    </w:p>
    <w:p w14:paraId="77AEAB0C"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Research philosophies are </w:t>
      </w:r>
      <w:proofErr w:type="spellStart"/>
      <w:r>
        <w:rPr>
          <w:rFonts w:ascii="Times New Roman" w:hAnsi="Times New Roman"/>
          <w:sz w:val="24"/>
          <w:szCs w:val="24"/>
          <w:lang w:val="en-US"/>
        </w:rPr>
        <w:t>characterised</w:t>
      </w:r>
      <w:proofErr w:type="spellEnd"/>
      <w:r>
        <w:rPr>
          <w:rFonts w:ascii="Times New Roman" w:hAnsi="Times New Roman"/>
          <w:sz w:val="24"/>
          <w:szCs w:val="24"/>
          <w:lang w:val="en-US"/>
        </w:rPr>
        <w:t xml:space="preserve"> by a precise nature of procedures that consist of several stages. Using these stages, the researcher can create a relationship between research aims and objectives. Saunders and Lewis (2007), further discussing these stages of research philosophy, notes that they are linked to ontology, epistemology, and methodology, which directs the process of researching a particular subject. These three stages are discussed in the table below</w:t>
      </w:r>
    </w:p>
    <w:p w14:paraId="02E4DAEF" w14:textId="77777777" w:rsidR="00DC4459" w:rsidRDefault="00077D4E">
      <w:pPr>
        <w:pStyle w:val="Caption"/>
      </w:pPr>
      <w:r>
        <w:t>Table 1. Stages of Research Philosophy</w:t>
      </w:r>
    </w:p>
    <w:tbl>
      <w:tblPr>
        <w:tblW w:w="9997"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624"/>
        <w:gridCol w:w="2000"/>
        <w:gridCol w:w="7373"/>
      </w:tblGrid>
      <w:tr w:rsidR="00DC4459" w14:paraId="194393D8" w14:textId="77777777" w:rsidTr="002E0492">
        <w:trPr>
          <w:trHeight w:val="275"/>
        </w:trPr>
        <w:tc>
          <w:tcPr>
            <w:tcW w:w="624" w:type="dxa"/>
            <w:tcBorders>
              <w:top w:val="nil"/>
              <w:left w:val="nil"/>
              <w:bottom w:val="single" w:sz="4" w:space="0" w:color="7F7F7F"/>
              <w:right w:val="single" w:sz="4" w:space="0" w:color="7F7F7F"/>
            </w:tcBorders>
            <w:shd w:val="clear" w:color="auto" w:fill="FFFFFF"/>
            <w:tcMar>
              <w:top w:w="80" w:type="dxa"/>
              <w:left w:w="80" w:type="dxa"/>
              <w:bottom w:w="80" w:type="dxa"/>
              <w:right w:w="80" w:type="dxa"/>
            </w:tcMar>
          </w:tcPr>
          <w:p w14:paraId="20AFA1C6" w14:textId="77777777" w:rsidR="00DC4459" w:rsidRDefault="00077D4E">
            <w:pPr>
              <w:pStyle w:val="Body"/>
              <w:spacing w:line="360" w:lineRule="auto"/>
              <w:jc w:val="both"/>
            </w:pPr>
            <w:r>
              <w:rPr>
                <w:rFonts w:ascii="Times New Roman" w:hAnsi="Times New Roman"/>
                <w:b/>
                <w:bCs/>
                <w:i/>
                <w:iCs/>
                <w:sz w:val="24"/>
                <w:szCs w:val="24"/>
                <w:lang w:val="en-US"/>
              </w:rPr>
              <w:t>S/N</w:t>
            </w:r>
          </w:p>
        </w:tc>
        <w:tc>
          <w:tcPr>
            <w:tcW w:w="2000" w:type="dxa"/>
            <w:tcBorders>
              <w:top w:val="nil"/>
              <w:left w:val="single" w:sz="4" w:space="0" w:color="7F7F7F"/>
              <w:bottom w:val="single" w:sz="4" w:space="0" w:color="7F7F7F"/>
              <w:right w:val="nil"/>
            </w:tcBorders>
            <w:shd w:val="clear" w:color="auto" w:fill="FFFFFF"/>
            <w:tcMar>
              <w:top w:w="80" w:type="dxa"/>
              <w:left w:w="80" w:type="dxa"/>
              <w:bottom w:w="80" w:type="dxa"/>
              <w:right w:w="80" w:type="dxa"/>
            </w:tcMar>
          </w:tcPr>
          <w:p w14:paraId="0CDDDD16" w14:textId="77777777" w:rsidR="00DC4459" w:rsidRDefault="00077D4E">
            <w:pPr>
              <w:pStyle w:val="Body"/>
              <w:spacing w:after="0" w:line="360" w:lineRule="auto"/>
              <w:jc w:val="both"/>
            </w:pPr>
            <w:r>
              <w:rPr>
                <w:rFonts w:ascii="Times New Roman" w:hAnsi="Times New Roman"/>
                <w:b/>
                <w:bCs/>
                <w:i/>
                <w:iCs/>
                <w:sz w:val="24"/>
                <w:szCs w:val="24"/>
                <w:lang w:val="en-US"/>
              </w:rPr>
              <w:t>Stages</w:t>
            </w:r>
          </w:p>
        </w:tc>
        <w:tc>
          <w:tcPr>
            <w:tcW w:w="7373" w:type="dxa"/>
            <w:tcBorders>
              <w:top w:val="nil"/>
              <w:left w:val="nil"/>
              <w:bottom w:val="single" w:sz="4" w:space="0" w:color="7F7F7F"/>
              <w:right w:val="nil"/>
            </w:tcBorders>
            <w:shd w:val="clear" w:color="auto" w:fill="FFFFFF"/>
            <w:tcMar>
              <w:top w:w="80" w:type="dxa"/>
              <w:left w:w="80" w:type="dxa"/>
              <w:bottom w:w="80" w:type="dxa"/>
              <w:right w:w="80" w:type="dxa"/>
            </w:tcMar>
          </w:tcPr>
          <w:p w14:paraId="3677494B" w14:textId="77777777" w:rsidR="00DC4459" w:rsidRDefault="00077D4E">
            <w:pPr>
              <w:pStyle w:val="Body"/>
              <w:spacing w:after="0" w:line="360" w:lineRule="auto"/>
              <w:jc w:val="both"/>
            </w:pPr>
            <w:r>
              <w:rPr>
                <w:rFonts w:ascii="Times New Roman" w:hAnsi="Times New Roman"/>
                <w:b/>
                <w:bCs/>
                <w:i/>
                <w:iCs/>
                <w:sz w:val="24"/>
                <w:szCs w:val="24"/>
                <w:lang w:val="en-US"/>
              </w:rPr>
              <w:t>Explanations</w:t>
            </w:r>
          </w:p>
        </w:tc>
      </w:tr>
      <w:tr w:rsidR="00DC4459" w14:paraId="38F70C12" w14:textId="77777777" w:rsidTr="002E0492">
        <w:trPr>
          <w:trHeight w:val="1106"/>
        </w:trPr>
        <w:tc>
          <w:tcPr>
            <w:tcW w:w="624" w:type="dxa"/>
            <w:tcBorders>
              <w:top w:val="single" w:sz="4" w:space="0" w:color="7F7F7F"/>
              <w:left w:val="nil"/>
              <w:bottom w:val="nil"/>
              <w:right w:val="single" w:sz="4" w:space="0" w:color="7F7F7F"/>
            </w:tcBorders>
            <w:shd w:val="clear" w:color="auto" w:fill="FFFFFF"/>
            <w:tcMar>
              <w:top w:w="80" w:type="dxa"/>
              <w:left w:w="80" w:type="dxa"/>
              <w:bottom w:w="80" w:type="dxa"/>
              <w:right w:w="80" w:type="dxa"/>
            </w:tcMar>
          </w:tcPr>
          <w:p w14:paraId="508B97E4" w14:textId="77777777" w:rsidR="00DC4459" w:rsidRDefault="00077D4E">
            <w:pPr>
              <w:pStyle w:val="Body"/>
              <w:spacing w:after="0" w:line="360" w:lineRule="auto"/>
              <w:jc w:val="both"/>
            </w:pPr>
            <w:r>
              <w:rPr>
                <w:rFonts w:ascii="Times New Roman" w:hAnsi="Times New Roman"/>
                <w:i/>
                <w:iCs/>
                <w:sz w:val="24"/>
                <w:szCs w:val="24"/>
                <w:lang w:val="en-US"/>
              </w:rPr>
              <w:t>1</w:t>
            </w:r>
          </w:p>
        </w:tc>
        <w:tc>
          <w:tcPr>
            <w:tcW w:w="2000" w:type="dxa"/>
            <w:tcBorders>
              <w:top w:val="single" w:sz="4" w:space="0" w:color="7F7F7F"/>
              <w:left w:val="single" w:sz="4" w:space="0" w:color="7F7F7F"/>
              <w:bottom w:val="nil"/>
              <w:right w:val="nil"/>
            </w:tcBorders>
            <w:shd w:val="clear" w:color="auto" w:fill="F2F2F2"/>
            <w:tcMar>
              <w:top w:w="80" w:type="dxa"/>
              <w:left w:w="80" w:type="dxa"/>
              <w:bottom w:w="80" w:type="dxa"/>
              <w:right w:w="80" w:type="dxa"/>
            </w:tcMar>
          </w:tcPr>
          <w:p w14:paraId="164ED82D" w14:textId="77777777" w:rsidR="00DC4459" w:rsidRDefault="00077D4E">
            <w:pPr>
              <w:pStyle w:val="Body"/>
              <w:spacing w:after="0" w:line="360" w:lineRule="auto"/>
              <w:jc w:val="both"/>
            </w:pPr>
            <w:r>
              <w:rPr>
                <w:rFonts w:ascii="Times New Roman" w:hAnsi="Times New Roman"/>
                <w:b/>
                <w:bCs/>
                <w:sz w:val="24"/>
                <w:szCs w:val="24"/>
                <w:lang w:val="en-US"/>
              </w:rPr>
              <w:t>Epistemology</w:t>
            </w:r>
          </w:p>
        </w:tc>
        <w:tc>
          <w:tcPr>
            <w:tcW w:w="7373" w:type="dxa"/>
            <w:tcBorders>
              <w:top w:val="single" w:sz="4" w:space="0" w:color="7F7F7F"/>
              <w:left w:val="nil"/>
              <w:bottom w:val="nil"/>
              <w:right w:val="nil"/>
            </w:tcBorders>
            <w:shd w:val="clear" w:color="auto" w:fill="F2F2F2"/>
            <w:tcMar>
              <w:top w:w="80" w:type="dxa"/>
              <w:left w:w="80" w:type="dxa"/>
              <w:bottom w:w="80" w:type="dxa"/>
              <w:right w:w="80" w:type="dxa"/>
            </w:tcMar>
          </w:tcPr>
          <w:p w14:paraId="69C801B9" w14:textId="77777777" w:rsidR="00DC4459" w:rsidRDefault="00077D4E">
            <w:pPr>
              <w:pStyle w:val="Body"/>
              <w:spacing w:after="0" w:line="360" w:lineRule="auto"/>
              <w:jc w:val="both"/>
            </w:pPr>
            <w:r>
              <w:rPr>
                <w:rFonts w:ascii="Times New Roman" w:hAnsi="Times New Roman"/>
                <w:sz w:val="24"/>
                <w:szCs w:val="24"/>
                <w:lang w:val="en-US"/>
              </w:rPr>
              <w:t>Refers to the general parameters associated with the basic assumptions of how to explore the real world and nature of the human environment</w:t>
            </w:r>
          </w:p>
        </w:tc>
      </w:tr>
      <w:tr w:rsidR="00DC4459" w14:paraId="5300A05E" w14:textId="77777777" w:rsidTr="002E0492">
        <w:trPr>
          <w:trHeight w:val="1101"/>
        </w:trPr>
        <w:tc>
          <w:tcPr>
            <w:tcW w:w="624" w:type="dxa"/>
            <w:tcBorders>
              <w:top w:val="nil"/>
              <w:left w:val="nil"/>
              <w:bottom w:val="nil"/>
              <w:right w:val="single" w:sz="4" w:space="0" w:color="7F7F7F"/>
            </w:tcBorders>
            <w:shd w:val="clear" w:color="auto" w:fill="FFFFFF"/>
            <w:tcMar>
              <w:top w:w="80" w:type="dxa"/>
              <w:left w:w="80" w:type="dxa"/>
              <w:bottom w:w="80" w:type="dxa"/>
              <w:right w:w="80" w:type="dxa"/>
            </w:tcMar>
          </w:tcPr>
          <w:p w14:paraId="7896DDA9" w14:textId="77777777" w:rsidR="00DC4459" w:rsidRDefault="00077D4E">
            <w:pPr>
              <w:pStyle w:val="Body"/>
              <w:spacing w:after="0" w:line="360" w:lineRule="auto"/>
              <w:jc w:val="both"/>
            </w:pPr>
            <w:r>
              <w:rPr>
                <w:rFonts w:ascii="Times New Roman" w:hAnsi="Times New Roman"/>
                <w:i/>
                <w:iCs/>
                <w:sz w:val="24"/>
                <w:szCs w:val="24"/>
                <w:lang w:val="en-US"/>
              </w:rPr>
              <w:lastRenderedPageBreak/>
              <w:t>2</w:t>
            </w:r>
          </w:p>
        </w:tc>
        <w:tc>
          <w:tcPr>
            <w:tcW w:w="2000" w:type="dxa"/>
            <w:tcBorders>
              <w:top w:val="nil"/>
              <w:left w:val="single" w:sz="4" w:space="0" w:color="7F7F7F"/>
              <w:bottom w:val="nil"/>
              <w:right w:val="nil"/>
            </w:tcBorders>
            <w:shd w:val="clear" w:color="auto" w:fill="auto"/>
            <w:tcMar>
              <w:top w:w="80" w:type="dxa"/>
              <w:left w:w="80" w:type="dxa"/>
              <w:bottom w:w="80" w:type="dxa"/>
              <w:right w:w="80" w:type="dxa"/>
            </w:tcMar>
          </w:tcPr>
          <w:p w14:paraId="4EC29567" w14:textId="77777777" w:rsidR="00DC4459" w:rsidRDefault="00077D4E">
            <w:pPr>
              <w:pStyle w:val="Body"/>
              <w:spacing w:after="0" w:line="360" w:lineRule="auto"/>
              <w:jc w:val="both"/>
            </w:pPr>
            <w:r>
              <w:rPr>
                <w:rFonts w:ascii="Times New Roman" w:hAnsi="Times New Roman"/>
                <w:b/>
                <w:bCs/>
                <w:sz w:val="24"/>
                <w:szCs w:val="24"/>
                <w:lang w:val="en-US"/>
              </w:rPr>
              <w:t>Ontology</w:t>
            </w:r>
          </w:p>
        </w:tc>
        <w:tc>
          <w:tcPr>
            <w:tcW w:w="7373" w:type="dxa"/>
            <w:tcBorders>
              <w:top w:val="nil"/>
              <w:left w:val="nil"/>
              <w:bottom w:val="nil"/>
              <w:right w:val="nil"/>
            </w:tcBorders>
            <w:shd w:val="clear" w:color="auto" w:fill="auto"/>
            <w:tcMar>
              <w:top w:w="80" w:type="dxa"/>
              <w:left w:w="80" w:type="dxa"/>
              <w:bottom w:w="80" w:type="dxa"/>
              <w:right w:w="80" w:type="dxa"/>
            </w:tcMar>
          </w:tcPr>
          <w:p w14:paraId="19EA77BF" w14:textId="77777777" w:rsidR="00DC4459" w:rsidRDefault="00077D4E">
            <w:pPr>
              <w:pStyle w:val="Body"/>
              <w:spacing w:after="0" w:line="360" w:lineRule="auto"/>
              <w:jc w:val="both"/>
            </w:pPr>
            <w:r>
              <w:rPr>
                <w:rFonts w:ascii="Times New Roman" w:hAnsi="Times New Roman"/>
                <w:sz w:val="24"/>
                <w:szCs w:val="24"/>
                <w:lang w:val="en-US"/>
              </w:rPr>
              <w:t>General assumptions created and modified to enhance the perceptions of the nature of the society, thus enabling the researcher to get deeper understanding of the society</w:t>
            </w:r>
          </w:p>
        </w:tc>
      </w:tr>
      <w:tr w:rsidR="00DC4459" w14:paraId="642BD757" w14:textId="77777777" w:rsidTr="002E0492">
        <w:trPr>
          <w:trHeight w:val="686"/>
        </w:trPr>
        <w:tc>
          <w:tcPr>
            <w:tcW w:w="624" w:type="dxa"/>
            <w:tcBorders>
              <w:top w:val="nil"/>
              <w:left w:val="nil"/>
              <w:bottom w:val="nil"/>
              <w:right w:val="single" w:sz="4" w:space="0" w:color="7F7F7F"/>
            </w:tcBorders>
            <w:shd w:val="clear" w:color="auto" w:fill="FFFFFF"/>
            <w:tcMar>
              <w:top w:w="80" w:type="dxa"/>
              <w:left w:w="80" w:type="dxa"/>
              <w:bottom w:w="80" w:type="dxa"/>
              <w:right w:w="80" w:type="dxa"/>
            </w:tcMar>
          </w:tcPr>
          <w:p w14:paraId="5A152903" w14:textId="77777777" w:rsidR="00DC4459" w:rsidRDefault="00077D4E">
            <w:pPr>
              <w:pStyle w:val="Body"/>
              <w:spacing w:after="0" w:line="360" w:lineRule="auto"/>
              <w:jc w:val="both"/>
            </w:pPr>
            <w:r>
              <w:rPr>
                <w:rFonts w:ascii="Times New Roman" w:hAnsi="Times New Roman"/>
                <w:i/>
                <w:iCs/>
                <w:sz w:val="24"/>
                <w:szCs w:val="24"/>
                <w:lang w:val="en-US"/>
              </w:rPr>
              <w:t>3</w:t>
            </w:r>
          </w:p>
        </w:tc>
        <w:tc>
          <w:tcPr>
            <w:tcW w:w="2000" w:type="dxa"/>
            <w:tcBorders>
              <w:top w:val="nil"/>
              <w:left w:val="single" w:sz="4" w:space="0" w:color="7F7F7F"/>
              <w:bottom w:val="nil"/>
              <w:right w:val="nil"/>
            </w:tcBorders>
            <w:shd w:val="clear" w:color="auto" w:fill="F2F2F2"/>
            <w:tcMar>
              <w:top w:w="80" w:type="dxa"/>
              <w:left w:w="80" w:type="dxa"/>
              <w:bottom w:w="80" w:type="dxa"/>
              <w:right w:w="80" w:type="dxa"/>
            </w:tcMar>
          </w:tcPr>
          <w:p w14:paraId="78D34362" w14:textId="77777777" w:rsidR="00DC4459" w:rsidRDefault="00077D4E">
            <w:pPr>
              <w:pStyle w:val="Body"/>
              <w:spacing w:after="0" w:line="360" w:lineRule="auto"/>
              <w:jc w:val="both"/>
            </w:pPr>
            <w:r>
              <w:rPr>
                <w:rFonts w:ascii="Times New Roman" w:hAnsi="Times New Roman"/>
                <w:b/>
                <w:bCs/>
                <w:sz w:val="24"/>
                <w:szCs w:val="24"/>
                <w:lang w:val="en-US"/>
              </w:rPr>
              <w:t>Methodology</w:t>
            </w:r>
          </w:p>
        </w:tc>
        <w:tc>
          <w:tcPr>
            <w:tcW w:w="7373" w:type="dxa"/>
            <w:tcBorders>
              <w:top w:val="nil"/>
              <w:left w:val="nil"/>
              <w:bottom w:val="nil"/>
              <w:right w:val="nil"/>
            </w:tcBorders>
            <w:shd w:val="clear" w:color="auto" w:fill="F2F2F2"/>
            <w:tcMar>
              <w:top w:w="80" w:type="dxa"/>
              <w:left w:w="80" w:type="dxa"/>
              <w:bottom w:w="80" w:type="dxa"/>
              <w:right w:w="80" w:type="dxa"/>
            </w:tcMar>
          </w:tcPr>
          <w:p w14:paraId="5BCD0B00" w14:textId="77777777" w:rsidR="00DC4459" w:rsidRDefault="00077D4E">
            <w:pPr>
              <w:pStyle w:val="Body"/>
              <w:spacing w:after="0" w:line="360" w:lineRule="auto"/>
              <w:jc w:val="both"/>
            </w:pPr>
            <w:r>
              <w:rPr>
                <w:rFonts w:ascii="Times New Roman" w:hAnsi="Times New Roman"/>
                <w:sz w:val="24"/>
                <w:szCs w:val="24"/>
                <w:lang w:val="en-US"/>
              </w:rPr>
              <w:t>A combination of several techniques and scientific tools adopted by the researcher to approach different research subjects</w:t>
            </w:r>
          </w:p>
        </w:tc>
      </w:tr>
    </w:tbl>
    <w:p w14:paraId="00F1045E" w14:textId="77777777" w:rsidR="00DC4459" w:rsidRDefault="00DC4459">
      <w:pPr>
        <w:pStyle w:val="Caption"/>
        <w:widowControl w:val="0"/>
      </w:pPr>
    </w:p>
    <w:p w14:paraId="394142DF" w14:textId="77777777" w:rsidR="00DC4459" w:rsidRDefault="00077D4E">
      <w:pPr>
        <w:pStyle w:val="Body"/>
        <w:spacing w:line="360" w:lineRule="auto"/>
        <w:jc w:val="both"/>
        <w:rPr>
          <w:rFonts w:ascii="Times New Roman" w:eastAsia="Times New Roman" w:hAnsi="Times New Roman" w:cs="Times New Roman"/>
          <w:b/>
          <w:bCs/>
          <w:sz w:val="24"/>
          <w:szCs w:val="24"/>
        </w:rPr>
      </w:pPr>
      <w:r>
        <w:rPr>
          <w:rFonts w:ascii="Times New Roman" w:hAnsi="Times New Roman"/>
          <w:b/>
          <w:bCs/>
          <w:sz w:val="24"/>
          <w:szCs w:val="24"/>
          <w:lang w:val="en-US"/>
        </w:rPr>
        <w:t>Source: Saunders and Lewis (2007)</w:t>
      </w:r>
    </w:p>
    <w:p w14:paraId="17AF2BBF"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By using these basic stages, research is appropriately able to understand, observe, measure, and </w:t>
      </w:r>
      <w:proofErr w:type="spellStart"/>
      <w:r>
        <w:rPr>
          <w:rFonts w:ascii="Times New Roman" w:hAnsi="Times New Roman"/>
          <w:sz w:val="24"/>
          <w:szCs w:val="24"/>
          <w:lang w:val="en-US"/>
        </w:rPr>
        <w:t>analyse</w:t>
      </w:r>
      <w:proofErr w:type="spellEnd"/>
      <w:r>
        <w:rPr>
          <w:rFonts w:ascii="Times New Roman" w:hAnsi="Times New Roman"/>
          <w:sz w:val="24"/>
          <w:szCs w:val="24"/>
          <w:lang w:val="en-US"/>
        </w:rPr>
        <w:t xml:space="preserve"> a research problem. These stages or components are further used to discuss the type of research philosophy adopted by the researcher. Two types of research philosophies exist </w:t>
      </w:r>
      <w:proofErr w:type="spellStart"/>
      <w:r>
        <w:rPr>
          <w:rFonts w:ascii="Times New Roman" w:hAnsi="Times New Roman"/>
          <w:sz w:val="24"/>
          <w:szCs w:val="24"/>
          <w:lang w:val="en-US"/>
        </w:rPr>
        <w:t>i.e</w:t>
      </w:r>
      <w:proofErr w:type="spellEnd"/>
      <w:r>
        <w:rPr>
          <w:rFonts w:ascii="Times New Roman" w:hAnsi="Times New Roman"/>
          <w:sz w:val="24"/>
          <w:szCs w:val="24"/>
          <w:lang w:val="en-US"/>
        </w:rPr>
        <w:t xml:space="preserve">, positivism and interpretivism. The positivism philosophy relies on objective and quantifiable data (Creswell, 2013). As such, this philosophy focuses on understanding the social and natural world objectively. Researchers using this philosophy mainly quantify and measure the extent, magnitude, and frequency of occurrence of a social phenomenon on individuals (Sekaran and Bougie, 2013). The positivist researcher is also thoroughly empirical and disassociates his/her personality, sentiments, biases from the research; thus, positivism-based research is considered to be high in validity and reliability (Sekaran and Bougie, 2013).  </w:t>
      </w:r>
    </w:p>
    <w:p w14:paraId="362E0F4F"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second type of philosophy is the interpretivism philosophy; this is the opposite of positivism philosophy; the interpretivism philosophy stresses that a principled, purely objective, and thoroughly empirical method (as used by positivism) is not possible for social research (Creswell, 2013). interpretivism focuses on the study of human relations in association with socially constructed realities (</w:t>
      </w:r>
      <w:proofErr w:type="spellStart"/>
      <w:r>
        <w:rPr>
          <w:rFonts w:ascii="Times New Roman" w:hAnsi="Times New Roman"/>
          <w:sz w:val="24"/>
          <w:szCs w:val="24"/>
          <w:lang w:val="en-US"/>
        </w:rPr>
        <w:t>i.e</w:t>
      </w:r>
      <w:proofErr w:type="spellEnd"/>
      <w:r>
        <w:rPr>
          <w:rFonts w:ascii="Times New Roman" w:hAnsi="Times New Roman"/>
          <w:sz w:val="24"/>
          <w:szCs w:val="24"/>
          <w:lang w:val="en-US"/>
        </w:rPr>
        <w:t>, things and phenomena that humans create by interacting with themselves). A positivist absolute "</w:t>
      </w:r>
      <w:proofErr w:type="spellStart"/>
      <w:r>
        <w:rPr>
          <w:rFonts w:ascii="Times New Roman" w:hAnsi="Times New Roman"/>
          <w:sz w:val="24"/>
          <w:szCs w:val="24"/>
          <w:lang w:val="en-US"/>
        </w:rPr>
        <w:t>scientificism</w:t>
      </w:r>
      <w:proofErr w:type="spellEnd"/>
      <w:r>
        <w:rPr>
          <w:rFonts w:ascii="Times New Roman" w:hAnsi="Times New Roman"/>
          <w:sz w:val="24"/>
          <w:szCs w:val="24"/>
          <w:lang w:val="en-US"/>
        </w:rPr>
        <w:t xml:space="preserve">" is not obtainable while studying social realities because social realities are dynamic and subject to change. </w:t>
      </w:r>
    </w:p>
    <w:p w14:paraId="200E2A22"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Lancaster (2005), explains that researchers using the interpretivism philosophy focuses on an in-depth and detailed understanding of human experience as they interact with the social world, the researcher observes and analyses the social world and phenomena as they relate and interact with human beings. Human beings are dynamic and subject to change; therefore, a central argument of the interpretivism philosophy is that "studying humans in a purely objective manner as obtained with positivism is not possible" (Lancaster, 2005, p 56). As a solution, interpretivism suggests a more flexible and subjective approach to the study of human </w:t>
      </w:r>
      <w:proofErr w:type="spellStart"/>
      <w:r>
        <w:rPr>
          <w:rFonts w:ascii="Times New Roman" w:hAnsi="Times New Roman"/>
          <w:sz w:val="24"/>
          <w:szCs w:val="24"/>
          <w:lang w:val="en-US"/>
        </w:rPr>
        <w:lastRenderedPageBreak/>
        <w:t>behaviour</w:t>
      </w:r>
      <w:proofErr w:type="spellEnd"/>
      <w:r>
        <w:rPr>
          <w:rFonts w:ascii="Times New Roman" w:hAnsi="Times New Roman"/>
          <w:sz w:val="24"/>
          <w:szCs w:val="24"/>
          <w:lang w:val="en-US"/>
        </w:rPr>
        <w:t xml:space="preserve"> and social realities; this enhances the in-depth and detailed understanding of human nature (Creswell, 2013). </w:t>
      </w:r>
    </w:p>
    <w:p w14:paraId="5A732B6C"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research adopted the interpretivism philosophy; this is justifiable as the study sought to investigate the adherence to corporate governance codes in Ireland. Corporate governance codes are socially constructed realities (i.e., phenomena created by humans as they interact with other humans). As explained earlier, socially constructed realities cannot be purely studied objectively with positivism, as such realities are dynamic and capable of changing. Using interpretivism is thus prudent as it provided much flexibility for the researcher to examine the level of corporate governance adherence at an in-depth and detailed level, therefore achieving the research objective. </w:t>
      </w:r>
    </w:p>
    <w:p w14:paraId="0F55BC9B"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Recall that it is noted that research philosophy has three stages i.e., epistemology, ontology, and methodology. The table below discusses these stages in the context of interpretivism. </w:t>
      </w:r>
    </w:p>
    <w:p w14:paraId="67314F23" w14:textId="77777777" w:rsidR="00DC4459" w:rsidRDefault="00077D4E">
      <w:pPr>
        <w:pStyle w:val="Caption"/>
      </w:pPr>
      <w:r>
        <w:t>Table 2. Stages of Research Philosophy in the context of Interpretivism</w:t>
      </w:r>
    </w:p>
    <w:tbl>
      <w:tblPr>
        <w:tblW w:w="10349"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1641"/>
        <w:gridCol w:w="2612"/>
        <w:gridCol w:w="2615"/>
        <w:gridCol w:w="3481"/>
      </w:tblGrid>
      <w:tr w:rsidR="00DC4459" w14:paraId="75D497EC" w14:textId="77777777" w:rsidTr="002E0492">
        <w:trPr>
          <w:trHeight w:val="727"/>
        </w:trPr>
        <w:tc>
          <w:tcPr>
            <w:tcW w:w="1641"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69B5E0D5" w14:textId="77777777" w:rsidR="00DC4459" w:rsidRDefault="00077D4E">
            <w:pPr>
              <w:pStyle w:val="Body"/>
              <w:spacing w:line="360" w:lineRule="auto"/>
              <w:jc w:val="both"/>
            </w:pPr>
            <w:r>
              <w:rPr>
                <w:rFonts w:ascii="Times New Roman" w:hAnsi="Times New Roman"/>
                <w:b/>
                <w:bCs/>
                <w:sz w:val="24"/>
                <w:szCs w:val="24"/>
                <w:lang w:val="en-US"/>
              </w:rPr>
              <w:t>Research Philosophy</w:t>
            </w:r>
          </w:p>
        </w:tc>
        <w:tc>
          <w:tcPr>
            <w:tcW w:w="2612"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17F3389" w14:textId="77777777" w:rsidR="00DC4459" w:rsidRDefault="00077D4E">
            <w:pPr>
              <w:pStyle w:val="Body"/>
              <w:spacing w:after="0" w:line="360" w:lineRule="auto"/>
              <w:jc w:val="both"/>
            </w:pPr>
            <w:r>
              <w:rPr>
                <w:rFonts w:ascii="Times New Roman" w:hAnsi="Times New Roman"/>
                <w:b/>
                <w:bCs/>
                <w:sz w:val="24"/>
                <w:szCs w:val="24"/>
                <w:lang w:val="en-US"/>
              </w:rPr>
              <w:t>Ontology</w:t>
            </w:r>
          </w:p>
        </w:tc>
        <w:tc>
          <w:tcPr>
            <w:tcW w:w="2615"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7E8AE51" w14:textId="77777777" w:rsidR="00DC4459" w:rsidRDefault="00077D4E">
            <w:pPr>
              <w:pStyle w:val="Body"/>
              <w:spacing w:after="0" w:line="360" w:lineRule="auto"/>
              <w:jc w:val="both"/>
            </w:pPr>
            <w:r>
              <w:rPr>
                <w:rFonts w:ascii="Times New Roman" w:hAnsi="Times New Roman"/>
                <w:b/>
                <w:bCs/>
                <w:sz w:val="24"/>
                <w:szCs w:val="24"/>
                <w:lang w:val="en-US"/>
              </w:rPr>
              <w:t>Epistemology</w:t>
            </w:r>
          </w:p>
        </w:tc>
        <w:tc>
          <w:tcPr>
            <w:tcW w:w="3481" w:type="dxa"/>
            <w:tcBorders>
              <w:top w:val="single" w:sz="4" w:space="0" w:color="BFBFBF"/>
              <w:left w:val="single" w:sz="4" w:space="0" w:color="BFBFBF"/>
              <w:bottom w:val="single" w:sz="4" w:space="0" w:color="BFBFBF"/>
              <w:right w:val="single" w:sz="4" w:space="0" w:color="BFBFBF"/>
            </w:tcBorders>
            <w:shd w:val="clear" w:color="auto" w:fill="auto"/>
            <w:tcMar>
              <w:top w:w="80" w:type="dxa"/>
              <w:left w:w="80" w:type="dxa"/>
              <w:bottom w:w="80" w:type="dxa"/>
              <w:right w:w="80" w:type="dxa"/>
            </w:tcMar>
          </w:tcPr>
          <w:p w14:paraId="04741EF7" w14:textId="77777777" w:rsidR="00DC4459" w:rsidRDefault="00077D4E">
            <w:pPr>
              <w:pStyle w:val="Body"/>
              <w:spacing w:after="0" w:line="360" w:lineRule="auto"/>
              <w:jc w:val="both"/>
            </w:pPr>
            <w:r>
              <w:rPr>
                <w:rFonts w:ascii="Times New Roman" w:hAnsi="Times New Roman"/>
                <w:b/>
                <w:bCs/>
                <w:sz w:val="24"/>
                <w:szCs w:val="24"/>
                <w:lang w:val="en-US"/>
              </w:rPr>
              <w:t>Research Methodology</w:t>
            </w:r>
          </w:p>
        </w:tc>
      </w:tr>
      <w:tr w:rsidR="00DC4459" w14:paraId="776A275D" w14:textId="77777777" w:rsidTr="002E0492">
        <w:trPr>
          <w:trHeight w:val="2898"/>
        </w:trPr>
        <w:tc>
          <w:tcPr>
            <w:tcW w:w="1641"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77D5250A" w14:textId="77777777" w:rsidR="00DC4459" w:rsidRDefault="00077D4E">
            <w:pPr>
              <w:pStyle w:val="Body"/>
              <w:spacing w:after="0" w:line="360" w:lineRule="auto"/>
              <w:jc w:val="both"/>
            </w:pPr>
            <w:r>
              <w:rPr>
                <w:rFonts w:ascii="Times New Roman" w:hAnsi="Times New Roman"/>
                <w:b/>
                <w:bCs/>
                <w:sz w:val="24"/>
                <w:szCs w:val="24"/>
                <w:lang w:val="en-US"/>
              </w:rPr>
              <w:t>Interpretivism</w:t>
            </w:r>
          </w:p>
        </w:tc>
        <w:tc>
          <w:tcPr>
            <w:tcW w:w="2612"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46FAF33C" w14:textId="77777777" w:rsidR="00DC4459" w:rsidRDefault="00077D4E">
            <w:pPr>
              <w:pStyle w:val="Body"/>
              <w:spacing w:after="0" w:line="360" w:lineRule="auto"/>
              <w:jc w:val="both"/>
            </w:pPr>
            <w:r>
              <w:rPr>
                <w:rFonts w:ascii="Times New Roman" w:hAnsi="Times New Roman"/>
                <w:sz w:val="24"/>
                <w:szCs w:val="24"/>
                <w:lang w:val="en-US"/>
              </w:rPr>
              <w:t>The inseparability of the researcher from the research</w:t>
            </w:r>
          </w:p>
        </w:tc>
        <w:tc>
          <w:tcPr>
            <w:tcW w:w="2615"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24520F5A" w14:textId="77777777" w:rsidR="00DC4459" w:rsidRDefault="00077D4E">
            <w:pPr>
              <w:pStyle w:val="Body"/>
              <w:spacing w:after="0" w:line="360" w:lineRule="auto"/>
              <w:jc w:val="both"/>
            </w:pPr>
            <w:r>
              <w:rPr>
                <w:rFonts w:ascii="Times New Roman" w:hAnsi="Times New Roman"/>
                <w:sz w:val="24"/>
                <w:szCs w:val="24"/>
                <w:lang w:val="en-US"/>
              </w:rPr>
              <w:t xml:space="preserve">Knowledge is obtained by </w:t>
            </w:r>
            <w:proofErr w:type="spellStart"/>
            <w:r>
              <w:rPr>
                <w:rFonts w:ascii="Times New Roman" w:hAnsi="Times New Roman"/>
                <w:sz w:val="24"/>
                <w:szCs w:val="24"/>
                <w:lang w:val="en-US"/>
              </w:rPr>
              <w:t>analysing</w:t>
            </w:r>
            <w:proofErr w:type="spellEnd"/>
            <w:r>
              <w:rPr>
                <w:rFonts w:ascii="Times New Roman" w:hAnsi="Times New Roman"/>
                <w:sz w:val="24"/>
                <w:szCs w:val="24"/>
                <w:lang w:val="en-US"/>
              </w:rPr>
              <w:t xml:space="preserve"> the meanings and descriptions created by humans </w:t>
            </w:r>
            <w:proofErr w:type="spellStart"/>
            <w:r>
              <w:rPr>
                <w:rFonts w:ascii="Times New Roman" w:hAnsi="Times New Roman"/>
                <w:sz w:val="24"/>
                <w:szCs w:val="24"/>
                <w:lang w:val="en-US"/>
              </w:rPr>
              <w:t>i.e</w:t>
            </w:r>
            <w:proofErr w:type="spellEnd"/>
            <w:r>
              <w:rPr>
                <w:rFonts w:ascii="Times New Roman" w:hAnsi="Times New Roman"/>
                <w:sz w:val="24"/>
                <w:szCs w:val="24"/>
                <w:lang w:val="en-US"/>
              </w:rPr>
              <w:t xml:space="preserve"> socially constructed realities</w:t>
            </w:r>
          </w:p>
        </w:tc>
        <w:tc>
          <w:tcPr>
            <w:tcW w:w="3481" w:type="dxa"/>
            <w:tcBorders>
              <w:top w:val="single" w:sz="4" w:space="0" w:color="BFBFBF"/>
              <w:left w:val="single" w:sz="4" w:space="0" w:color="BFBFBF"/>
              <w:bottom w:val="single" w:sz="4" w:space="0" w:color="BFBFBF"/>
              <w:right w:val="single" w:sz="4" w:space="0" w:color="BFBFBF"/>
            </w:tcBorders>
            <w:shd w:val="clear" w:color="auto" w:fill="F2F2F2"/>
            <w:tcMar>
              <w:top w:w="80" w:type="dxa"/>
              <w:left w:w="80" w:type="dxa"/>
              <w:bottom w:w="80" w:type="dxa"/>
              <w:right w:w="80" w:type="dxa"/>
            </w:tcMar>
          </w:tcPr>
          <w:p w14:paraId="7B23BF44"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Case studies</w:t>
            </w:r>
          </w:p>
          <w:p w14:paraId="256D9029" w14:textId="77777777" w:rsidR="00DC4459" w:rsidRDefault="00077D4E">
            <w:pPr>
              <w:pStyle w:val="Body"/>
              <w:spacing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Semi-structured interviews</w:t>
            </w:r>
          </w:p>
          <w:p w14:paraId="7740437E" w14:textId="77777777" w:rsidR="00DC4459" w:rsidRDefault="00077D4E">
            <w:pPr>
              <w:pStyle w:val="Body"/>
              <w:spacing w:after="0" w:line="360" w:lineRule="auto"/>
              <w:jc w:val="both"/>
            </w:pPr>
            <w:r>
              <w:rPr>
                <w:rFonts w:ascii="Times New Roman" w:hAnsi="Times New Roman"/>
                <w:sz w:val="24"/>
                <w:szCs w:val="24"/>
                <w:lang w:val="en-US"/>
              </w:rPr>
              <w:t>Ethnography</w:t>
            </w:r>
          </w:p>
        </w:tc>
      </w:tr>
    </w:tbl>
    <w:p w14:paraId="3E751EE2" w14:textId="77777777" w:rsidR="00DC4459" w:rsidRDefault="00DC4459">
      <w:pPr>
        <w:pStyle w:val="Body"/>
        <w:spacing w:line="240" w:lineRule="auto"/>
        <w:jc w:val="both"/>
        <w:rPr>
          <w:rFonts w:ascii="Times New Roman" w:eastAsia="Times New Roman" w:hAnsi="Times New Roman" w:cs="Times New Roman"/>
          <w:sz w:val="24"/>
          <w:szCs w:val="24"/>
        </w:rPr>
      </w:pPr>
    </w:p>
    <w:p w14:paraId="2E2EA6EF" w14:textId="77777777" w:rsidR="00DC4459" w:rsidRDefault="00DC4459">
      <w:pPr>
        <w:pStyle w:val="Body"/>
        <w:spacing w:line="360" w:lineRule="auto"/>
        <w:jc w:val="both"/>
        <w:rPr>
          <w:rFonts w:ascii="Times New Roman" w:eastAsia="Times New Roman" w:hAnsi="Times New Roman" w:cs="Times New Roman"/>
          <w:sz w:val="24"/>
          <w:szCs w:val="24"/>
        </w:rPr>
      </w:pPr>
    </w:p>
    <w:p w14:paraId="4EC6E8B4"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table, the analytical aspect of the research (ontology) entails that the research was not separated from the researcher; as such, the researcher's sentiments and bias to an extent influenced the study, this is a central limitation of every interpretivism-based study (Saunders and Lewis, 2007). However, this did not threaten the authenticity of the research, as the researcher adopted credible methods ensuring the validity and reliability of the study, as discussed in section (3.9). Based on epistemology, the research studied the adherence to corporate governance codes in Ireland, which, as mentioned earlier, is a socially constructed </w:t>
      </w:r>
      <w:r>
        <w:rPr>
          <w:rFonts w:ascii="Times New Roman" w:hAnsi="Times New Roman"/>
          <w:sz w:val="24"/>
          <w:szCs w:val="24"/>
          <w:lang w:val="en-US"/>
        </w:rPr>
        <w:lastRenderedPageBreak/>
        <w:t xml:space="preserve">reality; studying this provided the researcher the opportunity to get an in-depth understanding of the phenomenon, further gaining newer knowledge and insights. The research methodology consisted of the semi-structured interview as discussed in section (3.7). </w:t>
      </w:r>
    </w:p>
    <w:p w14:paraId="3FDA1EFA"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research adopted the above procedures outlined by the research philosophy, thus boosting the coherence of this study. However, certain limitations are associated with interpretivism; as already pointed out, the philosophy leads to bias and sentimental conclusions which may not be a representation of what is obtained in reality, this is because the research is not separated from the researcher Cooper and Schindler (2013), as such personal opinions and bias may interfere with the research findings. In ensuring that these limitations did not influence the study's outcome, the research adopted a robust validity and reliability test consisting of pilot studies and member checking (see section for details 3.9). Lancaster (2005) points out that a second limitation of the philosophy is its lack of rigorousness; thus, its findings may not be accepted as concrete academic knowledge. Creswell (2013) and Mertens (2014), respond to this argument by noting that interpretivism is the most widely adopted philosophy in social sciences and, if </w:t>
      </w:r>
      <w:proofErr w:type="spellStart"/>
      <w:r>
        <w:rPr>
          <w:rFonts w:ascii="Times New Roman" w:hAnsi="Times New Roman"/>
          <w:sz w:val="24"/>
          <w:szCs w:val="24"/>
          <w:lang w:val="en-US"/>
        </w:rPr>
        <w:t>utilised</w:t>
      </w:r>
      <w:proofErr w:type="spellEnd"/>
      <w:r>
        <w:rPr>
          <w:rFonts w:ascii="Times New Roman" w:hAnsi="Times New Roman"/>
          <w:sz w:val="24"/>
          <w:szCs w:val="24"/>
          <w:lang w:val="en-US"/>
        </w:rPr>
        <w:t xml:space="preserve"> correctly, can lead to greater insights and academic knowledge than positivism. </w:t>
      </w:r>
    </w:p>
    <w:p w14:paraId="2DE331A4"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Based on the aforementioned, the interpretivism philosophy is adopted to discuss the adherence of corporate governance codes amongst banks in Ireland. </w:t>
      </w:r>
    </w:p>
    <w:p w14:paraId="7FF42BBA" w14:textId="77777777" w:rsidR="00DC4459" w:rsidRDefault="00077D4E">
      <w:pPr>
        <w:pStyle w:val="Heading"/>
      </w:pPr>
      <w:bookmarkStart w:id="58" w:name="_Toc73739019"/>
      <w:r>
        <w:rPr>
          <w:rFonts w:eastAsia="Arial Unicode MS" w:cs="Arial Unicode MS"/>
          <w:lang w:val="en-US"/>
        </w:rPr>
        <w:t>3.3. Research Design</w:t>
      </w:r>
      <w:bookmarkEnd w:id="58"/>
    </w:p>
    <w:p w14:paraId="553E85E4"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While the research philosophy provides specific principles and guidelines that enhance the conduct of the research, the research design provides details on the nature of the study and the type of data to be collected (Sekaran and Bougie, 2013). Wiersma (2008), notes that the research design governs the type of data to be collected and the justifiable reasons for using the selected type of data. Sekaran and Bougie (2013), note that the choice of research design flows from the research questions (this is explained later) </w:t>
      </w:r>
    </w:p>
    <w:p w14:paraId="5AA35777"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Two types of research design exist; qualitative research design and quantitative design. The latter is often used in the natural sciences; however, it has been adopted in the social sciences. It studies social phenomena using numbers and other quantifiable methods. As such, it is mostly used to approve or disapprove hypotheses. Most positivism-based studies adopt the quantitative research design (Creswell, 20013). </w:t>
      </w:r>
    </w:p>
    <w:p w14:paraId="475F4FB0" w14:textId="77777777" w:rsidR="00DC4459" w:rsidRDefault="00077D4E">
      <w:pPr>
        <w:pStyle w:val="Body"/>
        <w:spacing w:line="360" w:lineRule="auto"/>
        <w:jc w:val="both"/>
        <w:rPr>
          <w:rFonts w:ascii="Times New Roman" w:eastAsia="Times New Roman" w:hAnsi="Times New Roman" w:cs="Times New Roman"/>
          <w:b/>
          <w:bCs/>
          <w:sz w:val="24"/>
          <w:szCs w:val="24"/>
        </w:rPr>
      </w:pPr>
      <w:r>
        <w:rPr>
          <w:rFonts w:ascii="Times New Roman" w:hAnsi="Times New Roman"/>
          <w:sz w:val="24"/>
          <w:szCs w:val="24"/>
          <w:lang w:val="en-US"/>
        </w:rPr>
        <w:lastRenderedPageBreak/>
        <w:t xml:space="preserve">The qualitative research design, on the other hand, studies phenomena as they exist in natural settings. Thus, it attempts to interpret phenomena and associate meaning to human-based realities; thus, the qualitative research design adopts non-numerical, explanatory, and narrative data (Wiersma, 2008). The qualitative research design is associated with interpretivism philosophy (Lancaster, 2005). </w:t>
      </w:r>
    </w:p>
    <w:p w14:paraId="2E80FC83"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study adopted the qualitative research design, recall it was pointed out that the research questions influence the choice of the research design. Cooper and Schindler (2013) explain that research questions that seek to discover the extent, magnitude, and frequency of the effect of a variable over the other adopt the quantitative design; this enables the researcher to test for causality through hypothesis development and confirmation. However, research questions seek to obtain deeper interpretations of a phenomenon by answering questions as "what, how, and where" use qualitative research design, as these questions cannot be sufficiently answered using numerical data but narratives. Based on the research questions as documented in section (1.4), the research adopts the qualitative research design. The research questions are constructed in a "what" form; thus, it seeks to get deeper interpretations and meanings associated with corporate governance codes in Ireland; using the qualitative research design was essential for collecting the appropriate data to achieve the research questions. Furthermore, the qualitative research design is mostly used in interpretivism based research to enhance the correlation and coherency of the research questions, data collection, analysis, and conclusion (Saunders and Lewis, 2007) </w:t>
      </w:r>
    </w:p>
    <w:p w14:paraId="256404CF" w14:textId="77777777" w:rsidR="00DC4459" w:rsidRDefault="00077D4E">
      <w:pPr>
        <w:pStyle w:val="Heading"/>
      </w:pPr>
      <w:bookmarkStart w:id="59" w:name="_Toc73739020"/>
      <w:r>
        <w:rPr>
          <w:rFonts w:eastAsia="Arial Unicode MS" w:cs="Arial Unicode MS"/>
          <w:lang w:val="en-US"/>
        </w:rPr>
        <w:t>3.4. Research Approach</w:t>
      </w:r>
      <w:bookmarkEnd w:id="59"/>
    </w:p>
    <w:p w14:paraId="09193D2A"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research philosophy provides the guidelines for the research; the research design determines appropriate data to answer the research questions. The research approach details the framework for </w:t>
      </w:r>
      <w:proofErr w:type="spellStart"/>
      <w:r>
        <w:rPr>
          <w:rFonts w:ascii="Times New Roman" w:hAnsi="Times New Roman"/>
          <w:sz w:val="24"/>
          <w:szCs w:val="24"/>
          <w:lang w:val="en-US"/>
        </w:rPr>
        <w:t>analysing</w:t>
      </w:r>
      <w:proofErr w:type="spellEnd"/>
      <w:r>
        <w:rPr>
          <w:rFonts w:ascii="Times New Roman" w:hAnsi="Times New Roman"/>
          <w:sz w:val="24"/>
          <w:szCs w:val="24"/>
          <w:lang w:val="en-US"/>
        </w:rPr>
        <w:t xml:space="preserve"> data (Creswell, 2013). The framework for data analysis should not be confused with the method for data analysis; the two are different elements of research (</w:t>
      </w:r>
      <w:bookmarkStart w:id="60" w:name="_Hlk70997469"/>
      <w:r>
        <w:rPr>
          <w:rFonts w:ascii="Times New Roman" w:hAnsi="Times New Roman"/>
          <w:sz w:val="24"/>
          <w:szCs w:val="24"/>
          <w:lang w:val="de-DE"/>
        </w:rPr>
        <w:t>Mertens, 2014</w:t>
      </w:r>
      <w:bookmarkEnd w:id="60"/>
      <w:r>
        <w:rPr>
          <w:rFonts w:ascii="Times New Roman" w:hAnsi="Times New Roman"/>
          <w:sz w:val="24"/>
          <w:szCs w:val="24"/>
          <w:lang w:val="en-US"/>
        </w:rPr>
        <w:t xml:space="preserve">), Mertens (2014), notes that while the former is broader, encompassing and specifies the approach to reaching a conclusion based on theories, the latter is limited to specific tools for </w:t>
      </w:r>
      <w:proofErr w:type="spellStart"/>
      <w:r>
        <w:rPr>
          <w:rFonts w:ascii="Times New Roman" w:hAnsi="Times New Roman"/>
          <w:sz w:val="24"/>
          <w:szCs w:val="24"/>
          <w:lang w:val="en-US"/>
        </w:rPr>
        <w:t>analysing</w:t>
      </w:r>
      <w:proofErr w:type="spellEnd"/>
      <w:r>
        <w:rPr>
          <w:rFonts w:ascii="Times New Roman" w:hAnsi="Times New Roman"/>
          <w:sz w:val="24"/>
          <w:szCs w:val="24"/>
          <w:lang w:val="en-US"/>
        </w:rPr>
        <w:t xml:space="preserve"> collected data. </w:t>
      </w:r>
    </w:p>
    <w:p w14:paraId="284C1E12"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Two types of research approaches exist; deductive and inductive. The Deductive approach moves from "general to specific"; thus, it analyses several phenomena and provides a single conclusion (Sekaran and Bougie, 2013). This is compatible with the quantitative research </w:t>
      </w:r>
      <w:r>
        <w:rPr>
          <w:rFonts w:ascii="Times New Roman" w:hAnsi="Times New Roman"/>
          <w:sz w:val="24"/>
          <w:szCs w:val="24"/>
          <w:lang w:val="en-US"/>
        </w:rPr>
        <w:lastRenderedPageBreak/>
        <w:t>design, as they both seek to study phenomena from a broader perspective. The inductive research approach, however, moves from "specific to general"; thus, it studies social realities from a unit or case study(</w:t>
      </w:r>
      <w:proofErr w:type="spellStart"/>
      <w:r>
        <w:rPr>
          <w:rFonts w:ascii="Times New Roman" w:hAnsi="Times New Roman"/>
          <w:sz w:val="24"/>
          <w:szCs w:val="24"/>
          <w:lang w:val="en-US"/>
        </w:rPr>
        <w:t>ies</w:t>
      </w:r>
      <w:proofErr w:type="spellEnd"/>
      <w:r>
        <w:rPr>
          <w:rFonts w:ascii="Times New Roman" w:hAnsi="Times New Roman"/>
          <w:sz w:val="24"/>
          <w:szCs w:val="24"/>
          <w:lang w:val="en-US"/>
        </w:rPr>
        <w:t>) basis but seeks to elaborate on its findings, thus making general conclusions about the case study(</w:t>
      </w:r>
      <w:proofErr w:type="spellStart"/>
      <w:r>
        <w:rPr>
          <w:rFonts w:ascii="Times New Roman" w:hAnsi="Times New Roman"/>
          <w:sz w:val="24"/>
          <w:szCs w:val="24"/>
          <w:lang w:val="en-US"/>
        </w:rPr>
        <w:t>ies</w:t>
      </w:r>
      <w:proofErr w:type="spellEnd"/>
      <w:r>
        <w:rPr>
          <w:rFonts w:ascii="Times New Roman" w:hAnsi="Times New Roman"/>
          <w:sz w:val="24"/>
          <w:szCs w:val="24"/>
          <w:lang w:val="en-US"/>
        </w:rPr>
        <w:t xml:space="preserve">). The inductive approach is compatible with the qualitative research design because they both enhance the in-depth and detailed interpretation and understanding of a phenomenon through </w:t>
      </w:r>
      <w:proofErr w:type="spellStart"/>
      <w:r>
        <w:rPr>
          <w:rFonts w:ascii="Times New Roman" w:hAnsi="Times New Roman"/>
          <w:sz w:val="24"/>
          <w:szCs w:val="24"/>
          <w:lang w:val="en-US"/>
        </w:rPr>
        <w:t>analysing</w:t>
      </w:r>
      <w:proofErr w:type="spellEnd"/>
      <w:r>
        <w:rPr>
          <w:rFonts w:ascii="Times New Roman" w:hAnsi="Times New Roman"/>
          <w:sz w:val="24"/>
          <w:szCs w:val="24"/>
          <w:lang w:val="en-US"/>
        </w:rPr>
        <w:t xml:space="preserve"> narrative data (Sekaran and Bougie, 2013). </w:t>
      </w:r>
    </w:p>
    <w:p w14:paraId="0B2A59A8"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inductive approach is adopted for this study, as it is used to understand the level of adherence to corporate governance adherence codes amongst banks in Ireland; this sector is specific, thus using the inductive approach will enhance the understanding of specific case study(</w:t>
      </w:r>
      <w:proofErr w:type="spellStart"/>
      <w:r>
        <w:rPr>
          <w:rFonts w:ascii="Times New Roman" w:hAnsi="Times New Roman"/>
          <w:sz w:val="24"/>
          <w:szCs w:val="24"/>
          <w:lang w:val="en-US"/>
        </w:rPr>
        <w:t>ies</w:t>
      </w:r>
      <w:proofErr w:type="spellEnd"/>
      <w:r>
        <w:rPr>
          <w:rFonts w:ascii="Times New Roman" w:hAnsi="Times New Roman"/>
          <w:sz w:val="24"/>
          <w:szCs w:val="24"/>
          <w:lang w:val="en-US"/>
        </w:rPr>
        <w:t>) thus supporting a general conclusion on the case study(</w:t>
      </w:r>
      <w:proofErr w:type="spellStart"/>
      <w:r>
        <w:rPr>
          <w:rFonts w:ascii="Times New Roman" w:hAnsi="Times New Roman"/>
          <w:sz w:val="24"/>
          <w:szCs w:val="24"/>
          <w:lang w:val="en-US"/>
        </w:rPr>
        <w:t>ies</w:t>
      </w:r>
      <w:proofErr w:type="spellEnd"/>
      <w:r>
        <w:rPr>
          <w:rFonts w:ascii="Times New Roman" w:hAnsi="Times New Roman"/>
          <w:sz w:val="24"/>
          <w:szCs w:val="24"/>
          <w:lang w:val="en-US"/>
        </w:rPr>
        <w:t xml:space="preserve">). </w:t>
      </w:r>
    </w:p>
    <w:p w14:paraId="72BE2F96"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inductive approach systematically analyses qualitative data to develop concepts, theories, and models for interpretations of phenomena. The inductive approach also allows the research findings to emerge from frequent, significant, and dominant theories inherent with qualitative data. As such, the inductive approach ensures that the findings are a representation of the opinions of the research participant (Wiersma, 2008). This is amongst the advantages of the inductive approach that necessitates its adoption in this research. Using the inductive approach, the researcher generated significant and authentic findings directly from the collected data. The inductive approach was essential in focusing on the reasons for adherence and nonadherence to corporate codes amongst banks in Ireland, further ensuring that all research findings are authentic and embedded in opinions collected from participants; this increased the validity of the research. </w:t>
      </w:r>
    </w:p>
    <w:p w14:paraId="0534781E" w14:textId="77777777" w:rsidR="00DC4459" w:rsidRDefault="00077D4E">
      <w:pPr>
        <w:pStyle w:val="Heading"/>
      </w:pPr>
      <w:bookmarkStart w:id="61" w:name="_Toc73739021"/>
      <w:r>
        <w:rPr>
          <w:rFonts w:eastAsia="Arial Unicode MS" w:cs="Arial Unicode MS"/>
          <w:lang w:val="en-US"/>
        </w:rPr>
        <w:t>3.5. Sources of Data</w:t>
      </w:r>
      <w:bookmarkEnd w:id="61"/>
      <w:r>
        <w:rPr>
          <w:rFonts w:eastAsia="Arial Unicode MS" w:cs="Arial Unicode MS"/>
          <w:lang w:val="en-US"/>
        </w:rPr>
        <w:t xml:space="preserve"> </w:t>
      </w:r>
    </w:p>
    <w:p w14:paraId="48F0DCA8"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Two sources of data are used for this research i.e., primary and secondary data. The primary source is first-hand data collected directly from the research participants (Lancaster, 2005). This is the most reliable and </w:t>
      </w:r>
      <w:proofErr w:type="spellStart"/>
      <w:r>
        <w:rPr>
          <w:rFonts w:ascii="Times New Roman" w:hAnsi="Times New Roman"/>
          <w:sz w:val="24"/>
          <w:szCs w:val="24"/>
          <w:lang w:val="en-US"/>
        </w:rPr>
        <w:t>recognised</w:t>
      </w:r>
      <w:proofErr w:type="spellEnd"/>
      <w:r>
        <w:rPr>
          <w:rFonts w:ascii="Times New Roman" w:hAnsi="Times New Roman"/>
          <w:sz w:val="24"/>
          <w:szCs w:val="24"/>
          <w:lang w:val="en-US"/>
        </w:rPr>
        <w:t xml:space="preserve"> source of data because it is a direct and accurate representation of the opinions and perceptions of the research participants. Thus, the primary data is used to answer all the research questions as it accurately portrays the opinions of research participants (Mertens, 2014).</w:t>
      </w:r>
    </w:p>
    <w:p w14:paraId="5B4DF6FD"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 xml:space="preserve">The secondary data exists as already documented information in books, journals, and articles. This will serve the purpose of buttressing, supporting, or disapproving findings made from the primary data (Creswell, 2013). </w:t>
      </w:r>
    </w:p>
    <w:p w14:paraId="59093F92" w14:textId="77777777" w:rsidR="00DC4459" w:rsidRDefault="00077D4E">
      <w:pPr>
        <w:pStyle w:val="Heading"/>
      </w:pPr>
      <w:bookmarkStart w:id="62" w:name="_Toc73739022"/>
      <w:r>
        <w:rPr>
          <w:rFonts w:eastAsia="Arial Unicode MS" w:cs="Arial Unicode MS"/>
          <w:lang w:val="en-US"/>
        </w:rPr>
        <w:t>3.6. Research Participants/Sampling Techniques</w:t>
      </w:r>
      <w:bookmarkEnd w:id="62"/>
    </w:p>
    <w:p w14:paraId="52D8A0F3"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research is a qualitative study that seeks to understand Corporate governance in the Irish banking sector; it is thus appropriate to recruit only people with extensive and intensive knowledge on the formulation and implementation of corporate governance codes and adherence. Hence, only bank managers, board of directors, and shareholders of major banks in Ireland are recruited for this study because they are directly involved in the governance and decision-making of banks. Therefore, they have sufficient knowledge of corporate governance codes and adherence. </w:t>
      </w:r>
    </w:p>
    <w:p w14:paraId="5BA36D1B"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Participants were recruited based on judgmental sampling, i.e. based on the researcher's intuition that this category of people will provide the best response for the research questions; this is based on the argument of Creswell (2013) and Cooper and Schindler (2013), who note that judgmental sampling recruits people with intensive and extensive knowledge on the research topic. Thus, the researcher can get deeper and richer data to answer the research questions.  Therefore, judgmental sampling was used to recruit two general managers of banks in Ireland and three boards of directors. In total, five participants were recruited for the study. </w:t>
      </w:r>
    </w:p>
    <w:p w14:paraId="279D950E" w14:textId="77777777" w:rsidR="00DC4459" w:rsidRDefault="00077D4E">
      <w:pPr>
        <w:pStyle w:val="Heading"/>
      </w:pPr>
      <w:bookmarkStart w:id="63" w:name="_Toc73739023"/>
      <w:r>
        <w:rPr>
          <w:rFonts w:eastAsia="Arial Unicode MS" w:cs="Arial Unicode MS"/>
          <w:lang w:val="en-US"/>
        </w:rPr>
        <w:t>3.7. Method of Data Collection</w:t>
      </w:r>
      <w:bookmarkEnd w:id="63"/>
    </w:p>
    <w:p w14:paraId="636BF14E"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Data for this research is collected through semi-structured interviews; this allows the researcher to ask questions to the participants and record responses for further analysis. The semi-structured interviews are drafted in an open-ended format that allows the participant to make general comments about specific questions. It also allows the researcher to probe responses, further generating in-depth responses from the participants</w:t>
      </w:r>
    </w:p>
    <w:p w14:paraId="3F153885" w14:textId="77777777" w:rsidR="00DC4459" w:rsidRDefault="00077D4E">
      <w:pPr>
        <w:pStyle w:val="Heading"/>
      </w:pPr>
      <w:bookmarkStart w:id="64" w:name="_Toc73739024"/>
      <w:r>
        <w:rPr>
          <w:rFonts w:eastAsia="Arial Unicode MS" w:cs="Arial Unicode MS"/>
          <w:lang w:val="en-US"/>
        </w:rPr>
        <w:t>3.8. Method of Data Analysis</w:t>
      </w:r>
      <w:bookmarkEnd w:id="64"/>
    </w:p>
    <w:p w14:paraId="2C261179"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thematic method of </w:t>
      </w:r>
      <w:proofErr w:type="spellStart"/>
      <w:r>
        <w:rPr>
          <w:rFonts w:ascii="Times New Roman" w:hAnsi="Times New Roman"/>
          <w:sz w:val="24"/>
          <w:szCs w:val="24"/>
          <w:lang w:val="en-US"/>
        </w:rPr>
        <w:t>analysing</w:t>
      </w:r>
      <w:proofErr w:type="spellEnd"/>
      <w:r>
        <w:rPr>
          <w:rFonts w:ascii="Times New Roman" w:hAnsi="Times New Roman"/>
          <w:sz w:val="24"/>
          <w:szCs w:val="24"/>
          <w:lang w:val="en-US"/>
        </w:rPr>
        <w:t xml:space="preserve"> data is adopted for this study. There is no universal framework for conducting a thematic analysis; however, researchers often adopted Creswell (2013) framework, which involves; </w:t>
      </w:r>
    </w:p>
    <w:p w14:paraId="4B79098D" w14:textId="77777777" w:rsidR="00DC4459" w:rsidRDefault="00077D4E">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lastRenderedPageBreak/>
        <w:t>Transcription of data</w:t>
      </w:r>
    </w:p>
    <w:p w14:paraId="7D7041B5" w14:textId="77777777" w:rsidR="00DC4459" w:rsidRDefault="00077D4E">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 xml:space="preserve">Coding of data </w:t>
      </w:r>
    </w:p>
    <w:p w14:paraId="5695B4A3" w14:textId="77777777" w:rsidR="00DC4459" w:rsidRDefault="00077D4E">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Assigning themes to coded data</w:t>
      </w:r>
    </w:p>
    <w:p w14:paraId="483FC308" w14:textId="77777777" w:rsidR="00DC4459" w:rsidRDefault="00077D4E">
      <w:pPr>
        <w:pStyle w:val="ListParagraph"/>
        <w:numPr>
          <w:ilvl w:val="0"/>
          <w:numId w:val="4"/>
        </w:numPr>
        <w:spacing w:line="360" w:lineRule="auto"/>
        <w:jc w:val="both"/>
        <w:rPr>
          <w:rFonts w:ascii="Times New Roman" w:hAnsi="Times New Roman"/>
          <w:sz w:val="24"/>
          <w:szCs w:val="24"/>
        </w:rPr>
      </w:pPr>
      <w:proofErr w:type="spellStart"/>
      <w:r>
        <w:rPr>
          <w:rFonts w:ascii="Times New Roman" w:hAnsi="Times New Roman"/>
          <w:sz w:val="24"/>
          <w:szCs w:val="24"/>
        </w:rPr>
        <w:t>Synthesising</w:t>
      </w:r>
      <w:proofErr w:type="spellEnd"/>
      <w:r>
        <w:rPr>
          <w:rFonts w:ascii="Times New Roman" w:hAnsi="Times New Roman"/>
          <w:sz w:val="24"/>
          <w:szCs w:val="24"/>
        </w:rPr>
        <w:t xml:space="preserve"> information with relevant secondary sources of data </w:t>
      </w:r>
    </w:p>
    <w:p w14:paraId="5129E05F" w14:textId="77777777" w:rsidR="00DC4459" w:rsidRDefault="00077D4E">
      <w:pPr>
        <w:pStyle w:val="ListParagraph"/>
        <w:numPr>
          <w:ilvl w:val="0"/>
          <w:numId w:val="4"/>
        </w:numPr>
        <w:spacing w:line="360" w:lineRule="auto"/>
        <w:jc w:val="both"/>
        <w:rPr>
          <w:rFonts w:ascii="Times New Roman" w:hAnsi="Times New Roman"/>
          <w:sz w:val="24"/>
          <w:szCs w:val="24"/>
        </w:rPr>
      </w:pPr>
      <w:r>
        <w:rPr>
          <w:rFonts w:ascii="Times New Roman" w:hAnsi="Times New Roman"/>
          <w:sz w:val="24"/>
          <w:szCs w:val="24"/>
        </w:rPr>
        <w:t>Discussing findings based on the research questions</w:t>
      </w:r>
    </w:p>
    <w:p w14:paraId="4E918DE1"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thematic analysis provides an easy and comprehendible method of </w:t>
      </w:r>
      <w:proofErr w:type="spellStart"/>
      <w:r>
        <w:rPr>
          <w:rFonts w:ascii="Times New Roman" w:hAnsi="Times New Roman"/>
          <w:sz w:val="24"/>
          <w:szCs w:val="24"/>
          <w:lang w:val="en-US"/>
        </w:rPr>
        <w:t>analysing</w:t>
      </w:r>
      <w:proofErr w:type="spellEnd"/>
      <w:r>
        <w:rPr>
          <w:rFonts w:ascii="Times New Roman" w:hAnsi="Times New Roman"/>
          <w:sz w:val="24"/>
          <w:szCs w:val="24"/>
          <w:lang w:val="en-US"/>
        </w:rPr>
        <w:t xml:space="preserve"> and interpreting qualitative data. It is preferred for its preciseness, in-depth analysis, and accurate representation of opinions embedded in qualitative data (Creswell, 2013). </w:t>
      </w:r>
    </w:p>
    <w:p w14:paraId="40FCC3C2" w14:textId="77777777" w:rsidR="00DC4459" w:rsidRDefault="00077D4E">
      <w:pPr>
        <w:pStyle w:val="Heading"/>
      </w:pPr>
      <w:bookmarkStart w:id="65" w:name="_Toc73739025"/>
      <w:r>
        <w:rPr>
          <w:rFonts w:eastAsia="Arial Unicode MS" w:cs="Arial Unicode MS"/>
          <w:lang w:val="en-US"/>
        </w:rPr>
        <w:t>3.9. Test of Validity and Reliability</w:t>
      </w:r>
      <w:bookmarkEnd w:id="65"/>
    </w:p>
    <w:p w14:paraId="3BEECD35"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In testing the validity and reliability of this study, the researcher adopts the pilot study and member checking instruments. The pilot study conducted few interviews with two research participants, thus identifying errors and questions that are not suitable to the research context, these errors were corrected before the real interview. Member checking was done after the data analysis; participants were sent a copy of the research finding to authenticate if the research finding is an accurate representation of their opinions; after confirmation, the researcher proceeded to make conclusions of the research. These two methods ensured that the researcher is unbiased and not sentimental in the presentation of research findings. </w:t>
      </w:r>
    </w:p>
    <w:p w14:paraId="53433B07" w14:textId="77777777" w:rsidR="00DC4459" w:rsidRDefault="00077D4E">
      <w:pPr>
        <w:pStyle w:val="Heading"/>
      </w:pPr>
      <w:bookmarkStart w:id="66" w:name="_Toc73739026"/>
      <w:r>
        <w:rPr>
          <w:rFonts w:eastAsia="Arial Unicode MS" w:cs="Arial Unicode MS"/>
          <w:lang w:val="en-US"/>
        </w:rPr>
        <w:t>3.10. Access and Research Ethics</w:t>
      </w:r>
      <w:bookmarkEnd w:id="66"/>
    </w:p>
    <w:p w14:paraId="553C4E0A"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Access to credible sources of primary and secondary data is vital to research. Research ethics ensures that the study participant is treated with dignity and their safety is ensured throughout the research. The researcher thus adhered to all research principles regarding the safety and freedom of participants. The researcher sent an informed consent form stating how their contribution will be of help and noting that they were free to withdraw their participation from the research. The research also abided by the principle of anonymity, which conceals the identity of participants for safety reasons. Furthermore, the researcher abides by all principles regarding referencing intellectual property and data management and storage. More specifically, the following were adhered to:</w:t>
      </w:r>
    </w:p>
    <w:p w14:paraId="058AAEF4" w14:textId="77777777" w:rsidR="00DC4459" w:rsidRDefault="00077D4E">
      <w:pPr>
        <w:pStyle w:val="ListParagraph"/>
        <w:numPr>
          <w:ilvl w:val="0"/>
          <w:numId w:val="6"/>
        </w:numPr>
        <w:spacing w:line="360" w:lineRule="auto"/>
        <w:jc w:val="both"/>
        <w:rPr>
          <w:rFonts w:ascii="Times New Roman" w:hAnsi="Times New Roman"/>
          <w:sz w:val="24"/>
          <w:szCs w:val="24"/>
        </w:rPr>
      </w:pPr>
      <w:r>
        <w:rPr>
          <w:rFonts w:ascii="Times New Roman" w:hAnsi="Times New Roman"/>
          <w:sz w:val="24"/>
          <w:szCs w:val="24"/>
        </w:rPr>
        <w:lastRenderedPageBreak/>
        <w:t>Acknowledgment of the participants' freedom to withdraw from the research at any time without been coerced</w:t>
      </w:r>
    </w:p>
    <w:p w14:paraId="34666789" w14:textId="77777777" w:rsidR="00DC4459" w:rsidRDefault="00077D4E">
      <w:pPr>
        <w:pStyle w:val="ListParagraph"/>
        <w:numPr>
          <w:ilvl w:val="0"/>
          <w:numId w:val="6"/>
        </w:numPr>
        <w:spacing w:line="360" w:lineRule="auto"/>
        <w:jc w:val="both"/>
        <w:rPr>
          <w:rFonts w:ascii="Times New Roman" w:hAnsi="Times New Roman"/>
          <w:sz w:val="24"/>
          <w:szCs w:val="24"/>
        </w:rPr>
      </w:pPr>
      <w:r>
        <w:rPr>
          <w:rFonts w:ascii="Times New Roman" w:hAnsi="Times New Roman"/>
          <w:sz w:val="24"/>
          <w:szCs w:val="24"/>
        </w:rPr>
        <w:t>Freedom of participant to respond or not respond on a particular issue</w:t>
      </w:r>
    </w:p>
    <w:p w14:paraId="579EC2A4" w14:textId="77777777" w:rsidR="00DC4459" w:rsidRDefault="00077D4E">
      <w:pPr>
        <w:pStyle w:val="ListParagraph"/>
        <w:numPr>
          <w:ilvl w:val="0"/>
          <w:numId w:val="6"/>
        </w:numPr>
        <w:spacing w:line="360" w:lineRule="auto"/>
        <w:jc w:val="both"/>
        <w:rPr>
          <w:rFonts w:ascii="Times New Roman" w:hAnsi="Times New Roman"/>
          <w:sz w:val="24"/>
          <w:szCs w:val="24"/>
        </w:rPr>
      </w:pPr>
      <w:r>
        <w:rPr>
          <w:rFonts w:ascii="Times New Roman" w:hAnsi="Times New Roman"/>
          <w:sz w:val="24"/>
          <w:szCs w:val="24"/>
        </w:rPr>
        <w:t>Concealment of participants identity to uphold safety and sanctity</w:t>
      </w:r>
    </w:p>
    <w:p w14:paraId="009DFF8C" w14:textId="77777777" w:rsidR="00DC4459" w:rsidRDefault="00077D4E">
      <w:pPr>
        <w:pStyle w:val="ListParagraph"/>
        <w:numPr>
          <w:ilvl w:val="0"/>
          <w:numId w:val="6"/>
        </w:numPr>
        <w:spacing w:line="360" w:lineRule="auto"/>
        <w:jc w:val="both"/>
        <w:rPr>
          <w:rFonts w:ascii="Times New Roman" w:hAnsi="Times New Roman"/>
          <w:sz w:val="24"/>
          <w:szCs w:val="24"/>
        </w:rPr>
      </w:pPr>
      <w:r>
        <w:rPr>
          <w:rFonts w:ascii="Times New Roman" w:hAnsi="Times New Roman"/>
          <w:sz w:val="24"/>
          <w:szCs w:val="24"/>
        </w:rPr>
        <w:t xml:space="preserve">Protection of the health of a participant, therefore nose masks, and social distancing principles were adhered to while conducting face-to-face interviews. </w:t>
      </w:r>
    </w:p>
    <w:p w14:paraId="48615BE6" w14:textId="77777777" w:rsidR="00DC4459" w:rsidRDefault="00077D4E">
      <w:pPr>
        <w:pStyle w:val="ListParagraph"/>
        <w:numPr>
          <w:ilvl w:val="0"/>
          <w:numId w:val="6"/>
        </w:numPr>
        <w:spacing w:line="360" w:lineRule="auto"/>
        <w:jc w:val="both"/>
        <w:rPr>
          <w:rFonts w:ascii="Times New Roman" w:hAnsi="Times New Roman"/>
          <w:sz w:val="24"/>
          <w:szCs w:val="24"/>
        </w:rPr>
      </w:pPr>
      <w:r>
        <w:rPr>
          <w:rFonts w:ascii="Times New Roman" w:hAnsi="Times New Roman"/>
          <w:sz w:val="24"/>
          <w:szCs w:val="24"/>
        </w:rPr>
        <w:t xml:space="preserve">The accurate acknowledgment and referencing of intellectual property, thus preventing plagiarism and data falsification. </w:t>
      </w:r>
    </w:p>
    <w:p w14:paraId="5A0F6FAE" w14:textId="77777777" w:rsidR="00DC4459" w:rsidRDefault="00DC4459">
      <w:pPr>
        <w:pStyle w:val="Body"/>
        <w:spacing w:line="360" w:lineRule="auto"/>
        <w:jc w:val="both"/>
        <w:rPr>
          <w:rFonts w:ascii="Times New Roman" w:eastAsia="Times New Roman" w:hAnsi="Times New Roman" w:cs="Times New Roman"/>
          <w:sz w:val="24"/>
          <w:szCs w:val="24"/>
        </w:rPr>
      </w:pPr>
    </w:p>
    <w:p w14:paraId="1D3C4572" w14:textId="77777777" w:rsidR="00DC4459" w:rsidRDefault="00077D4E">
      <w:pPr>
        <w:pStyle w:val="Heading"/>
      </w:pPr>
      <w:bookmarkStart w:id="67" w:name="_Toc73739027"/>
      <w:r>
        <w:rPr>
          <w:rFonts w:eastAsia="Arial Unicode MS" w:cs="Arial Unicode MS"/>
          <w:lang w:val="it-IT"/>
        </w:rPr>
        <w:t xml:space="preserve">3.11. </w:t>
      </w:r>
      <w:proofErr w:type="spellStart"/>
      <w:r>
        <w:rPr>
          <w:rFonts w:eastAsia="Arial Unicode MS" w:cs="Arial Unicode MS"/>
          <w:lang w:val="it-IT"/>
        </w:rPr>
        <w:t>Conclusion</w:t>
      </w:r>
      <w:bookmarkEnd w:id="67"/>
      <w:proofErr w:type="spellEnd"/>
    </w:p>
    <w:p w14:paraId="2C40FB16" w14:textId="77777777" w:rsidR="00DC4459" w:rsidRDefault="00077D4E">
      <w:pPr>
        <w:pStyle w:val="Body"/>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chapter discussed the tools and instruments used to ensure that the research is conducted coherently and the researcher arrives at a logical conclusion to research questions. This chapter is thus essential in achieving the study's outcome, which is targeted at gauging the adherence level to corporate governance codes amongst Irish banks. The next chapter contains the research findings, which uses thematic analysis to present all relevant findings in relation to qualitative data collected. </w:t>
      </w:r>
    </w:p>
    <w:p w14:paraId="53ED3835" w14:textId="77777777" w:rsidR="00DC4459" w:rsidRDefault="00DC4459">
      <w:pPr>
        <w:pStyle w:val="Body"/>
        <w:spacing w:line="360" w:lineRule="auto"/>
        <w:jc w:val="both"/>
        <w:rPr>
          <w:sz w:val="24"/>
          <w:szCs w:val="24"/>
        </w:rPr>
      </w:pPr>
    </w:p>
    <w:p w14:paraId="4E923274" w14:textId="77777777" w:rsidR="00DC4459" w:rsidRDefault="00DC4459">
      <w:pPr>
        <w:pStyle w:val="Body"/>
        <w:spacing w:line="360" w:lineRule="auto"/>
        <w:jc w:val="both"/>
        <w:rPr>
          <w:sz w:val="24"/>
          <w:szCs w:val="24"/>
        </w:rPr>
      </w:pPr>
    </w:p>
    <w:p w14:paraId="59A666E1" w14:textId="77777777" w:rsidR="00DC4459" w:rsidRDefault="00DC4459">
      <w:pPr>
        <w:pStyle w:val="Body"/>
        <w:spacing w:line="360" w:lineRule="auto"/>
        <w:jc w:val="both"/>
        <w:rPr>
          <w:sz w:val="24"/>
          <w:szCs w:val="24"/>
        </w:rPr>
      </w:pPr>
    </w:p>
    <w:p w14:paraId="5FC59E4D" w14:textId="77777777" w:rsidR="00DC4459" w:rsidRDefault="00DC4459">
      <w:pPr>
        <w:pStyle w:val="Body"/>
        <w:spacing w:line="360" w:lineRule="auto"/>
        <w:jc w:val="both"/>
        <w:rPr>
          <w:sz w:val="24"/>
          <w:szCs w:val="24"/>
        </w:rPr>
      </w:pPr>
    </w:p>
    <w:p w14:paraId="3B56E4A3" w14:textId="77777777" w:rsidR="00DC4459" w:rsidRDefault="00DC4459">
      <w:pPr>
        <w:pStyle w:val="Body"/>
        <w:spacing w:line="360" w:lineRule="auto"/>
        <w:jc w:val="both"/>
        <w:rPr>
          <w:sz w:val="24"/>
          <w:szCs w:val="24"/>
        </w:rPr>
      </w:pPr>
    </w:p>
    <w:p w14:paraId="0F8E13F0" w14:textId="77777777" w:rsidR="00DC4459" w:rsidRDefault="00DC4459">
      <w:pPr>
        <w:pStyle w:val="Body"/>
        <w:spacing w:line="360" w:lineRule="auto"/>
        <w:jc w:val="both"/>
        <w:rPr>
          <w:sz w:val="24"/>
          <w:szCs w:val="24"/>
        </w:rPr>
      </w:pPr>
    </w:p>
    <w:p w14:paraId="589FA60B" w14:textId="77777777" w:rsidR="00DC4459" w:rsidRDefault="00DC4459">
      <w:pPr>
        <w:pStyle w:val="Body"/>
        <w:spacing w:line="360" w:lineRule="auto"/>
        <w:jc w:val="both"/>
        <w:rPr>
          <w:sz w:val="24"/>
          <w:szCs w:val="24"/>
        </w:rPr>
      </w:pPr>
    </w:p>
    <w:p w14:paraId="7FB1D540" w14:textId="77777777" w:rsidR="00DC4459" w:rsidRDefault="00DC4459">
      <w:pPr>
        <w:pStyle w:val="Body"/>
        <w:spacing w:line="360" w:lineRule="auto"/>
        <w:jc w:val="both"/>
        <w:rPr>
          <w:sz w:val="24"/>
          <w:szCs w:val="24"/>
        </w:rPr>
      </w:pPr>
    </w:p>
    <w:p w14:paraId="644EEF9C" w14:textId="77777777" w:rsidR="00DC4459" w:rsidRDefault="00DC4459">
      <w:pPr>
        <w:pStyle w:val="Body"/>
        <w:spacing w:line="360" w:lineRule="auto"/>
        <w:jc w:val="both"/>
        <w:rPr>
          <w:sz w:val="24"/>
          <w:szCs w:val="24"/>
        </w:rPr>
      </w:pPr>
    </w:p>
    <w:p w14:paraId="753B2B03" w14:textId="77777777" w:rsidR="00DC4459" w:rsidRDefault="00DC4459">
      <w:pPr>
        <w:pStyle w:val="Body"/>
        <w:spacing w:line="360" w:lineRule="auto"/>
        <w:jc w:val="both"/>
        <w:rPr>
          <w:rFonts w:ascii="Times New Roman" w:eastAsia="Times New Roman" w:hAnsi="Times New Roman" w:cs="Times New Roman"/>
          <w:sz w:val="24"/>
          <w:szCs w:val="24"/>
        </w:rPr>
      </w:pPr>
    </w:p>
    <w:p w14:paraId="79EE142A" w14:textId="77777777" w:rsidR="00DC4459" w:rsidRDefault="00077D4E">
      <w:pPr>
        <w:pStyle w:val="Heading"/>
        <w:jc w:val="center"/>
      </w:pPr>
      <w:bookmarkStart w:id="68" w:name="_Toc73739028"/>
      <w:r>
        <w:rPr>
          <w:lang w:val="de-DE"/>
        </w:rPr>
        <w:lastRenderedPageBreak/>
        <w:t>CHAPTER FOUR</w:t>
      </w:r>
      <w:bookmarkEnd w:id="68"/>
    </w:p>
    <w:p w14:paraId="3D8875AF" w14:textId="77777777" w:rsidR="00DC4459" w:rsidRDefault="00077D4E">
      <w:pPr>
        <w:pStyle w:val="Heading"/>
        <w:jc w:val="center"/>
      </w:pPr>
      <w:bookmarkStart w:id="69" w:name="_Toc73739029"/>
      <w:r>
        <w:rPr>
          <w:lang w:val="en-US"/>
        </w:rPr>
        <w:t>ANALYSIS AND DISCUSSION</w:t>
      </w:r>
      <w:bookmarkEnd w:id="69"/>
    </w:p>
    <w:p w14:paraId="3717A01A" w14:textId="77777777" w:rsidR="00DC4459" w:rsidRDefault="00077D4E">
      <w:pPr>
        <w:pStyle w:val="Heading"/>
      </w:pPr>
      <w:bookmarkStart w:id="70" w:name="_Toc73739030"/>
      <w:r>
        <w:rPr>
          <w:rFonts w:eastAsia="Arial Unicode MS" w:cs="Arial Unicode MS"/>
          <w:lang w:val="fr-FR"/>
        </w:rPr>
        <w:t>4.1. Introduction</w:t>
      </w:r>
      <w:bookmarkEnd w:id="70"/>
    </w:p>
    <w:p w14:paraId="2065E402" w14:textId="77777777" w:rsidR="00DC4459" w:rsidRDefault="00077D4E">
      <w:pPr>
        <w:pStyle w:val="Body"/>
        <w:shd w:val="clear" w:color="auto" w:fill="FFFFFF"/>
        <w:spacing w:before="240" w:after="0" w:line="360" w:lineRule="auto"/>
        <w:rPr>
          <w:rFonts w:ascii="Times New Roman" w:eastAsia="Times New Roman" w:hAnsi="Times New Roman" w:cs="Times New Roman"/>
          <w:sz w:val="24"/>
          <w:szCs w:val="24"/>
        </w:rPr>
      </w:pPr>
      <w:r>
        <w:rPr>
          <w:rFonts w:ascii="Times New Roman" w:hAnsi="Times New Roman"/>
          <w:sz w:val="24"/>
          <w:szCs w:val="24"/>
          <w:lang w:val="en-US"/>
        </w:rPr>
        <w:t xml:space="preserve">This chapter contains the analysis and discussion of findings from interviews conducted with five participants. As explained in the subsequent section, the selection criteria were based on being a bank manager, board of directors, or shareholder. Thus, two bank managers and three board members of banks were interviewed.  The table contains the details of participants; for security purposes, only initials and banks are displayed. </w:t>
      </w:r>
    </w:p>
    <w:p w14:paraId="7FE8DD0A" w14:textId="77777777" w:rsidR="00DC4459" w:rsidRDefault="00DC4459">
      <w:pPr>
        <w:pStyle w:val="Body"/>
        <w:shd w:val="clear" w:color="auto" w:fill="FFFFFF"/>
        <w:spacing w:before="240" w:after="0" w:line="360" w:lineRule="auto"/>
        <w:rPr>
          <w:rFonts w:ascii="Times New Roman" w:eastAsia="Times New Roman" w:hAnsi="Times New Roman" w:cs="Times New Roman"/>
          <w:sz w:val="24"/>
          <w:szCs w:val="24"/>
        </w:rPr>
      </w:pPr>
    </w:p>
    <w:p w14:paraId="2374D14E" w14:textId="77777777" w:rsidR="00DC4459" w:rsidRDefault="00077D4E">
      <w:pPr>
        <w:pStyle w:val="Caption"/>
        <w:rPr>
          <w:color w:val="000000"/>
          <w:u w:color="000000"/>
        </w:rPr>
      </w:pPr>
      <w:r>
        <w:t xml:space="preserve">Table 3. </w:t>
      </w:r>
      <w:r>
        <w:rPr>
          <w:color w:val="000000"/>
          <w:u w:color="000000"/>
        </w:rPr>
        <w:t>Participants Detail</w:t>
      </w:r>
    </w:p>
    <w:tbl>
      <w:tblPr>
        <w:tblW w:w="9026"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DD4E9"/>
        <w:tblLayout w:type="fixed"/>
        <w:tblLook w:val="04A0" w:firstRow="1" w:lastRow="0" w:firstColumn="1" w:lastColumn="0" w:noHBand="0" w:noVBand="1"/>
      </w:tblPr>
      <w:tblGrid>
        <w:gridCol w:w="590"/>
        <w:gridCol w:w="2263"/>
        <w:gridCol w:w="2970"/>
        <w:gridCol w:w="3203"/>
      </w:tblGrid>
      <w:tr w:rsidR="00DC4459" w14:paraId="408E938D" w14:textId="77777777">
        <w:trPr>
          <w:trHeight w:val="295"/>
        </w:trPr>
        <w:tc>
          <w:tcPr>
            <w:tcW w:w="590" w:type="dxa"/>
            <w:tcBorders>
              <w:top w:val="nil"/>
              <w:left w:val="nil"/>
              <w:bottom w:val="single" w:sz="4" w:space="0" w:color="7F7F7F"/>
              <w:right w:val="single" w:sz="4" w:space="0" w:color="7F7F7F"/>
            </w:tcBorders>
            <w:shd w:val="clear" w:color="auto" w:fill="auto"/>
            <w:tcMar>
              <w:top w:w="80" w:type="dxa"/>
              <w:left w:w="80" w:type="dxa"/>
              <w:bottom w:w="80" w:type="dxa"/>
              <w:right w:w="80" w:type="dxa"/>
            </w:tcMar>
          </w:tcPr>
          <w:p w14:paraId="538E5CCD" w14:textId="77777777" w:rsidR="00DC4459" w:rsidRDefault="00077D4E">
            <w:pPr>
              <w:pStyle w:val="Body"/>
              <w:spacing w:before="240" w:line="360" w:lineRule="auto"/>
            </w:pPr>
            <w:r>
              <w:rPr>
                <w:rFonts w:ascii="Times New Roman" w:hAnsi="Times New Roman"/>
                <w:b/>
                <w:bCs/>
                <w:caps/>
                <w:sz w:val="24"/>
                <w:szCs w:val="24"/>
                <w:lang w:val="en-US"/>
              </w:rPr>
              <w:t>S/N</w:t>
            </w:r>
          </w:p>
        </w:tc>
        <w:tc>
          <w:tcPr>
            <w:tcW w:w="2263" w:type="dxa"/>
            <w:tcBorders>
              <w:top w:val="nil"/>
              <w:left w:val="single" w:sz="4" w:space="0" w:color="7F7F7F"/>
              <w:bottom w:val="single" w:sz="4" w:space="0" w:color="7F7F7F"/>
              <w:right w:val="nil"/>
            </w:tcBorders>
            <w:shd w:val="clear" w:color="auto" w:fill="auto"/>
            <w:tcMar>
              <w:top w:w="80" w:type="dxa"/>
              <w:left w:w="80" w:type="dxa"/>
              <w:bottom w:w="80" w:type="dxa"/>
              <w:right w:w="80" w:type="dxa"/>
            </w:tcMar>
          </w:tcPr>
          <w:p w14:paraId="178AF88C" w14:textId="77777777" w:rsidR="00DC4459" w:rsidRDefault="00077D4E">
            <w:pPr>
              <w:pStyle w:val="Body"/>
              <w:spacing w:before="240" w:after="0" w:line="360" w:lineRule="auto"/>
            </w:pPr>
            <w:r>
              <w:rPr>
                <w:rFonts w:ascii="Times New Roman" w:hAnsi="Times New Roman"/>
                <w:b/>
                <w:bCs/>
                <w:caps/>
                <w:sz w:val="24"/>
                <w:szCs w:val="24"/>
                <w:lang w:val="en-US"/>
              </w:rPr>
              <w:t>NAME</w:t>
            </w:r>
          </w:p>
        </w:tc>
        <w:tc>
          <w:tcPr>
            <w:tcW w:w="2970" w:type="dxa"/>
            <w:tcBorders>
              <w:top w:val="nil"/>
              <w:left w:val="nil"/>
              <w:bottom w:val="single" w:sz="4" w:space="0" w:color="7F7F7F"/>
              <w:right w:val="nil"/>
            </w:tcBorders>
            <w:shd w:val="clear" w:color="auto" w:fill="auto"/>
            <w:tcMar>
              <w:top w:w="80" w:type="dxa"/>
              <w:left w:w="80" w:type="dxa"/>
              <w:bottom w:w="80" w:type="dxa"/>
              <w:right w:w="80" w:type="dxa"/>
            </w:tcMar>
          </w:tcPr>
          <w:p w14:paraId="496DBEB1" w14:textId="77777777" w:rsidR="00DC4459" w:rsidRDefault="00077D4E">
            <w:pPr>
              <w:pStyle w:val="Body"/>
              <w:spacing w:before="240" w:after="0" w:line="360" w:lineRule="auto"/>
            </w:pPr>
            <w:r>
              <w:rPr>
                <w:rFonts w:ascii="Times New Roman" w:hAnsi="Times New Roman"/>
                <w:b/>
                <w:bCs/>
                <w:caps/>
                <w:sz w:val="24"/>
                <w:szCs w:val="24"/>
                <w:lang w:val="en-US"/>
              </w:rPr>
              <w:t>BANK</w:t>
            </w:r>
          </w:p>
        </w:tc>
        <w:tc>
          <w:tcPr>
            <w:tcW w:w="3203" w:type="dxa"/>
            <w:tcBorders>
              <w:top w:val="nil"/>
              <w:left w:val="nil"/>
              <w:bottom w:val="single" w:sz="4" w:space="0" w:color="7F7F7F"/>
              <w:right w:val="nil"/>
            </w:tcBorders>
            <w:shd w:val="clear" w:color="auto" w:fill="auto"/>
            <w:tcMar>
              <w:top w:w="80" w:type="dxa"/>
              <w:left w:w="80" w:type="dxa"/>
              <w:bottom w:w="80" w:type="dxa"/>
              <w:right w:w="80" w:type="dxa"/>
            </w:tcMar>
          </w:tcPr>
          <w:p w14:paraId="1239701C" w14:textId="77777777" w:rsidR="00DC4459" w:rsidRDefault="00077D4E">
            <w:pPr>
              <w:pStyle w:val="Body"/>
              <w:spacing w:before="240" w:after="0" w:line="360" w:lineRule="auto"/>
            </w:pPr>
            <w:r>
              <w:rPr>
                <w:rFonts w:ascii="Times New Roman" w:hAnsi="Times New Roman"/>
                <w:b/>
                <w:bCs/>
                <w:caps/>
                <w:sz w:val="24"/>
                <w:szCs w:val="24"/>
                <w:lang w:val="en-US"/>
              </w:rPr>
              <w:t>CATEGORY</w:t>
            </w:r>
          </w:p>
        </w:tc>
      </w:tr>
      <w:tr w:rsidR="00DC4459" w14:paraId="48E7164E" w14:textId="77777777">
        <w:trPr>
          <w:trHeight w:val="295"/>
        </w:trPr>
        <w:tc>
          <w:tcPr>
            <w:tcW w:w="590" w:type="dxa"/>
            <w:tcBorders>
              <w:top w:val="single" w:sz="4" w:space="0" w:color="7F7F7F"/>
              <w:left w:val="nil"/>
              <w:bottom w:val="nil"/>
              <w:right w:val="single" w:sz="4" w:space="0" w:color="7F7F7F"/>
            </w:tcBorders>
            <w:shd w:val="clear" w:color="auto" w:fill="F2F2F2"/>
            <w:tcMar>
              <w:top w:w="80" w:type="dxa"/>
              <w:left w:w="80" w:type="dxa"/>
              <w:bottom w:w="80" w:type="dxa"/>
              <w:right w:w="80" w:type="dxa"/>
            </w:tcMar>
          </w:tcPr>
          <w:p w14:paraId="38BF5699" w14:textId="77777777" w:rsidR="00DC4459" w:rsidRDefault="00077D4E">
            <w:pPr>
              <w:pStyle w:val="Body"/>
              <w:spacing w:before="240" w:after="0" w:line="360" w:lineRule="auto"/>
            </w:pPr>
            <w:r>
              <w:rPr>
                <w:rFonts w:ascii="Times New Roman" w:hAnsi="Times New Roman"/>
                <w:b/>
                <w:bCs/>
                <w:caps/>
                <w:sz w:val="24"/>
                <w:szCs w:val="24"/>
                <w:lang w:val="en-US"/>
              </w:rPr>
              <w:t>1</w:t>
            </w:r>
          </w:p>
        </w:tc>
        <w:tc>
          <w:tcPr>
            <w:tcW w:w="2263" w:type="dxa"/>
            <w:tcBorders>
              <w:top w:val="single" w:sz="4" w:space="0" w:color="7F7F7F"/>
              <w:left w:val="single" w:sz="4" w:space="0" w:color="7F7F7F"/>
              <w:bottom w:val="nil"/>
              <w:right w:val="nil"/>
            </w:tcBorders>
            <w:shd w:val="clear" w:color="auto" w:fill="F2F2F2"/>
            <w:tcMar>
              <w:top w:w="80" w:type="dxa"/>
              <w:left w:w="80" w:type="dxa"/>
              <w:bottom w:w="80" w:type="dxa"/>
              <w:right w:w="80" w:type="dxa"/>
            </w:tcMar>
          </w:tcPr>
          <w:p w14:paraId="1F6A0546" w14:textId="77777777" w:rsidR="00DC4459" w:rsidRDefault="00077D4E">
            <w:pPr>
              <w:pStyle w:val="Body"/>
              <w:spacing w:before="240" w:after="0" w:line="360" w:lineRule="auto"/>
            </w:pPr>
            <w:r>
              <w:rPr>
                <w:rFonts w:ascii="Times New Roman" w:hAnsi="Times New Roman"/>
                <w:sz w:val="24"/>
                <w:szCs w:val="24"/>
                <w:lang w:val="en-US"/>
              </w:rPr>
              <w:t>TW</w:t>
            </w:r>
          </w:p>
        </w:tc>
        <w:tc>
          <w:tcPr>
            <w:tcW w:w="2970" w:type="dxa"/>
            <w:tcBorders>
              <w:top w:val="single" w:sz="4" w:space="0" w:color="7F7F7F"/>
              <w:left w:val="nil"/>
              <w:bottom w:val="nil"/>
              <w:right w:val="nil"/>
            </w:tcBorders>
            <w:shd w:val="clear" w:color="auto" w:fill="F2F2F2"/>
            <w:tcMar>
              <w:top w:w="80" w:type="dxa"/>
              <w:left w:w="80" w:type="dxa"/>
              <w:bottom w:w="80" w:type="dxa"/>
              <w:right w:w="80" w:type="dxa"/>
            </w:tcMar>
          </w:tcPr>
          <w:p w14:paraId="4159122A" w14:textId="77777777" w:rsidR="00DC4459" w:rsidRDefault="00077D4E">
            <w:pPr>
              <w:pStyle w:val="Body"/>
              <w:spacing w:before="240" w:after="0" w:line="360" w:lineRule="auto"/>
            </w:pPr>
            <w:r>
              <w:rPr>
                <w:rFonts w:ascii="Times New Roman" w:hAnsi="Times New Roman"/>
                <w:sz w:val="24"/>
                <w:szCs w:val="24"/>
                <w:lang w:val="en-US"/>
              </w:rPr>
              <w:t>Bank of Ireland</w:t>
            </w:r>
          </w:p>
        </w:tc>
        <w:tc>
          <w:tcPr>
            <w:tcW w:w="3203" w:type="dxa"/>
            <w:tcBorders>
              <w:top w:val="single" w:sz="4" w:space="0" w:color="7F7F7F"/>
              <w:left w:val="nil"/>
              <w:bottom w:val="nil"/>
              <w:right w:val="nil"/>
            </w:tcBorders>
            <w:shd w:val="clear" w:color="auto" w:fill="F2F2F2"/>
            <w:tcMar>
              <w:top w:w="80" w:type="dxa"/>
              <w:left w:w="80" w:type="dxa"/>
              <w:bottom w:w="80" w:type="dxa"/>
              <w:right w:w="80" w:type="dxa"/>
            </w:tcMar>
          </w:tcPr>
          <w:p w14:paraId="111AB6E4" w14:textId="77777777" w:rsidR="00DC4459" w:rsidRDefault="00077D4E">
            <w:pPr>
              <w:pStyle w:val="Body"/>
              <w:spacing w:before="240" w:after="0" w:line="360" w:lineRule="auto"/>
            </w:pPr>
            <w:r>
              <w:rPr>
                <w:rFonts w:ascii="Times New Roman" w:hAnsi="Times New Roman"/>
                <w:sz w:val="24"/>
                <w:szCs w:val="24"/>
                <w:lang w:val="en-US"/>
              </w:rPr>
              <w:t>Manager</w:t>
            </w:r>
          </w:p>
        </w:tc>
      </w:tr>
      <w:tr w:rsidR="00DC4459" w14:paraId="6A1D81C0" w14:textId="77777777">
        <w:trPr>
          <w:trHeight w:val="290"/>
        </w:trPr>
        <w:tc>
          <w:tcPr>
            <w:tcW w:w="590" w:type="dxa"/>
            <w:tcBorders>
              <w:top w:val="nil"/>
              <w:left w:val="nil"/>
              <w:bottom w:val="nil"/>
              <w:right w:val="single" w:sz="4" w:space="0" w:color="7F7F7F"/>
            </w:tcBorders>
            <w:shd w:val="clear" w:color="auto" w:fill="auto"/>
            <w:tcMar>
              <w:top w:w="80" w:type="dxa"/>
              <w:left w:w="80" w:type="dxa"/>
              <w:bottom w:w="80" w:type="dxa"/>
              <w:right w:w="80" w:type="dxa"/>
            </w:tcMar>
          </w:tcPr>
          <w:p w14:paraId="644F8121" w14:textId="77777777" w:rsidR="00DC4459" w:rsidRDefault="00077D4E">
            <w:pPr>
              <w:pStyle w:val="Body"/>
              <w:spacing w:before="240" w:after="0" w:line="360" w:lineRule="auto"/>
            </w:pPr>
            <w:r>
              <w:rPr>
                <w:rFonts w:ascii="Times New Roman" w:hAnsi="Times New Roman"/>
                <w:b/>
                <w:bCs/>
                <w:caps/>
                <w:sz w:val="24"/>
                <w:szCs w:val="24"/>
                <w:lang w:val="en-US"/>
              </w:rPr>
              <w:t>2</w:t>
            </w:r>
          </w:p>
        </w:tc>
        <w:tc>
          <w:tcPr>
            <w:tcW w:w="2263" w:type="dxa"/>
            <w:tcBorders>
              <w:top w:val="nil"/>
              <w:left w:val="single" w:sz="4" w:space="0" w:color="7F7F7F"/>
              <w:bottom w:val="nil"/>
              <w:right w:val="nil"/>
            </w:tcBorders>
            <w:shd w:val="clear" w:color="auto" w:fill="auto"/>
            <w:tcMar>
              <w:top w:w="80" w:type="dxa"/>
              <w:left w:w="80" w:type="dxa"/>
              <w:bottom w:w="80" w:type="dxa"/>
              <w:right w:w="80" w:type="dxa"/>
            </w:tcMar>
          </w:tcPr>
          <w:p w14:paraId="5919C42D" w14:textId="77777777" w:rsidR="00DC4459" w:rsidRDefault="00077D4E">
            <w:pPr>
              <w:pStyle w:val="Body"/>
              <w:spacing w:before="240" w:after="0" w:line="360" w:lineRule="auto"/>
            </w:pPr>
            <w:r>
              <w:rPr>
                <w:rFonts w:ascii="Times New Roman" w:hAnsi="Times New Roman"/>
                <w:sz w:val="24"/>
                <w:szCs w:val="24"/>
                <w:lang w:val="en-US"/>
              </w:rPr>
              <w:t>AN</w:t>
            </w:r>
          </w:p>
        </w:tc>
        <w:tc>
          <w:tcPr>
            <w:tcW w:w="2970" w:type="dxa"/>
            <w:tcBorders>
              <w:top w:val="nil"/>
              <w:left w:val="nil"/>
              <w:bottom w:val="nil"/>
              <w:right w:val="nil"/>
            </w:tcBorders>
            <w:shd w:val="clear" w:color="auto" w:fill="auto"/>
            <w:tcMar>
              <w:top w:w="80" w:type="dxa"/>
              <w:left w:w="80" w:type="dxa"/>
              <w:bottom w:w="80" w:type="dxa"/>
              <w:right w:w="80" w:type="dxa"/>
            </w:tcMar>
          </w:tcPr>
          <w:p w14:paraId="4C87CF7C" w14:textId="77777777" w:rsidR="00DC4459" w:rsidRDefault="00077D4E">
            <w:pPr>
              <w:pStyle w:val="Body"/>
              <w:spacing w:before="240" w:after="0" w:line="360" w:lineRule="auto"/>
            </w:pPr>
            <w:r>
              <w:rPr>
                <w:rFonts w:ascii="Times New Roman" w:hAnsi="Times New Roman"/>
                <w:sz w:val="24"/>
                <w:szCs w:val="24"/>
                <w:lang w:val="en-US"/>
              </w:rPr>
              <w:t>Allied Irish Bank</w:t>
            </w:r>
          </w:p>
        </w:tc>
        <w:tc>
          <w:tcPr>
            <w:tcW w:w="3203" w:type="dxa"/>
            <w:tcBorders>
              <w:top w:val="nil"/>
              <w:left w:val="nil"/>
              <w:bottom w:val="nil"/>
              <w:right w:val="nil"/>
            </w:tcBorders>
            <w:shd w:val="clear" w:color="auto" w:fill="auto"/>
            <w:tcMar>
              <w:top w:w="80" w:type="dxa"/>
              <w:left w:w="80" w:type="dxa"/>
              <w:bottom w:w="80" w:type="dxa"/>
              <w:right w:w="80" w:type="dxa"/>
            </w:tcMar>
          </w:tcPr>
          <w:p w14:paraId="112F996C" w14:textId="77777777" w:rsidR="00DC4459" w:rsidRDefault="00077D4E">
            <w:pPr>
              <w:pStyle w:val="Body"/>
              <w:spacing w:before="240" w:after="0" w:line="360" w:lineRule="auto"/>
            </w:pPr>
            <w:r>
              <w:rPr>
                <w:rFonts w:ascii="Times New Roman" w:hAnsi="Times New Roman"/>
                <w:sz w:val="24"/>
                <w:szCs w:val="24"/>
                <w:lang w:val="en-US"/>
              </w:rPr>
              <w:t>Board of Director</w:t>
            </w:r>
          </w:p>
        </w:tc>
      </w:tr>
      <w:tr w:rsidR="00DC4459" w14:paraId="37CE35B4" w14:textId="77777777">
        <w:trPr>
          <w:trHeight w:val="290"/>
        </w:trPr>
        <w:tc>
          <w:tcPr>
            <w:tcW w:w="590" w:type="dxa"/>
            <w:tcBorders>
              <w:top w:val="nil"/>
              <w:left w:val="nil"/>
              <w:bottom w:val="nil"/>
              <w:right w:val="single" w:sz="4" w:space="0" w:color="7F7F7F"/>
            </w:tcBorders>
            <w:shd w:val="clear" w:color="auto" w:fill="F2F2F2"/>
            <w:tcMar>
              <w:top w:w="80" w:type="dxa"/>
              <w:left w:w="80" w:type="dxa"/>
              <w:bottom w:w="80" w:type="dxa"/>
              <w:right w:w="80" w:type="dxa"/>
            </w:tcMar>
          </w:tcPr>
          <w:p w14:paraId="09078177" w14:textId="77777777" w:rsidR="00DC4459" w:rsidRDefault="00077D4E">
            <w:pPr>
              <w:pStyle w:val="Body"/>
              <w:spacing w:before="240" w:after="0" w:line="360" w:lineRule="auto"/>
            </w:pPr>
            <w:r>
              <w:rPr>
                <w:rFonts w:ascii="Times New Roman" w:hAnsi="Times New Roman"/>
                <w:b/>
                <w:bCs/>
                <w:caps/>
                <w:sz w:val="24"/>
                <w:szCs w:val="24"/>
                <w:lang w:val="en-US"/>
              </w:rPr>
              <w:t>3</w:t>
            </w:r>
          </w:p>
        </w:tc>
        <w:tc>
          <w:tcPr>
            <w:tcW w:w="2263" w:type="dxa"/>
            <w:tcBorders>
              <w:top w:val="nil"/>
              <w:left w:val="single" w:sz="4" w:space="0" w:color="7F7F7F"/>
              <w:bottom w:val="nil"/>
              <w:right w:val="nil"/>
            </w:tcBorders>
            <w:shd w:val="clear" w:color="auto" w:fill="F2F2F2"/>
            <w:tcMar>
              <w:top w:w="80" w:type="dxa"/>
              <w:left w:w="80" w:type="dxa"/>
              <w:bottom w:w="80" w:type="dxa"/>
              <w:right w:w="80" w:type="dxa"/>
            </w:tcMar>
          </w:tcPr>
          <w:p w14:paraId="7FFE561E" w14:textId="77777777" w:rsidR="00DC4459" w:rsidRDefault="00077D4E">
            <w:pPr>
              <w:pStyle w:val="Body"/>
              <w:spacing w:before="240" w:after="0" w:line="360" w:lineRule="auto"/>
            </w:pPr>
            <w:r>
              <w:rPr>
                <w:rFonts w:ascii="Times New Roman" w:hAnsi="Times New Roman"/>
                <w:sz w:val="24"/>
                <w:szCs w:val="24"/>
                <w:lang w:val="en-US"/>
              </w:rPr>
              <w:t>DT</w:t>
            </w:r>
          </w:p>
        </w:tc>
        <w:tc>
          <w:tcPr>
            <w:tcW w:w="2970" w:type="dxa"/>
            <w:tcBorders>
              <w:top w:val="nil"/>
              <w:left w:val="nil"/>
              <w:bottom w:val="nil"/>
              <w:right w:val="nil"/>
            </w:tcBorders>
            <w:shd w:val="clear" w:color="auto" w:fill="F2F2F2"/>
            <w:tcMar>
              <w:top w:w="80" w:type="dxa"/>
              <w:left w:w="80" w:type="dxa"/>
              <w:bottom w:w="80" w:type="dxa"/>
              <w:right w:w="80" w:type="dxa"/>
            </w:tcMar>
          </w:tcPr>
          <w:p w14:paraId="5B3ABD53" w14:textId="77777777" w:rsidR="00DC4459" w:rsidRDefault="00077D4E">
            <w:pPr>
              <w:pStyle w:val="Body"/>
              <w:spacing w:before="240" w:after="0" w:line="360" w:lineRule="auto"/>
            </w:pPr>
            <w:r>
              <w:rPr>
                <w:rFonts w:ascii="Times New Roman" w:hAnsi="Times New Roman"/>
                <w:sz w:val="24"/>
                <w:szCs w:val="24"/>
                <w:lang w:val="en-US"/>
              </w:rPr>
              <w:t>Ulster Bank</w:t>
            </w:r>
          </w:p>
        </w:tc>
        <w:tc>
          <w:tcPr>
            <w:tcW w:w="3203" w:type="dxa"/>
            <w:tcBorders>
              <w:top w:val="nil"/>
              <w:left w:val="nil"/>
              <w:bottom w:val="nil"/>
              <w:right w:val="nil"/>
            </w:tcBorders>
            <w:shd w:val="clear" w:color="auto" w:fill="F2F2F2"/>
            <w:tcMar>
              <w:top w:w="80" w:type="dxa"/>
              <w:left w:w="80" w:type="dxa"/>
              <w:bottom w:w="80" w:type="dxa"/>
              <w:right w:w="80" w:type="dxa"/>
            </w:tcMar>
          </w:tcPr>
          <w:p w14:paraId="777DFFE0" w14:textId="77777777" w:rsidR="00DC4459" w:rsidRDefault="00077D4E">
            <w:pPr>
              <w:pStyle w:val="Body"/>
              <w:spacing w:before="240" w:after="0" w:line="360" w:lineRule="auto"/>
            </w:pPr>
            <w:r>
              <w:rPr>
                <w:rFonts w:ascii="Times New Roman" w:hAnsi="Times New Roman"/>
                <w:sz w:val="24"/>
                <w:szCs w:val="24"/>
                <w:lang w:val="en-US"/>
              </w:rPr>
              <w:t>Manager</w:t>
            </w:r>
          </w:p>
        </w:tc>
      </w:tr>
      <w:tr w:rsidR="00DC4459" w14:paraId="6E46A001" w14:textId="77777777">
        <w:trPr>
          <w:trHeight w:val="290"/>
        </w:trPr>
        <w:tc>
          <w:tcPr>
            <w:tcW w:w="590" w:type="dxa"/>
            <w:tcBorders>
              <w:top w:val="nil"/>
              <w:left w:val="nil"/>
              <w:bottom w:val="nil"/>
              <w:right w:val="single" w:sz="4" w:space="0" w:color="7F7F7F"/>
            </w:tcBorders>
            <w:shd w:val="clear" w:color="auto" w:fill="auto"/>
            <w:tcMar>
              <w:top w:w="80" w:type="dxa"/>
              <w:left w:w="80" w:type="dxa"/>
              <w:bottom w:w="80" w:type="dxa"/>
              <w:right w:w="80" w:type="dxa"/>
            </w:tcMar>
          </w:tcPr>
          <w:p w14:paraId="7CEF01A5" w14:textId="77777777" w:rsidR="00DC4459" w:rsidRDefault="00077D4E">
            <w:pPr>
              <w:pStyle w:val="Body"/>
              <w:spacing w:before="240" w:after="0" w:line="360" w:lineRule="auto"/>
            </w:pPr>
            <w:r>
              <w:rPr>
                <w:rFonts w:ascii="Times New Roman" w:hAnsi="Times New Roman"/>
                <w:b/>
                <w:bCs/>
                <w:caps/>
                <w:sz w:val="24"/>
                <w:szCs w:val="24"/>
                <w:lang w:val="en-US"/>
              </w:rPr>
              <w:t>4</w:t>
            </w:r>
          </w:p>
        </w:tc>
        <w:tc>
          <w:tcPr>
            <w:tcW w:w="2263" w:type="dxa"/>
            <w:tcBorders>
              <w:top w:val="nil"/>
              <w:left w:val="single" w:sz="4" w:space="0" w:color="7F7F7F"/>
              <w:bottom w:val="nil"/>
              <w:right w:val="nil"/>
            </w:tcBorders>
            <w:shd w:val="clear" w:color="auto" w:fill="auto"/>
            <w:tcMar>
              <w:top w:w="80" w:type="dxa"/>
              <w:left w:w="80" w:type="dxa"/>
              <w:bottom w:w="80" w:type="dxa"/>
              <w:right w:w="80" w:type="dxa"/>
            </w:tcMar>
          </w:tcPr>
          <w:p w14:paraId="781F0D2D" w14:textId="77777777" w:rsidR="00DC4459" w:rsidRDefault="00077D4E">
            <w:pPr>
              <w:pStyle w:val="Body"/>
              <w:spacing w:before="240" w:after="0" w:line="360" w:lineRule="auto"/>
            </w:pPr>
            <w:r>
              <w:rPr>
                <w:rFonts w:ascii="Times New Roman" w:hAnsi="Times New Roman"/>
                <w:sz w:val="24"/>
                <w:szCs w:val="24"/>
                <w:lang w:val="en-US"/>
              </w:rPr>
              <w:t>PP</w:t>
            </w:r>
          </w:p>
        </w:tc>
        <w:tc>
          <w:tcPr>
            <w:tcW w:w="2970" w:type="dxa"/>
            <w:tcBorders>
              <w:top w:val="nil"/>
              <w:left w:val="nil"/>
              <w:bottom w:val="nil"/>
              <w:right w:val="nil"/>
            </w:tcBorders>
            <w:shd w:val="clear" w:color="auto" w:fill="auto"/>
            <w:tcMar>
              <w:top w:w="80" w:type="dxa"/>
              <w:left w:w="80" w:type="dxa"/>
              <w:bottom w:w="80" w:type="dxa"/>
              <w:right w:w="80" w:type="dxa"/>
            </w:tcMar>
          </w:tcPr>
          <w:p w14:paraId="5A496976" w14:textId="77777777" w:rsidR="00DC4459" w:rsidRDefault="00077D4E">
            <w:pPr>
              <w:pStyle w:val="Body"/>
              <w:spacing w:before="240" w:after="0" w:line="360" w:lineRule="auto"/>
            </w:pPr>
            <w:r>
              <w:rPr>
                <w:rFonts w:ascii="Times New Roman" w:hAnsi="Times New Roman"/>
                <w:sz w:val="24"/>
                <w:szCs w:val="24"/>
                <w:lang w:val="en-US"/>
              </w:rPr>
              <w:t>KBC Bank</w:t>
            </w:r>
          </w:p>
        </w:tc>
        <w:tc>
          <w:tcPr>
            <w:tcW w:w="3203" w:type="dxa"/>
            <w:tcBorders>
              <w:top w:val="nil"/>
              <w:left w:val="nil"/>
              <w:bottom w:val="nil"/>
              <w:right w:val="nil"/>
            </w:tcBorders>
            <w:shd w:val="clear" w:color="auto" w:fill="auto"/>
            <w:tcMar>
              <w:top w:w="80" w:type="dxa"/>
              <w:left w:w="80" w:type="dxa"/>
              <w:bottom w:w="80" w:type="dxa"/>
              <w:right w:w="80" w:type="dxa"/>
            </w:tcMar>
          </w:tcPr>
          <w:p w14:paraId="4D5FC648" w14:textId="77777777" w:rsidR="00DC4459" w:rsidRDefault="00077D4E">
            <w:pPr>
              <w:pStyle w:val="Body"/>
              <w:spacing w:before="240" w:after="0" w:line="360" w:lineRule="auto"/>
            </w:pPr>
            <w:r>
              <w:rPr>
                <w:rFonts w:ascii="Times New Roman" w:hAnsi="Times New Roman"/>
                <w:sz w:val="24"/>
                <w:szCs w:val="24"/>
                <w:lang w:val="en-US"/>
              </w:rPr>
              <w:t>Board of Director</w:t>
            </w:r>
          </w:p>
        </w:tc>
      </w:tr>
      <w:tr w:rsidR="00DC4459" w14:paraId="283991CA" w14:textId="77777777">
        <w:trPr>
          <w:trHeight w:val="290"/>
        </w:trPr>
        <w:tc>
          <w:tcPr>
            <w:tcW w:w="590" w:type="dxa"/>
            <w:tcBorders>
              <w:top w:val="nil"/>
              <w:left w:val="nil"/>
              <w:bottom w:val="nil"/>
              <w:right w:val="single" w:sz="4" w:space="0" w:color="7F7F7F"/>
            </w:tcBorders>
            <w:shd w:val="clear" w:color="auto" w:fill="F2F2F2"/>
            <w:tcMar>
              <w:top w:w="80" w:type="dxa"/>
              <w:left w:w="80" w:type="dxa"/>
              <w:bottom w:w="80" w:type="dxa"/>
              <w:right w:w="80" w:type="dxa"/>
            </w:tcMar>
          </w:tcPr>
          <w:p w14:paraId="26753D20" w14:textId="77777777" w:rsidR="00DC4459" w:rsidRDefault="00077D4E">
            <w:pPr>
              <w:pStyle w:val="Body"/>
              <w:spacing w:before="240" w:after="0" w:line="360" w:lineRule="auto"/>
            </w:pPr>
            <w:r>
              <w:rPr>
                <w:rFonts w:ascii="Times New Roman" w:hAnsi="Times New Roman"/>
                <w:b/>
                <w:bCs/>
                <w:caps/>
                <w:sz w:val="24"/>
                <w:szCs w:val="24"/>
                <w:lang w:val="en-US"/>
              </w:rPr>
              <w:t>5</w:t>
            </w:r>
          </w:p>
        </w:tc>
        <w:tc>
          <w:tcPr>
            <w:tcW w:w="2263" w:type="dxa"/>
            <w:tcBorders>
              <w:top w:val="nil"/>
              <w:left w:val="single" w:sz="4" w:space="0" w:color="7F7F7F"/>
              <w:bottom w:val="nil"/>
              <w:right w:val="nil"/>
            </w:tcBorders>
            <w:shd w:val="clear" w:color="auto" w:fill="F2F2F2"/>
            <w:tcMar>
              <w:top w:w="80" w:type="dxa"/>
              <w:left w:w="80" w:type="dxa"/>
              <w:bottom w:w="80" w:type="dxa"/>
              <w:right w:w="80" w:type="dxa"/>
            </w:tcMar>
          </w:tcPr>
          <w:p w14:paraId="7AB6CAB7" w14:textId="77777777" w:rsidR="00DC4459" w:rsidRDefault="00077D4E">
            <w:pPr>
              <w:pStyle w:val="Body"/>
              <w:spacing w:before="240" w:after="0" w:line="360" w:lineRule="auto"/>
            </w:pPr>
            <w:r>
              <w:rPr>
                <w:rFonts w:ascii="Times New Roman" w:hAnsi="Times New Roman"/>
                <w:sz w:val="24"/>
                <w:szCs w:val="24"/>
                <w:lang w:val="en-US"/>
              </w:rPr>
              <w:t>EP</w:t>
            </w:r>
          </w:p>
        </w:tc>
        <w:tc>
          <w:tcPr>
            <w:tcW w:w="2970" w:type="dxa"/>
            <w:tcBorders>
              <w:top w:val="nil"/>
              <w:left w:val="nil"/>
              <w:bottom w:val="nil"/>
              <w:right w:val="nil"/>
            </w:tcBorders>
            <w:shd w:val="clear" w:color="auto" w:fill="F2F2F2"/>
            <w:tcMar>
              <w:top w:w="80" w:type="dxa"/>
              <w:left w:w="80" w:type="dxa"/>
              <w:bottom w:w="80" w:type="dxa"/>
              <w:right w:w="80" w:type="dxa"/>
            </w:tcMar>
          </w:tcPr>
          <w:p w14:paraId="518BC35E" w14:textId="77777777" w:rsidR="00DC4459" w:rsidRDefault="00077D4E">
            <w:pPr>
              <w:pStyle w:val="Body"/>
              <w:spacing w:before="240" w:after="0" w:line="360" w:lineRule="auto"/>
            </w:pPr>
            <w:r>
              <w:rPr>
                <w:rFonts w:ascii="Times New Roman" w:hAnsi="Times New Roman"/>
                <w:sz w:val="24"/>
                <w:szCs w:val="24"/>
                <w:lang w:val="en-US"/>
              </w:rPr>
              <w:t>Permanent TSB</w:t>
            </w:r>
          </w:p>
        </w:tc>
        <w:tc>
          <w:tcPr>
            <w:tcW w:w="3203" w:type="dxa"/>
            <w:tcBorders>
              <w:top w:val="nil"/>
              <w:left w:val="nil"/>
              <w:bottom w:val="nil"/>
              <w:right w:val="nil"/>
            </w:tcBorders>
            <w:shd w:val="clear" w:color="auto" w:fill="F2F2F2"/>
            <w:tcMar>
              <w:top w:w="80" w:type="dxa"/>
              <w:left w:w="80" w:type="dxa"/>
              <w:bottom w:w="80" w:type="dxa"/>
              <w:right w:w="80" w:type="dxa"/>
            </w:tcMar>
          </w:tcPr>
          <w:p w14:paraId="79D2D4C5" w14:textId="77777777" w:rsidR="00DC4459" w:rsidRDefault="00077D4E">
            <w:pPr>
              <w:pStyle w:val="Body"/>
              <w:spacing w:before="240" w:after="0" w:line="360" w:lineRule="auto"/>
            </w:pPr>
            <w:r>
              <w:rPr>
                <w:rFonts w:ascii="Times New Roman" w:hAnsi="Times New Roman"/>
                <w:sz w:val="24"/>
                <w:szCs w:val="24"/>
                <w:lang w:val="en-US"/>
              </w:rPr>
              <w:t>Board of Director</w:t>
            </w:r>
          </w:p>
        </w:tc>
      </w:tr>
    </w:tbl>
    <w:p w14:paraId="439AAE8D" w14:textId="77777777" w:rsidR="00DC4459" w:rsidRDefault="00DC4459">
      <w:pPr>
        <w:pStyle w:val="Caption"/>
        <w:widowControl w:val="0"/>
        <w:rPr>
          <w:color w:val="000000"/>
          <w:u w:color="000000"/>
        </w:rPr>
      </w:pPr>
    </w:p>
    <w:p w14:paraId="20272B98" w14:textId="77777777" w:rsidR="00DC4459" w:rsidRDefault="00DC4459">
      <w:pPr>
        <w:pStyle w:val="Body"/>
        <w:shd w:val="clear" w:color="auto" w:fill="FFFFFF"/>
        <w:spacing w:before="240" w:after="0" w:line="360" w:lineRule="auto"/>
        <w:jc w:val="both"/>
        <w:rPr>
          <w:rFonts w:ascii="Times New Roman" w:eastAsia="Times New Roman" w:hAnsi="Times New Roman" w:cs="Times New Roman"/>
          <w:sz w:val="24"/>
          <w:szCs w:val="24"/>
        </w:rPr>
      </w:pPr>
    </w:p>
    <w:p w14:paraId="19C02DEE"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b/>
          <w:bCs/>
          <w:sz w:val="24"/>
          <w:szCs w:val="24"/>
        </w:rPr>
      </w:pPr>
      <w:r>
        <w:rPr>
          <w:rFonts w:ascii="Times New Roman" w:hAnsi="Times New Roman"/>
          <w:sz w:val="24"/>
          <w:szCs w:val="24"/>
          <w:lang w:val="en-US"/>
        </w:rPr>
        <w:t>Analysis of data is based on thematic analysis. From the coding of data, themes were discovered, discussion of findings are thus under the themes to give an elaborate, direct and precise appreciation of the research findings.  The diagram below gives a breakdown of themes and associated findings</w:t>
      </w:r>
    </w:p>
    <w:p w14:paraId="7CAEB06A" w14:textId="77777777" w:rsidR="00DC4459" w:rsidRDefault="00077D4E">
      <w:pPr>
        <w:pStyle w:val="Heading"/>
      </w:pPr>
      <w:bookmarkStart w:id="71" w:name="_Toc73739031"/>
      <w:r>
        <w:rPr>
          <w:rFonts w:eastAsia="Arial Unicode MS" w:cs="Arial Unicode MS"/>
          <w:lang w:val="en-US"/>
        </w:rPr>
        <w:lastRenderedPageBreak/>
        <w:t>4.2. Discussion of Themes</w:t>
      </w:r>
      <w:bookmarkEnd w:id="71"/>
    </w:p>
    <w:p w14:paraId="54B2D21C" w14:textId="77777777" w:rsidR="00DC4459" w:rsidRDefault="00077D4E">
      <w:pPr>
        <w:pStyle w:val="Heading2"/>
      </w:pPr>
      <w:bookmarkStart w:id="72" w:name="_Toc73739032"/>
      <w:r>
        <w:rPr>
          <w:rFonts w:eastAsia="Arial Unicode MS" w:cs="Arial Unicode MS"/>
          <w:lang w:val="en-US"/>
        </w:rPr>
        <w:t>4.2.1. Theme One: Factors influencing Adherence to Corporate Governance Codes</w:t>
      </w:r>
      <w:bookmarkEnd w:id="72"/>
    </w:p>
    <w:p w14:paraId="6B3362E5"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theme sought to discover the factors influencing the adherence to corporate governance codes amongst players in the banking sector in Ireland. The banking sector is critical as it operates based on people's money; hence investment, business, contracts, trade agreements, and transactions must be governed by specific rules to ensure that the agency problem is limited. This objective thus investigates the type of codes governing the financial sector in Ireland and its level of adherence, and the reasons for adherence amongst players in the financial sector. </w:t>
      </w:r>
    </w:p>
    <w:p w14:paraId="2D65EC85" w14:textId="77777777" w:rsidR="00DC4459" w:rsidRDefault="00077D4E">
      <w:pPr>
        <w:pStyle w:val="Heading3"/>
      </w:pPr>
      <w:bookmarkStart w:id="73" w:name="_Toc73739033"/>
      <w:r>
        <w:rPr>
          <w:rFonts w:eastAsia="Arial Unicode MS" w:cs="Arial Unicode MS"/>
          <w:lang w:val="en-US"/>
        </w:rPr>
        <w:t>a. Finding one: Corporate Governance Codes in the Irish Banking Sector</w:t>
      </w:r>
      <w:bookmarkEnd w:id="73"/>
      <w:r>
        <w:rPr>
          <w:rFonts w:eastAsia="Arial Unicode MS" w:cs="Arial Unicode MS"/>
          <w:lang w:val="en-US"/>
        </w:rPr>
        <w:t xml:space="preserve"> </w:t>
      </w:r>
    </w:p>
    <w:p w14:paraId="3A2F7193"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As explained in the subsequent section, the primary essence of corporate governance codes is to eliminate the agency problem and ensure that business operations and transactions of financial value are regulated to benefit stakeholders and investors' money (Kim, 2015). The research interviewees explained several corporate governance codes in the Irish Financial sector. </w:t>
      </w:r>
    </w:p>
    <w:p w14:paraId="4924E447" w14:textId="77777777" w:rsidR="00DC4459" w:rsidRDefault="00077D4E">
      <w:pPr>
        <w:pStyle w:val="Body"/>
        <w:shd w:val="clear" w:color="auto" w:fill="FFFFFF"/>
        <w:spacing w:before="240" w:after="0" w:line="276"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Specific corporate governance codes which this institution adheres to include various Irish company law, the Listing Rules of Euronext Dublin and the London Stock Exchange, the UK Corporate Governance Code 2018, the Irish Corporate Governance Annex to the Euronext Dublin Listing Rules, and, for UK businesses, UK company law</w:t>
      </w:r>
      <w:r>
        <w:rPr>
          <w:rFonts w:ascii="Times New Roman" w:hAnsi="Times New Roman"/>
          <w:b/>
          <w:bCs/>
          <w:i/>
          <w:iCs/>
          <w:sz w:val="24"/>
          <w:szCs w:val="24"/>
          <w:lang w:val="da-DK"/>
        </w:rPr>
        <w:t xml:space="preserve">."- </w:t>
      </w:r>
      <w:r>
        <w:rPr>
          <w:rFonts w:ascii="Times New Roman" w:hAnsi="Times New Roman"/>
          <w:b/>
          <w:bCs/>
          <w:sz w:val="24"/>
          <w:szCs w:val="24"/>
          <w:lang w:val="de-DE"/>
        </w:rPr>
        <w:t>TW</w:t>
      </w:r>
    </w:p>
    <w:p w14:paraId="27564366"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b/>
          <w:bCs/>
          <w:sz w:val="24"/>
          <w:szCs w:val="24"/>
        </w:rPr>
      </w:pPr>
      <w:r>
        <w:rPr>
          <w:rFonts w:ascii="Times New Roman" w:hAnsi="Times New Roman"/>
          <w:i/>
          <w:iCs/>
          <w:sz w:val="24"/>
          <w:szCs w:val="24"/>
          <w:lang w:val="en-US"/>
        </w:rPr>
        <w:t>"This institution adheres to all corporate governance codes as directed by the Central bank of Ireland, corporate governance codes, regulations and best practice standards and guidelines</w:t>
      </w:r>
      <w:r>
        <w:rPr>
          <w:rFonts w:ascii="Times New Roman" w:hAnsi="Times New Roman"/>
          <w:sz w:val="24"/>
          <w:szCs w:val="24"/>
          <w:lang w:val="ru-RU"/>
        </w:rPr>
        <w:t>"</w:t>
      </w:r>
      <w:r>
        <w:rPr>
          <w:rFonts w:ascii="Times New Roman" w:hAnsi="Times New Roman"/>
          <w:b/>
          <w:bCs/>
          <w:i/>
          <w:iCs/>
          <w:sz w:val="24"/>
          <w:szCs w:val="24"/>
        </w:rPr>
        <w:t>-</w:t>
      </w:r>
      <w:r>
        <w:rPr>
          <w:rFonts w:ascii="Times New Roman" w:hAnsi="Times New Roman"/>
          <w:b/>
          <w:bCs/>
          <w:sz w:val="24"/>
          <w:szCs w:val="24"/>
          <w:lang w:val="es-ES_tradnl"/>
        </w:rPr>
        <w:t>PP</w:t>
      </w:r>
    </w:p>
    <w:p w14:paraId="33645E19"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i/>
          <w:iCs/>
          <w:sz w:val="24"/>
          <w:szCs w:val="24"/>
          <w:lang w:val="en-US"/>
        </w:rPr>
        <w:t>"As a credit institution, AIB is subject to the requirements of the Central Bank of Ireland's Corporate Governance Requirements for Credit Institutions, including requirements which specifically relate to 'high impact institutions. Additional corporate governance obligations for significant credit institutions are met for the purposes of the European Union (Capital Requirements) Regulations 2014 (CRD) (which transposed the EU Capital Requirements Directive into domestic law)."-</w:t>
      </w:r>
      <w:r>
        <w:rPr>
          <w:rFonts w:ascii="Times New Roman" w:hAnsi="Times New Roman"/>
          <w:b/>
          <w:bCs/>
          <w:sz w:val="24"/>
          <w:szCs w:val="24"/>
        </w:rPr>
        <w:t>AN</w:t>
      </w:r>
      <w:r>
        <w:rPr>
          <w:rFonts w:ascii="Times New Roman" w:hAnsi="Times New Roman"/>
          <w:b/>
          <w:bCs/>
          <w:i/>
          <w:iCs/>
          <w:sz w:val="24"/>
          <w:szCs w:val="24"/>
          <w:lang w:val="en-US"/>
        </w:rPr>
        <w:t> </w:t>
      </w:r>
    </w:p>
    <w:p w14:paraId="2C7AA7D8"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b/>
          <w:bCs/>
          <w:sz w:val="24"/>
          <w:szCs w:val="24"/>
        </w:rPr>
      </w:pPr>
      <w:r>
        <w:rPr>
          <w:rFonts w:ascii="Times New Roman" w:hAnsi="Times New Roman"/>
          <w:i/>
          <w:iCs/>
          <w:sz w:val="24"/>
          <w:szCs w:val="24"/>
          <w:lang w:val="en-US"/>
        </w:rPr>
        <w:t>"Well, I will say we adhere to all laws of the lands, especially as stated by the Central Bank of Ireland; as a bank, we also adhere to all customer protection codes for corporate and non-</w:t>
      </w:r>
      <w:r>
        <w:rPr>
          <w:rFonts w:ascii="Times New Roman" w:hAnsi="Times New Roman"/>
          <w:i/>
          <w:iCs/>
          <w:sz w:val="24"/>
          <w:szCs w:val="24"/>
          <w:lang w:val="en-US"/>
        </w:rPr>
        <w:lastRenderedPageBreak/>
        <w:t>corporate customers. We are bound by principles that ensure the protection of customer rights</w:t>
      </w:r>
      <w:r>
        <w:rPr>
          <w:rFonts w:ascii="Times New Roman" w:hAnsi="Times New Roman"/>
          <w:b/>
          <w:bCs/>
          <w:i/>
          <w:iCs/>
          <w:sz w:val="24"/>
          <w:szCs w:val="24"/>
          <w:lang w:val="da-DK"/>
        </w:rPr>
        <w:t>"-</w:t>
      </w:r>
      <w:r>
        <w:rPr>
          <w:rFonts w:ascii="Times New Roman" w:hAnsi="Times New Roman"/>
          <w:b/>
          <w:bCs/>
          <w:sz w:val="24"/>
          <w:szCs w:val="24"/>
        </w:rPr>
        <w:t>DT</w:t>
      </w:r>
      <w:r>
        <w:rPr>
          <w:rFonts w:ascii="Times New Roman" w:hAnsi="Times New Roman"/>
          <w:b/>
          <w:bCs/>
          <w:i/>
          <w:iCs/>
          <w:sz w:val="24"/>
          <w:szCs w:val="24"/>
          <w:lang w:val="en-US"/>
        </w:rPr>
        <w:t> </w:t>
      </w:r>
    </w:p>
    <w:p w14:paraId="7885DD3C"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responses, two forms of corporate governance codes exist—financial and non-financial codes. The financial codes refer to those governing the disclosure of accounts, auditing, financial transactions, remuneration, etc., as governed by specific laws and directives from the Central bank of Ireland. Non-financial codes refer to best practices that govern the board of directors' structure, treatment and engagement of shareholders, and customer protection rights. This finding is related to the literature review as </w:t>
      </w:r>
      <w:proofErr w:type="spellStart"/>
      <w:r>
        <w:rPr>
          <w:rFonts w:ascii="Times New Roman" w:hAnsi="Times New Roman"/>
          <w:sz w:val="24"/>
          <w:szCs w:val="24"/>
          <w:lang w:val="en-US"/>
        </w:rPr>
        <w:t>Onakoya</w:t>
      </w:r>
      <w:proofErr w:type="spellEnd"/>
      <w:r>
        <w:rPr>
          <w:rFonts w:ascii="Times New Roman" w:hAnsi="Times New Roman"/>
          <w:sz w:val="24"/>
          <w:szCs w:val="24"/>
          <w:lang w:val="en-US"/>
        </w:rPr>
        <w:t>, et. al  (2014); Kim (2015) notes that corporate governance, regardless of the method adopted, has two main categories; financial and non-financial. </w:t>
      </w:r>
    </w:p>
    <w:p w14:paraId="428549D9"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While this research does not have a deep explanation of the Irish corporate governance codes, as significant research has been conducted on them, the relevant corporate governance codes are contained in Appendix E of this study. </w:t>
      </w:r>
    </w:p>
    <w:p w14:paraId="0E6ED7D6" w14:textId="77777777" w:rsidR="00DC4459" w:rsidRDefault="00077D4E">
      <w:pPr>
        <w:pStyle w:val="Heading2"/>
      </w:pPr>
      <w:bookmarkStart w:id="74" w:name="_Toc73739034"/>
      <w:r>
        <w:rPr>
          <w:rFonts w:eastAsia="Arial Unicode MS" w:cs="Arial Unicode MS"/>
          <w:lang w:val="en-US"/>
        </w:rPr>
        <w:t>4.2.2. Theme Two: Factors Determining the Adherence of Corporate Governance Codes in the Irish Banks.</w:t>
      </w:r>
      <w:bookmarkEnd w:id="74"/>
      <w:r>
        <w:rPr>
          <w:rFonts w:eastAsia="Arial Unicode MS" w:cs="Arial Unicode MS"/>
          <w:lang w:val="en-US"/>
        </w:rPr>
        <w:t xml:space="preserve"> </w:t>
      </w:r>
    </w:p>
    <w:p w14:paraId="4D5AE397"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importance of CG codes cannot be undermined in a fast and constantly involving economy like Ireland, huge financial transactions and operations must be monitored to prevent the unaccountability and lack of transparency in company operations. Thus, certain factors have been identified to influence the adherence to corporate governance codes by players in the Irish banking sector; these are explained </w:t>
      </w:r>
    </w:p>
    <w:p w14:paraId="32D9F032" w14:textId="77777777" w:rsidR="00DC4459" w:rsidRDefault="00077D4E">
      <w:pPr>
        <w:pStyle w:val="Heading3"/>
      </w:pPr>
      <w:bookmarkStart w:id="75" w:name="_Toc73739035"/>
      <w:r>
        <w:rPr>
          <w:rFonts w:eastAsia="Arial Unicode MS" w:cs="Arial Unicode MS"/>
          <w:lang w:val="en-US"/>
        </w:rPr>
        <w:t>a. Finding One: The Role of the Central Bank of Ireland (CBI)</w:t>
      </w:r>
      <w:bookmarkEnd w:id="75"/>
      <w:r>
        <w:rPr>
          <w:rFonts w:eastAsia="Arial Unicode MS" w:cs="Arial Unicode MS"/>
          <w:lang w:val="en-US"/>
        </w:rPr>
        <w:t xml:space="preserve"> </w:t>
      </w:r>
    </w:p>
    <w:p w14:paraId="6DE08DEC" w14:textId="77777777" w:rsidR="00DC4459" w:rsidRDefault="00077D4E">
      <w:pPr>
        <w:pStyle w:val="Body"/>
        <w:shd w:val="clear" w:color="auto" w:fill="FFFFFF"/>
        <w:spacing w:before="240" w:after="0" w:line="276"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Well, a major factor that influences the adherence of corporate governance codes is the central bank of Ireland, which is the regulator of all financial activities in the country, the central bank of Ireland audits all transactions. Hence, we must have an audit team, you do not know when the central bank of Ireland can request for audit; hence you need to be prepared or the bank can be closed down for unethical business practices</w:t>
      </w:r>
      <w:r>
        <w:rPr>
          <w:rFonts w:ascii="Times New Roman" w:hAnsi="Times New Roman"/>
          <w:b/>
          <w:bCs/>
          <w:sz w:val="24"/>
          <w:szCs w:val="24"/>
        </w:rPr>
        <w:t>"-EP</w:t>
      </w:r>
    </w:p>
    <w:p w14:paraId="5AB175D1" w14:textId="77777777" w:rsidR="00DC4459" w:rsidRDefault="00077D4E">
      <w:pPr>
        <w:pStyle w:val="Body"/>
        <w:shd w:val="clear" w:color="auto" w:fill="FFFFFF"/>
        <w:spacing w:before="240" w:after="0" w:line="360" w:lineRule="auto"/>
        <w:jc w:val="both"/>
        <w:rPr>
          <w:rFonts w:ascii="Times New Roman" w:eastAsia="Times New Roman" w:hAnsi="Times New Roman" w:cs="Times New Roman"/>
          <w:sz w:val="24"/>
          <w:szCs w:val="24"/>
        </w:rPr>
      </w:pPr>
      <w:r>
        <w:rPr>
          <w:rFonts w:ascii="Times New Roman" w:hAnsi="Times New Roman"/>
          <w:sz w:val="24"/>
          <w:szCs w:val="24"/>
          <w:lang w:val="en-US"/>
        </w:rPr>
        <w:t>In probing the role of the central bank further, TW explains </w:t>
      </w:r>
    </w:p>
    <w:p w14:paraId="6501C018" w14:textId="77777777" w:rsidR="00DC4459" w:rsidRDefault="00077D4E">
      <w:pPr>
        <w:pStyle w:val="Body"/>
        <w:shd w:val="clear" w:color="auto" w:fill="FFFFFF"/>
        <w:spacing w:before="240" w:after="0" w:line="276"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 xml:space="preserve">The central bank is there to monitor the affairs of banks; it deals with both financial and non-financial aspects of corporate governance; the CBI is interested in not just financial accountability but board accountability as well. The CBI is a large </w:t>
      </w:r>
      <w:proofErr w:type="spellStart"/>
      <w:r>
        <w:rPr>
          <w:rFonts w:ascii="Times New Roman" w:hAnsi="Times New Roman"/>
          <w:i/>
          <w:iCs/>
          <w:sz w:val="24"/>
          <w:szCs w:val="24"/>
          <w:lang w:val="en-US"/>
        </w:rPr>
        <w:t>organisation</w:t>
      </w:r>
      <w:proofErr w:type="spellEnd"/>
      <w:r>
        <w:rPr>
          <w:rFonts w:ascii="Times New Roman" w:hAnsi="Times New Roman"/>
          <w:i/>
          <w:iCs/>
          <w:sz w:val="24"/>
          <w:szCs w:val="24"/>
          <w:lang w:val="en-US"/>
        </w:rPr>
        <w:t xml:space="preserve"> with many teams who go around looking for audit statements and public disclosure statements. With the </w:t>
      </w:r>
      <w:r>
        <w:rPr>
          <w:rFonts w:ascii="Times New Roman" w:hAnsi="Times New Roman"/>
          <w:i/>
          <w:iCs/>
          <w:sz w:val="24"/>
          <w:szCs w:val="24"/>
          <w:lang w:val="en-US"/>
        </w:rPr>
        <w:lastRenderedPageBreak/>
        <w:t>strict stance of the CBI, I will be surprised if any financial institution is not adhering to provisions</w:t>
      </w:r>
      <w:r>
        <w:rPr>
          <w:rFonts w:ascii="Times New Roman" w:hAnsi="Times New Roman"/>
          <w:b/>
          <w:bCs/>
          <w:sz w:val="24"/>
          <w:szCs w:val="24"/>
          <w:lang w:val="da-DK"/>
        </w:rPr>
        <w:t>"-TW</w:t>
      </w:r>
    </w:p>
    <w:p w14:paraId="0F334B8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statements, the CBI plays a central role in the adherence of corporate governance codes by banks in the financial sectors; this is because the CBI is an umpire the monitors or financial and non-financial activities within the bank. This finding of the cardinal role CBI plays in the adherence to corporate governance codes is not explained in the literature; thus, it is amongst the first and newest finding of the research. The CBI is therefore responsible for monitoring. According to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xml:space="preserve"> et. al., (2017), monitoring </w:t>
      </w:r>
      <w:proofErr w:type="spellStart"/>
      <w:r>
        <w:rPr>
          <w:rFonts w:ascii="Times New Roman" w:hAnsi="Times New Roman"/>
          <w:sz w:val="24"/>
          <w:szCs w:val="24"/>
          <w:lang w:val="en-US"/>
        </w:rPr>
        <w:t>emphasises</w:t>
      </w:r>
      <w:proofErr w:type="spellEnd"/>
      <w:r>
        <w:rPr>
          <w:rFonts w:ascii="Times New Roman" w:hAnsi="Times New Roman"/>
          <w:sz w:val="24"/>
          <w:szCs w:val="24"/>
          <w:lang w:val="en-US"/>
        </w:rPr>
        <w:t xml:space="preserve"> the mechanism and actions undertaken on behalf of a principal who keeps an update on the agent's progress to ensure that the agent delivers on all outcomes he/she had been contracted to. The principals are main shareholders while the agents include the board members; it is thus the CBI's responsibility to monitor agents' actions to ensure that they adhere to principles for which they have been contracted. </w:t>
      </w:r>
    </w:p>
    <w:p w14:paraId="3DE49E8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Lungu et al (2020), explains, however, that the role of the CBI in monitoring and regulating financial and non-financial issues is complemented by the </w:t>
      </w:r>
      <w:bookmarkStart w:id="76" w:name="_Hlk73383262"/>
      <w:r>
        <w:rPr>
          <w:rFonts w:ascii="Times New Roman" w:hAnsi="Times New Roman"/>
          <w:sz w:val="24"/>
          <w:szCs w:val="24"/>
          <w:lang w:val="en-US"/>
        </w:rPr>
        <w:t>Irish financial services Regulatory Authority</w:t>
      </w:r>
      <w:bookmarkEnd w:id="76"/>
      <w:r>
        <w:rPr>
          <w:rFonts w:ascii="Times New Roman" w:hAnsi="Times New Roman"/>
          <w:sz w:val="24"/>
          <w:szCs w:val="24"/>
        </w:rPr>
        <w:t xml:space="preserve"> </w:t>
      </w:r>
      <w:bookmarkStart w:id="77" w:name="_Hlk73383250"/>
      <w:r>
        <w:rPr>
          <w:rFonts w:ascii="Times New Roman" w:hAnsi="Times New Roman"/>
          <w:sz w:val="24"/>
          <w:szCs w:val="24"/>
          <w:lang w:val="de-DE"/>
        </w:rPr>
        <w:t xml:space="preserve">(IFRA) </w:t>
      </w:r>
      <w:bookmarkEnd w:id="77"/>
      <w:r>
        <w:rPr>
          <w:rFonts w:ascii="Times New Roman" w:hAnsi="Times New Roman"/>
          <w:sz w:val="24"/>
          <w:szCs w:val="24"/>
          <w:lang w:val="en-US"/>
        </w:rPr>
        <w:t xml:space="preserve">established on 1 May 2003. IFRA, in synergy with the CBI of Ireland, supervises and regulates all financial institutions and practices operating in Ireland. Strict licensing regulation requirements are needed for financial institutions to operate. Constant monitoring was done on all financial institutions to ensure a "proper fit and adherence to corporate governance codes." The CBI and the IFRA thus serve as the bridge between the principals and the agents.  </w:t>
      </w:r>
    </w:p>
    <w:p w14:paraId="06A38FBF"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CBI of nations operating both the US and the UK style of corporate governance have the Central Bank as a major monitor and regulator of financial activities. This goes in line with the theoretical reviews. This agency theory explains a third party (external auditor, regulatory body) that monitors management, the accuracy of documents they present, and their actions in ensuring that business practice is accountable and transparent for the benefits of principals and stakeholders. </w:t>
      </w:r>
      <w:proofErr w:type="spellStart"/>
      <w:r>
        <w:rPr>
          <w:rFonts w:ascii="Times New Roman" w:hAnsi="Times New Roman"/>
          <w:sz w:val="24"/>
          <w:szCs w:val="24"/>
          <w:lang w:val="en-US"/>
        </w:rPr>
        <w:t>Smii</w:t>
      </w:r>
      <w:proofErr w:type="spellEnd"/>
      <w:r>
        <w:rPr>
          <w:rFonts w:ascii="Times New Roman" w:hAnsi="Times New Roman"/>
          <w:sz w:val="24"/>
          <w:szCs w:val="24"/>
          <w:lang w:val="en-US"/>
        </w:rPr>
        <w:t xml:space="preserve"> (2016), explains that the agency theory explains the powers of a third party to </w:t>
      </w:r>
      <w:proofErr w:type="spellStart"/>
      <w:r>
        <w:rPr>
          <w:rFonts w:ascii="Times New Roman" w:hAnsi="Times New Roman"/>
          <w:sz w:val="24"/>
          <w:szCs w:val="24"/>
          <w:lang w:val="en-US"/>
        </w:rPr>
        <w:t>minimise</w:t>
      </w:r>
      <w:proofErr w:type="spellEnd"/>
      <w:r>
        <w:rPr>
          <w:rFonts w:ascii="Times New Roman" w:hAnsi="Times New Roman"/>
          <w:sz w:val="24"/>
          <w:szCs w:val="24"/>
          <w:lang w:val="en-US"/>
        </w:rPr>
        <w:t xml:space="preserve"> the rate of asymmetry in knowledge and further improve the business management process. Thus, the CBI, and the IFRA are two third parties that ensure that corporate governance codes are adhered to in Ireland. </w:t>
      </w:r>
    </w:p>
    <w:p w14:paraId="4BCE43EA" w14:textId="77777777" w:rsidR="00DC4459" w:rsidRDefault="00077D4E">
      <w:pPr>
        <w:pStyle w:val="Heading3"/>
      </w:pPr>
      <w:bookmarkStart w:id="78" w:name="_Toc73739036"/>
      <w:r>
        <w:rPr>
          <w:rFonts w:eastAsia="Arial Unicode MS" w:cs="Arial Unicode MS"/>
          <w:lang w:val="en-US"/>
        </w:rPr>
        <w:lastRenderedPageBreak/>
        <w:t>b. Size and Customers of the Financial Institution</w:t>
      </w:r>
      <w:bookmarkEnd w:id="78"/>
    </w:p>
    <w:p w14:paraId="43104452"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size and customers of the financial institution are other factors discovered by the research to influence adherence to CG codes. Most financial institutions linked the level of adherence to corporate governance codes to their customers; hence, they have many people to serve; thus, adherence to corporate codes enhances customer confidence. AN explains:</w:t>
      </w:r>
    </w:p>
    <w:p w14:paraId="6219CF3C" w14:textId="77777777" w:rsidR="00DC4459" w:rsidRDefault="00077D4E">
      <w:pPr>
        <w:pStyle w:val="Body"/>
        <w:spacing w:before="240" w:line="276"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AIB is the leading retail banking franchise in Ireland.</w:t>
      </w:r>
      <w:r>
        <w:rPr>
          <w:rFonts w:ascii="Times New Roman" w:hAnsi="Times New Roman"/>
          <w:sz w:val="24"/>
          <w:szCs w:val="24"/>
          <w:lang w:val="en-US"/>
        </w:rPr>
        <w:t> </w:t>
      </w:r>
      <w:r>
        <w:rPr>
          <w:rFonts w:ascii="Times New Roman" w:hAnsi="Times New Roman"/>
          <w:i/>
          <w:iCs/>
          <w:sz w:val="24"/>
          <w:szCs w:val="24"/>
          <w:lang w:val="en-US"/>
        </w:rPr>
        <w:t>The bank has 2.8 million customers and over 9,000 employees, with such huge customer base it becomes necessary to adhere to corporate governance codes as not doing so may severely affect business operations, profits, and closure of the bank"-</w:t>
      </w:r>
      <w:r>
        <w:rPr>
          <w:rFonts w:ascii="Times New Roman" w:hAnsi="Times New Roman"/>
          <w:b/>
          <w:bCs/>
          <w:sz w:val="24"/>
          <w:szCs w:val="24"/>
        </w:rPr>
        <w:t>AN</w:t>
      </w:r>
    </w:p>
    <w:p w14:paraId="13301BA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above puts the customer in view, as the size of the financial institution increases the number of customers it had. Lack of compliance with corporate governance codes may create a lack of trust resulting in a backlash for the bank. Lack of adhering to corporate governance codes could lead to a lack of investor confidence, further putting the bank in a precarious position where the CBI can shut it down.</w:t>
      </w:r>
    </w:p>
    <w:p w14:paraId="37A1638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In explaining the gravity of adhering to corporate governance codes for increasing the confidence of customers, TW explains </w:t>
      </w:r>
    </w:p>
    <w:p w14:paraId="45742309" w14:textId="77777777" w:rsidR="00DC4459" w:rsidRDefault="00077D4E">
      <w:pPr>
        <w:pStyle w:val="Body"/>
        <w:spacing w:before="240" w:line="276" w:lineRule="auto"/>
        <w:jc w:val="both"/>
        <w:rPr>
          <w:rFonts w:ascii="Times New Roman" w:eastAsia="Times New Roman" w:hAnsi="Times New Roman" w:cs="Times New Roman"/>
          <w:b/>
          <w:bCs/>
          <w:sz w:val="24"/>
          <w:szCs w:val="24"/>
        </w:rPr>
      </w:pPr>
      <w:r>
        <w:rPr>
          <w:rFonts w:ascii="Times New Roman" w:hAnsi="Times New Roman"/>
          <w:i/>
          <w:iCs/>
          <w:sz w:val="24"/>
          <w:szCs w:val="24"/>
          <w:lang w:val="en-US"/>
        </w:rPr>
        <w:t>"The bank of Ireland is the second-biggest bank in Ireland, with over 10, 000 employees, 300 branches and nearly 2 million customers. Research shows one in three people have current accounts with our bank, so yes the size of the bank thoroughly influences its adherence to corporate governance codes, lack of adherence can cost a reputational risk, which may be quite damaging on the company</w:t>
      </w:r>
      <w:r>
        <w:rPr>
          <w:rFonts w:ascii="Times New Roman" w:hAnsi="Times New Roman"/>
          <w:b/>
          <w:bCs/>
          <w:sz w:val="24"/>
          <w:szCs w:val="24"/>
          <w:lang w:val="da-DK"/>
        </w:rPr>
        <w:t>."- TW</w:t>
      </w:r>
    </w:p>
    <w:p w14:paraId="1370E6D1"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Customer confidence, reputational risk, damaged reputation, bad publicity are negative consequences that can ensure the lack of adherence to corporate CG codes. Since the financial sector is a profit-driven sector with a high competition rate, players do not want to be cut in the bad image of non-adherence as it was damaging and could lead to loss of customers (</w:t>
      </w:r>
      <w:proofErr w:type="spellStart"/>
      <w:r>
        <w:rPr>
          <w:rFonts w:ascii="Times New Roman" w:hAnsi="Times New Roman"/>
          <w:sz w:val="24"/>
          <w:szCs w:val="24"/>
          <w:lang w:val="en-US"/>
        </w:rPr>
        <w:t>Hermalin</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Weisbach</w:t>
      </w:r>
      <w:proofErr w:type="spellEnd"/>
      <w:r>
        <w:rPr>
          <w:rFonts w:ascii="Times New Roman" w:hAnsi="Times New Roman"/>
          <w:sz w:val="24"/>
          <w:szCs w:val="24"/>
          <w:lang w:val="en-US"/>
        </w:rPr>
        <w:t>, 2014). This finding is also new as it is not contained in the literature review. </w:t>
      </w:r>
    </w:p>
    <w:p w14:paraId="6D538B8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need to adhere to corporate governance codes for customer confidence is linked directly to the essence and benefits of corporate governance. Ibrahim, et. al., (2017);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et. al., (2017), explain that adhering to corporate governance painted companies in good light, thus giving the perception that companies were transparent, ethical and accountable. This boosts investors' confidence and enhances the greater level of investment.</w:t>
      </w:r>
      <w:r>
        <w:t xml:space="preserve"> </w:t>
      </w:r>
      <w:proofErr w:type="spellStart"/>
      <w:r>
        <w:rPr>
          <w:rFonts w:ascii="Times New Roman" w:hAnsi="Times New Roman"/>
          <w:sz w:val="24"/>
          <w:szCs w:val="24"/>
          <w:lang w:val="en-US"/>
        </w:rPr>
        <w:t>Achtenhagen</w:t>
      </w:r>
      <w:proofErr w:type="spellEnd"/>
      <w:r>
        <w:rPr>
          <w:rFonts w:ascii="Times New Roman" w:hAnsi="Times New Roman"/>
          <w:sz w:val="24"/>
          <w:szCs w:val="24"/>
          <w:lang w:val="en-US"/>
        </w:rPr>
        <w:t xml:space="preserve">, et. al, (2018); </w:t>
      </w:r>
      <w:proofErr w:type="spellStart"/>
      <w:r>
        <w:rPr>
          <w:rFonts w:ascii="Times New Roman" w:hAnsi="Times New Roman"/>
          <w:sz w:val="24"/>
          <w:szCs w:val="24"/>
          <w:lang w:val="en-US"/>
        </w:rPr>
        <w:t>Stoeberl</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Sherony</w:t>
      </w:r>
      <w:proofErr w:type="spellEnd"/>
      <w:r>
        <w:rPr>
          <w:rFonts w:ascii="Times New Roman" w:hAnsi="Times New Roman"/>
          <w:sz w:val="24"/>
          <w:szCs w:val="24"/>
          <w:lang w:val="en-US"/>
        </w:rPr>
        <w:t xml:space="preserve"> (2017), further note that with principles such as opened public </w:t>
      </w:r>
      <w:r>
        <w:rPr>
          <w:rFonts w:ascii="Times New Roman" w:hAnsi="Times New Roman"/>
          <w:sz w:val="24"/>
          <w:szCs w:val="24"/>
          <w:lang w:val="en-US"/>
        </w:rPr>
        <w:lastRenderedPageBreak/>
        <w:t xml:space="preserve">information disclosure, there is high transparency and accountability amongst financial institutions, thus supporting corporations' sustainability society. The adherence to corporate governance also instils the perception of good management, efficiency in operations which are vital in increasing capital, mitigate against the risk of financial fraud, and safeguarding the rights of stakeholders. In essence, adhering to corporate governance codes increases companies' accountability and transparency to investors, thus </w:t>
      </w:r>
      <w:proofErr w:type="spellStart"/>
      <w:r>
        <w:rPr>
          <w:rFonts w:ascii="Times New Roman" w:hAnsi="Times New Roman"/>
          <w:sz w:val="24"/>
          <w:szCs w:val="24"/>
          <w:lang w:val="en-US"/>
        </w:rPr>
        <w:t>minimising</w:t>
      </w:r>
      <w:proofErr w:type="spellEnd"/>
      <w:r>
        <w:rPr>
          <w:rFonts w:ascii="Times New Roman" w:hAnsi="Times New Roman"/>
          <w:sz w:val="24"/>
          <w:szCs w:val="24"/>
          <w:lang w:val="en-US"/>
        </w:rPr>
        <w:t xml:space="preserve"> the unfairness and expropriation in dealing with shareholders. </w:t>
      </w:r>
    </w:p>
    <w:p w14:paraId="391CD5A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In explaining the relevance of adhering to corporate governance codes; EP expresses that; </w:t>
      </w:r>
    </w:p>
    <w:p w14:paraId="223DE54D" w14:textId="77777777" w:rsidR="00DC4459" w:rsidRDefault="00077D4E">
      <w:pPr>
        <w:pStyle w:val="Body"/>
        <w:spacing w:before="240" w:line="276" w:lineRule="auto"/>
        <w:jc w:val="both"/>
        <w:rPr>
          <w:rFonts w:ascii="Times New Roman" w:eastAsia="Times New Roman" w:hAnsi="Times New Roman" w:cs="Times New Roman"/>
          <w:sz w:val="24"/>
          <w:szCs w:val="24"/>
        </w:rPr>
      </w:pPr>
      <w:r>
        <w:rPr>
          <w:rFonts w:ascii="Times New Roman" w:hAnsi="Times New Roman"/>
          <w:i/>
          <w:iCs/>
          <w:sz w:val="24"/>
          <w:szCs w:val="24"/>
          <w:lang w:val="en-US"/>
        </w:rPr>
        <w:t>"While adhering to corporate governance codes in general aids the overall sanctity of the financial sector, therefore boosting economic growth and creating more employment opportunities. Specifical, corporate governance makes this bank more accountable and transparent to investors, it provides several tools for responding to the legitimate concerns of stakeholders concerning business operations and social development</w:t>
      </w:r>
      <w:r>
        <w:rPr>
          <w:rFonts w:ascii="Times New Roman" w:hAnsi="Times New Roman"/>
          <w:b/>
          <w:bCs/>
          <w:sz w:val="24"/>
          <w:szCs w:val="24"/>
        </w:rPr>
        <w:t>"- EP</w:t>
      </w:r>
    </w:p>
    <w:p w14:paraId="3B928F31"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the lack of corporate governance may lead to unethical practices that can tarnish businesses imagine. Therefore, leading to corporate profit loss and financial disasters in the financial sector. </w:t>
      </w:r>
    </w:p>
    <w:p w14:paraId="008C2AF0"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Specific principles which needed to be adhered to in the financial sector in Ireland that boost investors' confidence in a particular company was shareholder recognition. This policy ensures that all shareholders have an equal say in the internal operations of the company. With adequate shareholder recognition, the value of the company's stock is appropriately secured. Furthermore, the Irish CG codes make clear onboard members' rules and responsibilities, thus ensuring that everyone shares a similar strategic vision for the company's future. Furthermore, specific principles such as the interest for constant communication between managers, board members, and shareholder, limits communication asymmetry, thereby ensuring the smooth, knowledgeable and information-driven relationship between principals and agents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w:t>
      </w:r>
      <w:proofErr w:type="spellStart"/>
      <w:r>
        <w:rPr>
          <w:rFonts w:ascii="Times New Roman" w:hAnsi="Times New Roman"/>
          <w:sz w:val="24"/>
          <w:szCs w:val="24"/>
          <w:lang w:val="en-US"/>
        </w:rPr>
        <w:t>Stoeberl</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Sherony</w:t>
      </w:r>
      <w:proofErr w:type="spellEnd"/>
      <w:r>
        <w:rPr>
          <w:rFonts w:ascii="Times New Roman" w:hAnsi="Times New Roman"/>
          <w:sz w:val="24"/>
          <w:szCs w:val="24"/>
          <w:lang w:val="en-US"/>
        </w:rPr>
        <w:t xml:space="preserve">, 2017). Adherence to ethical guidelines of corporate governance is also crucial to the company's fortune. It enabled banks to secure higher profit and stay of legal complexities and problems that could shut down the company. </w:t>
      </w:r>
    </w:p>
    <w:p w14:paraId="1C57EE64"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74612474" w14:textId="77777777" w:rsidR="00DC4459" w:rsidRDefault="00077D4E">
      <w:pPr>
        <w:pStyle w:val="Heading3"/>
      </w:pPr>
      <w:bookmarkStart w:id="79" w:name="_Toc73739037"/>
      <w:r>
        <w:rPr>
          <w:rFonts w:eastAsia="Arial Unicode MS" w:cs="Arial Unicode MS"/>
          <w:lang w:val="en-US"/>
        </w:rPr>
        <w:lastRenderedPageBreak/>
        <w:t>c. Finding Three: Role of Non-Executive Directors</w:t>
      </w:r>
      <w:bookmarkEnd w:id="79"/>
      <w:r>
        <w:rPr>
          <w:rFonts w:eastAsia="Arial Unicode MS" w:cs="Arial Unicode MS"/>
          <w:lang w:val="en-US"/>
        </w:rPr>
        <w:t xml:space="preserve"> </w:t>
      </w:r>
    </w:p>
    <w:p w14:paraId="4DC06F56"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Non-Executive Directors (</w:t>
      </w:r>
      <w:bookmarkStart w:id="80" w:name="_Hlk73383794"/>
      <w:r>
        <w:rPr>
          <w:rFonts w:ascii="Times New Roman" w:hAnsi="Times New Roman"/>
          <w:sz w:val="24"/>
          <w:szCs w:val="24"/>
          <w:lang w:val="de-DE"/>
        </w:rPr>
        <w:t>Non-EDs</w:t>
      </w:r>
      <w:bookmarkEnd w:id="80"/>
      <w:r>
        <w:rPr>
          <w:rFonts w:ascii="Times New Roman" w:hAnsi="Times New Roman"/>
          <w:sz w:val="24"/>
          <w:szCs w:val="24"/>
          <w:lang w:val="en-US"/>
        </w:rPr>
        <w:t>) play an extensive and elaborate role in ensuring that banks adhere to all corporate governance codes or explain their non-adherence to codes. Non-EDs perform elaborate functions within the Irish corporate governance. However, there are specific roles the Non-Eds play in promoting and influencing the adherence to CG codes; these are explained in detail by AN</w:t>
      </w:r>
    </w:p>
    <w:p w14:paraId="6A7C1BC5" w14:textId="77777777" w:rsidR="00DC4459" w:rsidRDefault="00077D4E">
      <w:pPr>
        <w:pStyle w:val="Body"/>
        <w:tabs>
          <w:tab w:val="left" w:pos="2370"/>
        </w:tabs>
        <w:spacing w:line="276" w:lineRule="auto"/>
        <w:jc w:val="both"/>
        <w:rPr>
          <w:rFonts w:ascii="Times New Roman" w:eastAsia="Times New Roman" w:hAnsi="Times New Roman" w:cs="Times New Roman"/>
          <w:sz w:val="24"/>
          <w:szCs w:val="24"/>
        </w:rPr>
      </w:pPr>
      <w:r>
        <w:rPr>
          <w:rFonts w:ascii="Times New Roman" w:hAnsi="Times New Roman"/>
          <w:i/>
          <w:iCs/>
          <w:sz w:val="24"/>
          <w:szCs w:val="24"/>
        </w:rPr>
        <w:t xml:space="preserve"> </w:t>
      </w:r>
      <w:r>
        <w:rPr>
          <w:rFonts w:ascii="Times New Roman" w:hAnsi="Times New Roman"/>
          <w:i/>
          <w:iCs/>
          <w:sz w:val="24"/>
          <w:szCs w:val="24"/>
          <w:lang w:val="en-US"/>
        </w:rPr>
        <w:t xml:space="preserve">“The board conducts an annual evaluation of its effectiveness and must have an external evaluation conducted once every three years. Full details on the board's effectiveness are detailed on page 186 of the Annual Financial Report. Overall, the final report was positive and demonstrated the strength of the Board and its Committees. The Non-Executive Directors are an integral component of the board and represent a key layer of oversight of the activities of the Group. In their role, Independent Non-Executive Directors </w:t>
      </w:r>
      <w:proofErr w:type="spellStart"/>
      <w:r>
        <w:rPr>
          <w:rFonts w:ascii="Times New Roman" w:hAnsi="Times New Roman"/>
          <w:i/>
          <w:iCs/>
          <w:sz w:val="24"/>
          <w:szCs w:val="24"/>
          <w:lang w:val="en-US"/>
        </w:rPr>
        <w:t>scrutinise</w:t>
      </w:r>
      <w:proofErr w:type="spellEnd"/>
      <w:r>
        <w:rPr>
          <w:rFonts w:ascii="Times New Roman" w:hAnsi="Times New Roman"/>
          <w:i/>
          <w:iCs/>
          <w:sz w:val="24"/>
          <w:szCs w:val="24"/>
          <w:lang w:val="en-US"/>
        </w:rPr>
        <w:t xml:space="preserve"> the performance of management in their objectives and monitor their reporting on performance. They bring an independent viewpoint to the deliberations of the board that is objective and independent of the activities of the management and of the Group. They constructively challenge and help develop proposals on strategy and other key matters, including corporate governance”</w:t>
      </w:r>
      <w:r>
        <w:rPr>
          <w:rFonts w:ascii="Times New Roman" w:hAnsi="Times New Roman"/>
          <w:i/>
          <w:iCs/>
          <w:sz w:val="24"/>
          <w:szCs w:val="24"/>
        </w:rPr>
        <w:t xml:space="preserve"> </w:t>
      </w:r>
      <w:r>
        <w:rPr>
          <w:rFonts w:ascii="Times New Roman" w:hAnsi="Times New Roman"/>
          <w:b/>
          <w:bCs/>
          <w:i/>
          <w:iCs/>
          <w:sz w:val="24"/>
          <w:szCs w:val="24"/>
        </w:rPr>
        <w:t>-</w:t>
      </w:r>
      <w:r>
        <w:rPr>
          <w:rFonts w:ascii="Times New Roman" w:hAnsi="Times New Roman"/>
          <w:b/>
          <w:bCs/>
          <w:sz w:val="24"/>
          <w:szCs w:val="24"/>
        </w:rPr>
        <w:t>AN</w:t>
      </w:r>
    </w:p>
    <w:p w14:paraId="36423320"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response, the Non-EDs play is oversight function, scrutinizing the performance and operations of management. Bringing a different viewpoint on the board's deliberations is objective and independent, hence enhancing better objective reasoning. Furthermore, they constructively challenge, develop strategy, and ensure that all corporate governance codes are adhered to. </w:t>
      </w:r>
    </w:p>
    <w:p w14:paraId="24B0354F"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above is similar to the opinions of TW</w:t>
      </w:r>
    </w:p>
    <w:p w14:paraId="16F9D3A5" w14:textId="77777777" w:rsidR="00DC4459" w:rsidRDefault="00077D4E">
      <w:pPr>
        <w:pStyle w:val="Body"/>
        <w:tabs>
          <w:tab w:val="left" w:pos="2370"/>
        </w:tabs>
        <w:spacing w:line="276" w:lineRule="auto"/>
        <w:jc w:val="both"/>
        <w:rPr>
          <w:rFonts w:ascii="Times New Roman" w:eastAsia="Times New Roman" w:hAnsi="Times New Roman" w:cs="Times New Roman"/>
          <w:sz w:val="24"/>
          <w:szCs w:val="24"/>
        </w:rPr>
      </w:pPr>
      <w:r>
        <w:rPr>
          <w:rFonts w:ascii="Times New Roman" w:hAnsi="Times New Roman"/>
          <w:sz w:val="24"/>
          <w:szCs w:val="24"/>
          <w:lang w:val="ru-RU"/>
        </w:rPr>
        <w:t>"</w:t>
      </w:r>
      <w:r>
        <w:rPr>
          <w:rFonts w:ascii="Times New Roman" w:hAnsi="Times New Roman"/>
          <w:i/>
          <w:iCs/>
          <w:sz w:val="24"/>
          <w:szCs w:val="24"/>
          <w:lang w:val="en-US"/>
        </w:rPr>
        <w:t xml:space="preserve">The corporate governance combined codes necessitate the presence of Non-EDs hence they are part of the </w:t>
      </w:r>
      <w:proofErr w:type="spellStart"/>
      <w:r>
        <w:rPr>
          <w:rFonts w:ascii="Times New Roman" w:hAnsi="Times New Roman"/>
          <w:i/>
          <w:iCs/>
          <w:sz w:val="24"/>
          <w:szCs w:val="24"/>
          <w:lang w:val="en-US"/>
        </w:rPr>
        <w:t>organisation</w:t>
      </w:r>
      <w:proofErr w:type="spellEnd"/>
      <w:r>
        <w:rPr>
          <w:rFonts w:ascii="Times New Roman" w:hAnsi="Times New Roman"/>
          <w:i/>
          <w:iCs/>
          <w:sz w:val="24"/>
          <w:szCs w:val="24"/>
          <w:lang w:val="en-US"/>
        </w:rPr>
        <w:t xml:space="preserve"> and perform their duties accurately. In ensuring corporate governance, Non-EDs have a significant role to play; by their oversight functions, they ensure that the board members are on their toes, which is quite relevant for upholding all company practices. Also, through their voting power, the Non-EDs can vote against existing management; this can prompt the removal of the board of directors and even the executive manager. The Non-EDs play a significant role in ensuring that the bank adheres to corporate governance codes</w:t>
      </w:r>
      <w:r>
        <w:rPr>
          <w:rFonts w:ascii="Times New Roman" w:hAnsi="Times New Roman"/>
          <w:b/>
          <w:bCs/>
          <w:sz w:val="24"/>
          <w:szCs w:val="24"/>
          <w:lang w:val="da-DK"/>
        </w:rPr>
        <w:t>"- TW</w:t>
      </w:r>
    </w:p>
    <w:p w14:paraId="09392069"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Non-EDs, as discovered from the literature review, play a vital role in ensuring that corporate governance codes are adhered to. The interviews confirm this amongst banks in Ireland. Non-EDs are significant to ensuring that the overall corporate governance codes are being implemented or otherwise thoroughly explained. The Non-EDs play a supervisory role over the executive board members; thus, they </w:t>
      </w:r>
      <w:proofErr w:type="spellStart"/>
      <w:r>
        <w:rPr>
          <w:rFonts w:ascii="Times New Roman" w:hAnsi="Times New Roman"/>
          <w:sz w:val="24"/>
          <w:szCs w:val="24"/>
          <w:lang w:val="en-US"/>
        </w:rPr>
        <w:t>scrutinise</w:t>
      </w:r>
      <w:proofErr w:type="spellEnd"/>
      <w:r>
        <w:rPr>
          <w:rFonts w:ascii="Times New Roman" w:hAnsi="Times New Roman"/>
          <w:sz w:val="24"/>
          <w:szCs w:val="24"/>
          <w:lang w:val="en-US"/>
        </w:rPr>
        <w:t xml:space="preserve"> their performance and functions and raise the alarm if incidences of fraud are discovered (Lam and Lee 2018; Amoako and Goh </w:t>
      </w:r>
      <w:r>
        <w:rPr>
          <w:rFonts w:ascii="Times New Roman" w:hAnsi="Times New Roman"/>
          <w:sz w:val="24"/>
          <w:szCs w:val="24"/>
          <w:lang w:val="en-US"/>
        </w:rPr>
        <w:lastRenderedPageBreak/>
        <w:t>(2015). Likewise, with corporate governance codes, the Non-EDs in Irish banks ensure proper scrutiny and mandate the executives to disclose accounts and adhere to all associated corporate governance requirements. The ability of the Non-EDs to effectively do this is hinged on their independence. Thus, in probing further on what enabled Non-EDs to perform their roles adequately. EP explains;</w:t>
      </w:r>
    </w:p>
    <w:p w14:paraId="6F9D09D9" w14:textId="77777777" w:rsidR="00DC4459" w:rsidRDefault="00077D4E">
      <w:pPr>
        <w:pStyle w:val="Body"/>
        <w:tabs>
          <w:tab w:val="left" w:pos="2370"/>
        </w:tabs>
        <w:spacing w:line="276" w:lineRule="auto"/>
        <w:jc w:val="both"/>
        <w:rPr>
          <w:rFonts w:ascii="Times New Roman" w:eastAsia="Times New Roman" w:hAnsi="Times New Roman" w:cs="Times New Roman"/>
          <w:b/>
          <w:bCs/>
          <w:sz w:val="24"/>
          <w:szCs w:val="24"/>
        </w:rPr>
      </w:pPr>
      <w:r>
        <w:rPr>
          <w:rFonts w:ascii="Times New Roman" w:hAnsi="Times New Roman"/>
          <w:i/>
          <w:iCs/>
          <w:sz w:val="24"/>
          <w:szCs w:val="24"/>
          <w:lang w:val="en-US"/>
        </w:rPr>
        <w:t xml:space="preserve">"Well for one, the non-EDs are independent, i.e., they are free from all legal, or company constraints, thus they can perform their roles adequately, they are also </w:t>
      </w:r>
      <w:proofErr w:type="spellStart"/>
      <w:r>
        <w:rPr>
          <w:rFonts w:ascii="Times New Roman" w:hAnsi="Times New Roman"/>
          <w:i/>
          <w:iCs/>
          <w:sz w:val="24"/>
          <w:szCs w:val="24"/>
          <w:lang w:val="en-US"/>
        </w:rPr>
        <w:t>sceptical</w:t>
      </w:r>
      <w:proofErr w:type="spellEnd"/>
      <w:r>
        <w:rPr>
          <w:rFonts w:ascii="Times New Roman" w:hAnsi="Times New Roman"/>
          <w:i/>
          <w:iCs/>
          <w:sz w:val="24"/>
          <w:szCs w:val="24"/>
          <w:lang w:val="en-US"/>
        </w:rPr>
        <w:t>, i.e., question in greater details the activities of the executive; thus they can discover grey areas that have not to be covered or adhered to, they are also able to notify the other board members of several weaknesses or gaps in terms of corporate governance. In total, the Non-EDs play fundamental roles which enhance the practice of corporate governance within this bank</w:t>
      </w:r>
      <w:r>
        <w:rPr>
          <w:rFonts w:ascii="Times New Roman" w:hAnsi="Times New Roman"/>
          <w:b/>
          <w:bCs/>
          <w:sz w:val="24"/>
          <w:szCs w:val="24"/>
        </w:rPr>
        <w:t>"-EP</w:t>
      </w:r>
    </w:p>
    <w:p w14:paraId="768FC263"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response above, independence and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are important elements that ensure that Non-EDs perform their functions with unfettered hindrance. Independence entails the total freedom of the Non-EDs from influences or pressures by the executives; this is to ensure they performed their duties appropriately. </w:t>
      </w:r>
      <w:bookmarkStart w:id="81" w:name="_Hlk72820546"/>
      <w:r>
        <w:rPr>
          <w:rFonts w:ascii="Times New Roman" w:hAnsi="Times New Roman"/>
          <w:sz w:val="24"/>
          <w:szCs w:val="24"/>
          <w:lang w:val="en-US"/>
        </w:rPr>
        <w:t>Lam and Lee (2018</w:t>
      </w:r>
      <w:bookmarkEnd w:id="81"/>
      <w:r>
        <w:rPr>
          <w:rFonts w:ascii="Times New Roman" w:hAnsi="Times New Roman"/>
          <w:sz w:val="24"/>
          <w:szCs w:val="24"/>
          <w:lang w:val="it-IT"/>
        </w:rPr>
        <w:t>);</w:t>
      </w:r>
      <w:r>
        <w:t xml:space="preserve"> </w:t>
      </w:r>
      <w:r>
        <w:rPr>
          <w:rFonts w:ascii="Times New Roman" w:hAnsi="Times New Roman"/>
          <w:sz w:val="24"/>
          <w:szCs w:val="24"/>
          <w:lang w:val="en-US"/>
        </w:rPr>
        <w:t xml:space="preserve">Amoako and Goh (2015), explain that within corporate </w:t>
      </w:r>
      <w:proofErr w:type="spellStart"/>
      <w:r>
        <w:rPr>
          <w:rFonts w:ascii="Times New Roman" w:hAnsi="Times New Roman"/>
          <w:sz w:val="24"/>
          <w:szCs w:val="24"/>
          <w:lang w:val="en-US"/>
        </w:rPr>
        <w:t>organisations</w:t>
      </w:r>
      <w:proofErr w:type="spellEnd"/>
      <w:r>
        <w:rPr>
          <w:rFonts w:ascii="Times New Roman" w:hAnsi="Times New Roman"/>
          <w:sz w:val="24"/>
          <w:szCs w:val="24"/>
          <w:lang w:val="en-US"/>
        </w:rPr>
        <w:t xml:space="preserve"> two forms of independence exist total and zero; zero signifies lack of independence of the Non-</w:t>
      </w:r>
      <w:proofErr w:type="spellStart"/>
      <w:r>
        <w:rPr>
          <w:rFonts w:ascii="Times New Roman" w:hAnsi="Times New Roman"/>
          <w:sz w:val="24"/>
          <w:szCs w:val="24"/>
          <w:lang w:val="en-US"/>
        </w:rPr>
        <w:t>EDs.</w:t>
      </w:r>
      <w:proofErr w:type="spellEnd"/>
      <w:r>
        <w:rPr>
          <w:rFonts w:ascii="Times New Roman" w:hAnsi="Times New Roman"/>
          <w:sz w:val="24"/>
          <w:szCs w:val="24"/>
          <w:lang w:val="en-US"/>
        </w:rPr>
        <w:t xml:space="preserve"> Hence, they are subject to the whims and caprices of the executive. Companies with zero independent Non-EDs always displayed low scrutiny to activities of executives. This leads to high rates of unaccountability, lack of transparency, misappropriation, which develops into the agency problem, where shareholders' interest is not adequately protected (</w:t>
      </w:r>
      <w:bookmarkStart w:id="82" w:name="_Hlk72820597"/>
      <w:r>
        <w:rPr>
          <w:rFonts w:ascii="Times New Roman" w:hAnsi="Times New Roman"/>
          <w:sz w:val="24"/>
          <w:szCs w:val="24"/>
        </w:rPr>
        <w:t>Al-</w:t>
      </w:r>
      <w:proofErr w:type="spellStart"/>
      <w:r>
        <w:rPr>
          <w:rFonts w:ascii="Times New Roman" w:hAnsi="Times New Roman"/>
          <w:sz w:val="24"/>
          <w:szCs w:val="24"/>
        </w:rPr>
        <w:t>Janadi</w:t>
      </w:r>
      <w:proofErr w:type="spellEnd"/>
      <w:r>
        <w:rPr>
          <w:rFonts w:ascii="Times New Roman" w:hAnsi="Times New Roman"/>
          <w:sz w:val="24"/>
          <w:szCs w:val="24"/>
        </w:rPr>
        <w:t xml:space="preserve"> et al., 2013</w:t>
      </w:r>
      <w:bookmarkEnd w:id="82"/>
      <w:r>
        <w:rPr>
          <w:rFonts w:ascii="Times New Roman" w:hAnsi="Times New Roman"/>
          <w:sz w:val="24"/>
          <w:szCs w:val="24"/>
          <w:lang w:val="en-US"/>
        </w:rPr>
        <w:t xml:space="preserve">). The second type of independence was the total independence that gave unfettered freedom to Non-EDs; this was essential in </w:t>
      </w:r>
      <w:proofErr w:type="spellStart"/>
      <w:r>
        <w:rPr>
          <w:rFonts w:ascii="Times New Roman" w:hAnsi="Times New Roman"/>
          <w:sz w:val="24"/>
          <w:szCs w:val="24"/>
          <w:lang w:val="en-US"/>
        </w:rPr>
        <w:t>scrutinising</w:t>
      </w:r>
      <w:proofErr w:type="spellEnd"/>
      <w:r>
        <w:rPr>
          <w:rFonts w:ascii="Times New Roman" w:hAnsi="Times New Roman"/>
          <w:sz w:val="24"/>
          <w:szCs w:val="24"/>
          <w:lang w:val="en-US"/>
        </w:rPr>
        <w:t xml:space="preserve"> the executives. Banks in Ireland have displayed total independence between the Non-EDs and executives; this is proven in the acute adherence to corporate governance codes, of which total adherence is responsible for its remarkable implementation (Lam and Lee 2018).</w:t>
      </w:r>
    </w:p>
    <w:p w14:paraId="04215A36"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Another essential feature that enabled the Non-EDs to perform their roles properly was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This is the act of being critical and having a "questioning mindset."—this enhanced Non-EDs ability to constantly probe decisions and actions of executives. Regarding corporate governance, the principle of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enabled Non-EDs to check reports, audits, and financial disclosures to ensure data accuracy as revealed by the executives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Though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is important, Non-EDs didn't have to exercise over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to the point where it seems they are </w:t>
      </w:r>
      <w:proofErr w:type="spellStart"/>
      <w:r>
        <w:rPr>
          <w:rFonts w:ascii="Times New Roman" w:hAnsi="Times New Roman"/>
          <w:sz w:val="24"/>
          <w:szCs w:val="24"/>
          <w:lang w:val="en-US"/>
        </w:rPr>
        <w:t>antagonising</w:t>
      </w:r>
      <w:proofErr w:type="spellEnd"/>
      <w:r>
        <w:rPr>
          <w:rFonts w:ascii="Times New Roman" w:hAnsi="Times New Roman"/>
          <w:sz w:val="24"/>
          <w:szCs w:val="24"/>
          <w:lang w:val="en-US"/>
        </w:rPr>
        <w:t xml:space="preserve"> the executives. These create unnecessary conflict amongst boards of directors (Al-</w:t>
      </w:r>
      <w:proofErr w:type="spellStart"/>
      <w:r>
        <w:rPr>
          <w:rFonts w:ascii="Times New Roman" w:hAnsi="Times New Roman"/>
          <w:sz w:val="24"/>
          <w:szCs w:val="24"/>
          <w:lang w:val="en-US"/>
        </w:rPr>
        <w:t>Janadi</w:t>
      </w:r>
      <w:proofErr w:type="spellEnd"/>
      <w:r>
        <w:rPr>
          <w:rFonts w:ascii="Times New Roman" w:hAnsi="Times New Roman"/>
          <w:sz w:val="24"/>
          <w:szCs w:val="24"/>
          <w:lang w:val="en-US"/>
        </w:rPr>
        <w:t xml:space="preserve"> et al., 2013).</w:t>
      </w:r>
    </w:p>
    <w:p w14:paraId="0E8E820B"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Therefore, Non-EDs are significant to monitoring and supervising the strategy of the Executive boards; since the latter has to ensure that corporate governance codes are being adhered to, the Non-EDs have a strict responsibility to weigh all corporate strategy attempts. This is important to banks as with the Non-EDs, better results are revealed, enhancing the implementation of corporate governance codes. Non-EDs</w:t>
      </w:r>
    </w:p>
    <w:p w14:paraId="0C1F8ADC"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Furthermore, the Non-EDs ensure that executives act within stipulated principles, especially in the public disclosures of accounts and adherence to the IMFRA regulations on financial accounts and transparency of practice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explain that though the Non-EDs are not </w:t>
      </w:r>
      <w:proofErr w:type="spellStart"/>
      <w:r>
        <w:rPr>
          <w:rFonts w:ascii="Times New Roman" w:hAnsi="Times New Roman"/>
          <w:sz w:val="24"/>
          <w:szCs w:val="24"/>
          <w:lang w:val="en-US"/>
        </w:rPr>
        <w:t>authorised</w:t>
      </w:r>
      <w:proofErr w:type="spellEnd"/>
      <w:r>
        <w:rPr>
          <w:rFonts w:ascii="Times New Roman" w:hAnsi="Times New Roman"/>
          <w:sz w:val="24"/>
          <w:szCs w:val="24"/>
          <w:lang w:val="en-US"/>
        </w:rPr>
        <w:t xml:space="preserve"> to make risks policies or directly involve themselves in guiding the company towards corporate governance codes, the disclosure of financial control systems and financial information systems, they are important to accepting or rejecting public accounts as presented by the executives. Therefore, they play a significant role in issues relating to the sufficiency of financial information disclosed to the public. With adequate characteristics of independence and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the Non-EDs ensure that financial disclosures are sufficient for the public, the adequacy of financial control, the bank's risk management system is robust and enough to </w:t>
      </w:r>
      <w:proofErr w:type="spellStart"/>
      <w:r>
        <w:rPr>
          <w:rFonts w:ascii="Times New Roman" w:hAnsi="Times New Roman"/>
          <w:sz w:val="24"/>
          <w:szCs w:val="24"/>
          <w:lang w:val="en-US"/>
        </w:rPr>
        <w:t>minimise</w:t>
      </w:r>
      <w:proofErr w:type="spellEnd"/>
      <w:r>
        <w:rPr>
          <w:rFonts w:ascii="Times New Roman" w:hAnsi="Times New Roman"/>
          <w:sz w:val="24"/>
          <w:szCs w:val="24"/>
          <w:lang w:val="en-US"/>
        </w:rPr>
        <w:t xml:space="preserve"> financial damages to the </w:t>
      </w:r>
      <w:proofErr w:type="spellStart"/>
      <w:r>
        <w:rPr>
          <w:rFonts w:ascii="Times New Roman" w:hAnsi="Times New Roman"/>
          <w:sz w:val="24"/>
          <w:szCs w:val="24"/>
          <w:lang w:val="en-US"/>
        </w:rPr>
        <w:t>organisation</w:t>
      </w:r>
      <w:proofErr w:type="spellEnd"/>
      <w:r>
        <w:rPr>
          <w:rFonts w:ascii="Times New Roman" w:hAnsi="Times New Roman"/>
          <w:sz w:val="24"/>
          <w:szCs w:val="24"/>
          <w:lang w:val="en-US"/>
        </w:rPr>
        <w:t xml:space="preserve"> and shareholders (</w:t>
      </w:r>
      <w:proofErr w:type="spellStart"/>
      <w:r>
        <w:rPr>
          <w:rFonts w:ascii="Times New Roman" w:hAnsi="Times New Roman"/>
          <w:sz w:val="24"/>
          <w:szCs w:val="24"/>
          <w:lang w:val="en-US"/>
        </w:rPr>
        <w:t>Chaganti</w:t>
      </w:r>
      <w:proofErr w:type="spellEnd"/>
      <w:r>
        <w:rPr>
          <w:rFonts w:ascii="Times New Roman" w:hAnsi="Times New Roman"/>
          <w:sz w:val="24"/>
          <w:szCs w:val="24"/>
          <w:lang w:val="en-US"/>
        </w:rPr>
        <w:t>, et. al., 2017).</w:t>
      </w:r>
    </w:p>
    <w:p w14:paraId="311EC981"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Another important function of the Non-EDs that is central to corporate governance, securing shareholders' interest and boosting investor confidence, is the auditing of financial accounts. The combined codes mandate Non-EDs to be part of the audit team; thus Non-EDs ensure the proper auditing of all accounts. This aids in giving shareholders a fair and true reflection of the bank's financial status, performance, and statements. </w:t>
      </w:r>
    </w:p>
    <w:p w14:paraId="05251A75" w14:textId="77777777" w:rsidR="00DC4459" w:rsidRDefault="00077D4E">
      <w:pPr>
        <w:pStyle w:val="Body"/>
        <w:tabs>
          <w:tab w:val="left" w:pos="2370"/>
        </w:tabs>
        <w:spacing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finding of the role of Non-EDs in adherence to corporate governance is in relation to the resource-based theory as discussed in the literature review. The theory explains how the interdependence between board members can enable a company to navigate through challenges within the internal and external environment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The non-adherence to corporate governance codes is a problem that can result in internal challenges and external challenges; internal challenges cause frictions from within the company, i.e., lack of transparency, unaccountability, less protection of interest of shareholders etc. (Deb and Dube, 2017). While, external challenges cause problems from the environment of the company, such as loss of investor confidence, reputational disasters, and closure of institutions by the corporate governance body. Interdependence between the Non-EDs and executive board </w:t>
      </w:r>
      <w:r>
        <w:rPr>
          <w:rFonts w:ascii="Times New Roman" w:hAnsi="Times New Roman"/>
          <w:sz w:val="24"/>
          <w:szCs w:val="24"/>
          <w:lang w:val="en-US"/>
        </w:rPr>
        <w:lastRenderedPageBreak/>
        <w:t xml:space="preserve">members, especially in the discharge of the former's role of </w:t>
      </w:r>
      <w:proofErr w:type="spellStart"/>
      <w:r>
        <w:rPr>
          <w:rFonts w:ascii="Times New Roman" w:hAnsi="Times New Roman"/>
          <w:sz w:val="24"/>
          <w:szCs w:val="24"/>
          <w:lang w:val="en-US"/>
        </w:rPr>
        <w:t>scepticism</w:t>
      </w:r>
      <w:proofErr w:type="spellEnd"/>
      <w:r>
        <w:rPr>
          <w:rFonts w:ascii="Times New Roman" w:hAnsi="Times New Roman"/>
          <w:sz w:val="24"/>
          <w:szCs w:val="24"/>
          <w:lang w:val="en-US"/>
        </w:rPr>
        <w:t xml:space="preserve">, scrutiny, supervision, and monitoring operations of the latter, eliminates chances of both internal and external challenges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The resource-dependency theory notes that </w:t>
      </w:r>
      <w:proofErr w:type="spellStart"/>
      <w:r>
        <w:rPr>
          <w:rFonts w:ascii="Times New Roman" w:hAnsi="Times New Roman"/>
          <w:sz w:val="24"/>
          <w:szCs w:val="24"/>
          <w:lang w:val="en-US"/>
        </w:rPr>
        <w:t>organisations</w:t>
      </w:r>
      <w:proofErr w:type="spellEnd"/>
      <w:r>
        <w:rPr>
          <w:rFonts w:ascii="Times New Roman" w:hAnsi="Times New Roman"/>
          <w:sz w:val="24"/>
          <w:szCs w:val="24"/>
          <w:lang w:val="en-US"/>
        </w:rPr>
        <w:t xml:space="preserve"> with an interdependent board had chances of eliminating all financial and misappropriation disasters (</w:t>
      </w:r>
      <w:proofErr w:type="spellStart"/>
      <w:r>
        <w:rPr>
          <w:rFonts w:ascii="Times New Roman" w:hAnsi="Times New Roman"/>
          <w:sz w:val="24"/>
          <w:szCs w:val="24"/>
          <w:lang w:val="en-US"/>
        </w:rPr>
        <w:t>Bataineh</w:t>
      </w:r>
      <w:proofErr w:type="spellEnd"/>
      <w:r>
        <w:rPr>
          <w:rFonts w:ascii="Times New Roman" w:hAnsi="Times New Roman"/>
          <w:sz w:val="24"/>
          <w:szCs w:val="24"/>
          <w:lang w:val="en-US"/>
        </w:rPr>
        <w:t>, et al, 2021). By supporting the principle of interdependence between Non-EDs and board members, banks in Ireland can act within best practices and standards as stipulated by the Irish combined codes. Thus, preventing problems that could negatively affect the company.</w:t>
      </w:r>
    </w:p>
    <w:p w14:paraId="7B749DA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section of the research findings reveals the factors responsible for the adherence to corporate governance codes, while the literature review already discovered factors like the role of the Non-</w:t>
      </w:r>
      <w:proofErr w:type="spellStart"/>
      <w:r>
        <w:rPr>
          <w:rFonts w:ascii="Times New Roman" w:hAnsi="Times New Roman"/>
          <w:sz w:val="24"/>
          <w:szCs w:val="24"/>
          <w:lang w:val="en-US"/>
        </w:rPr>
        <w:t>EDs.</w:t>
      </w:r>
      <w:proofErr w:type="spellEnd"/>
      <w:r>
        <w:rPr>
          <w:rFonts w:ascii="Times New Roman" w:hAnsi="Times New Roman"/>
          <w:sz w:val="24"/>
          <w:szCs w:val="24"/>
          <w:lang w:val="en-US"/>
        </w:rPr>
        <w:t xml:space="preserve"> The role of the Central bank of Ireland and the size are new to this study. </w:t>
      </w:r>
    </w:p>
    <w:p w14:paraId="43D0A40C" w14:textId="77777777" w:rsidR="00DC4459" w:rsidRDefault="00077D4E">
      <w:pPr>
        <w:pStyle w:val="Heading2"/>
      </w:pPr>
      <w:bookmarkStart w:id="83" w:name="_Toc73739038"/>
      <w:r>
        <w:rPr>
          <w:rFonts w:eastAsia="Arial Unicode MS" w:cs="Arial Unicode MS"/>
          <w:lang w:val="en-US"/>
        </w:rPr>
        <w:t>4.2.3. Theme Three: Reasons for Non-Adherence to Corporate Governance Principles Amongst Banks in Ireland</w:t>
      </w:r>
      <w:bookmarkEnd w:id="83"/>
    </w:p>
    <w:p w14:paraId="363249C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interviews conducted, only AIB revealed to not adhere to corporate governance codes with a default in two principles, however, sufficient explanation was provided for this.  All other interviewees noted that their banks were adhering to corporate governance codes in its detail </w:t>
      </w:r>
    </w:p>
    <w:p w14:paraId="42456D4D" w14:textId="77777777" w:rsidR="00DC4459" w:rsidRDefault="00077D4E">
      <w:pPr>
        <w:pStyle w:val="Body"/>
        <w:spacing w:before="240" w:line="276" w:lineRule="auto"/>
        <w:jc w:val="both"/>
        <w:rPr>
          <w:rFonts w:ascii="Times New Roman" w:eastAsia="Times New Roman" w:hAnsi="Times New Roman" w:cs="Times New Roman"/>
          <w:sz w:val="24"/>
          <w:szCs w:val="24"/>
        </w:rPr>
      </w:pPr>
      <w:r>
        <w:rPr>
          <w:rFonts w:ascii="Times New Roman" w:hAnsi="Times New Roman"/>
          <w:sz w:val="24"/>
          <w:szCs w:val="24"/>
          <w:lang w:val="ru-RU"/>
        </w:rPr>
        <w:t>"</w:t>
      </w:r>
      <w:r>
        <w:rPr>
          <w:rFonts w:ascii="Times New Roman" w:hAnsi="Times New Roman"/>
          <w:i/>
          <w:iCs/>
          <w:sz w:val="24"/>
          <w:szCs w:val="24"/>
          <w:lang w:val="en-US"/>
        </w:rPr>
        <w:t>Well, we try as much as we can to adhere to all codes as stated by the combined codes and the CBI, since the codes were there to ensure that all reasonable practice is adhered to by banks, thus we try as much as possible to ensure that we adhered to them</w:t>
      </w:r>
      <w:r>
        <w:rPr>
          <w:rFonts w:ascii="Times New Roman" w:hAnsi="Times New Roman"/>
          <w:sz w:val="24"/>
          <w:szCs w:val="24"/>
          <w:lang w:val="da-DK"/>
        </w:rPr>
        <w:t xml:space="preserve">"- </w:t>
      </w:r>
      <w:r>
        <w:rPr>
          <w:rFonts w:ascii="Times New Roman" w:hAnsi="Times New Roman"/>
          <w:b/>
          <w:bCs/>
          <w:sz w:val="24"/>
          <w:szCs w:val="24"/>
          <w:lang w:val="de-DE"/>
        </w:rPr>
        <w:t>TW</w:t>
      </w:r>
    </w:p>
    <w:p w14:paraId="7C7EEF2C"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above response reveals that some banks considered the corporate governance codes to be in the best interest of banks, as codes ensured reasonable practice, ethical </w:t>
      </w:r>
      <w:proofErr w:type="spellStart"/>
      <w:r>
        <w:rPr>
          <w:rFonts w:ascii="Times New Roman" w:hAnsi="Times New Roman"/>
          <w:sz w:val="24"/>
          <w:szCs w:val="24"/>
          <w:lang w:val="en-US"/>
        </w:rPr>
        <w:t>behaviour</w:t>
      </w:r>
      <w:proofErr w:type="spellEnd"/>
      <w:r>
        <w:rPr>
          <w:rFonts w:ascii="Times New Roman" w:hAnsi="Times New Roman"/>
          <w:sz w:val="24"/>
          <w:szCs w:val="24"/>
          <w:lang w:val="en-US"/>
        </w:rPr>
        <w:t xml:space="preserve">, and the overconfidence and performance of the financial sector. </w:t>
      </w:r>
    </w:p>
    <w:p w14:paraId="2CAA60C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In probing because banks thoroughly adhered to corporate governance codes, PP explains that</w:t>
      </w:r>
    </w:p>
    <w:p w14:paraId="1F4F5417" w14:textId="77777777" w:rsidR="00DC4459" w:rsidRDefault="00077D4E">
      <w:pPr>
        <w:pStyle w:val="Body"/>
        <w:spacing w:before="240" w:line="276" w:lineRule="auto"/>
        <w:jc w:val="both"/>
        <w:rPr>
          <w:rFonts w:ascii="Times New Roman" w:eastAsia="Times New Roman" w:hAnsi="Times New Roman" w:cs="Times New Roman"/>
          <w:sz w:val="24"/>
          <w:szCs w:val="24"/>
        </w:rPr>
      </w:pPr>
      <w:r>
        <w:rPr>
          <w:rFonts w:ascii="Times New Roman" w:hAnsi="Times New Roman"/>
          <w:sz w:val="24"/>
          <w:szCs w:val="24"/>
          <w:lang w:val="ru-RU"/>
        </w:rPr>
        <w:t>"</w:t>
      </w:r>
      <w:r>
        <w:rPr>
          <w:rFonts w:ascii="Times New Roman" w:hAnsi="Times New Roman"/>
          <w:i/>
          <w:iCs/>
          <w:sz w:val="24"/>
          <w:szCs w:val="24"/>
          <w:lang w:val="en-US"/>
        </w:rPr>
        <w:t>the central bank is getting involved making sure that banks adhered to codes or could risks penalty. Non-EDs are becoming more concerned to ensure that banks are not susceptible to bad and unethical practices by the executives. Even executives themselves are becoming more involved avoid being penalized for non-conformance</w:t>
      </w:r>
      <w:r>
        <w:rPr>
          <w:rFonts w:ascii="Times New Roman" w:hAnsi="Times New Roman"/>
          <w:sz w:val="24"/>
          <w:szCs w:val="24"/>
          <w:lang w:val="da-DK"/>
        </w:rPr>
        <w:t>"-</w:t>
      </w:r>
      <w:r>
        <w:rPr>
          <w:rFonts w:ascii="Times New Roman" w:hAnsi="Times New Roman"/>
          <w:b/>
          <w:bCs/>
          <w:sz w:val="24"/>
          <w:szCs w:val="24"/>
          <w:lang w:val="es-ES_tradnl"/>
        </w:rPr>
        <w:t xml:space="preserve"> PP</w:t>
      </w:r>
    </w:p>
    <w:p w14:paraId="4159A6C2"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a salient discovery is deduced regarding the role of the CBI. It seems the role of the CBI in monitoring and supervising the adherence to corporate governance codes is becoming more assertive than it used to be. Recall, in the literature review, it is explained that </w:t>
      </w:r>
      <w:r>
        <w:rPr>
          <w:rFonts w:ascii="Times New Roman" w:hAnsi="Times New Roman"/>
          <w:sz w:val="24"/>
          <w:szCs w:val="24"/>
          <w:lang w:val="en-US"/>
        </w:rPr>
        <w:lastRenderedPageBreak/>
        <w:t xml:space="preserve">Ireland operates the "principle-based" or "comply-explain" approach to corporate governance. This approach is characterized by flexibility which allows banks to explain the reasons for non-compliance to codes. </w:t>
      </w:r>
      <w:proofErr w:type="spellStart"/>
      <w:r>
        <w:rPr>
          <w:rFonts w:ascii="Times New Roman" w:hAnsi="Times New Roman"/>
          <w:sz w:val="24"/>
          <w:szCs w:val="24"/>
          <w:lang w:val="en-US"/>
        </w:rPr>
        <w:t>Onakoya</w:t>
      </w:r>
      <w:proofErr w:type="spellEnd"/>
      <w:r>
        <w:rPr>
          <w:rFonts w:ascii="Times New Roman" w:hAnsi="Times New Roman"/>
          <w:sz w:val="24"/>
          <w:szCs w:val="24"/>
          <w:lang w:val="en-US"/>
        </w:rPr>
        <w:t xml:space="preserve"> et al (2014), note that countries operating the principle-based approach had fewer sanctions and penalties from regulatory authorities so long as they could effectively explain the reasons for their non-compliance. </w:t>
      </w:r>
    </w:p>
    <w:p w14:paraId="275F475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above opinions, however, reveals that there is a fear of sanctions from the CBI for lack of adherence to codes, this thus implies that contrary to what was revealed in the literature review regarding fewer sanctions in the "comply or explain" approach, non-adherence to corporate governance codes in Ireland resulted into sanctions from the CBI and other related regulatory agencies. This perhaps could be a reason why there is a high level of compliance, as the Irish corporate governance code system allowed for sanctioning of defaulting companies.  This feature is central to the "rules-based" approach in which the USA operates. Lack of compliance to corporate governance codes was sanctioned with severe fines, removal of the existing board of directors by the central bank, and the bank's total shutdown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2015; Lungu, et al., 2020). This is also the case in most countries that operated the "rules-based" approach to corporate governance, e.g., Russia, Nigeria, etc. Kim (2015), Ibrahim et. al., (2017), research reveals that adherence and compliance to corporate governance codes were higher in countries operating the "rules-based" approach than the "principle-based" approach due to reasons associated with the severe sanctions and rigidity.</w:t>
      </w:r>
    </w:p>
    <w:p w14:paraId="0D41309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However, this research has discovered differently that though Ireland operates the "principles-based approach," there was high compliance with corporate governance codes. Thus, Ireland adopted some features of the "rules-based" approach, which positively influences the adherence to corporate governance codes. </w:t>
      </w:r>
    </w:p>
    <w:p w14:paraId="18F21C7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AIB had not implemented the principles related to remuneration and work engagements. The bank had specified the codes it did not adhere to and provided the best explanations (See Appendix F). From the picture, the bank has provided good explanations for its non-adherence to the corporate governance, explanations were referenced to other provisions of the code, which provided room for non-compliance as well contingency plans. </w:t>
      </w:r>
    </w:p>
    <w:p w14:paraId="1B3A2A77"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above is contrary to what was discussed in the literature review regarding insufficient explanations by companies in countries operating the "comply or explain" approach.  Schwartz-Ziv (2017); Guest (2019), explains that in countries operating the "comply or explain" </w:t>
      </w:r>
      <w:r>
        <w:rPr>
          <w:rFonts w:ascii="Times New Roman" w:hAnsi="Times New Roman"/>
          <w:sz w:val="24"/>
          <w:szCs w:val="24"/>
          <w:lang w:val="en-US"/>
        </w:rPr>
        <w:lastRenderedPageBreak/>
        <w:t xml:space="preserve">approach, there was low adherence to corporate governance codes. Furthermore, there were insufficient explanations for the lack of adherence. Thus, companies did not have elaborate and well-grounded reasons for lack of adherence. This research has discovered contrary, as in Ireland, most banks adhered to corporate governance codes, and where banks had not adhered to corporate governance codes, adequate explanations were provided. </w:t>
      </w:r>
    </w:p>
    <w:p w14:paraId="217BE40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above is in line with what </w:t>
      </w:r>
      <w:proofErr w:type="spellStart"/>
      <w:r>
        <w:rPr>
          <w:rFonts w:ascii="Times New Roman" w:hAnsi="Times New Roman"/>
          <w:sz w:val="24"/>
          <w:szCs w:val="24"/>
          <w:lang w:val="en-US"/>
        </w:rPr>
        <w:t>Baixauli</w:t>
      </w:r>
      <w:proofErr w:type="spellEnd"/>
      <w:r>
        <w:rPr>
          <w:rFonts w:ascii="Times New Roman" w:hAnsi="Times New Roman"/>
          <w:sz w:val="24"/>
          <w:szCs w:val="24"/>
          <w:lang w:val="en-US"/>
        </w:rPr>
        <w:t xml:space="preserve">, et. al, (2015);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xml:space="preserve"> (2015); Garcia-</w:t>
      </w:r>
      <w:proofErr w:type="spellStart"/>
      <w:r>
        <w:rPr>
          <w:rFonts w:ascii="Times New Roman" w:hAnsi="Times New Roman"/>
          <w:sz w:val="24"/>
          <w:szCs w:val="24"/>
          <w:lang w:val="en-US"/>
        </w:rPr>
        <w:t>Meca</w:t>
      </w:r>
      <w:proofErr w:type="spellEnd"/>
      <w:r>
        <w:rPr>
          <w:rFonts w:ascii="Times New Roman" w:hAnsi="Times New Roman"/>
          <w:sz w:val="24"/>
          <w:szCs w:val="24"/>
          <w:lang w:val="en-US"/>
        </w:rPr>
        <w:t>, et. al., (2015), explain in the literature review concerning the "comply or perform" approach. In the view of the earlier mentioned scholars, corporate governance in countries adopting the "comply-explain approach" had given way for "comply-perform" in which shareholders where no longer concerned about adequate explanations for non-compliance to corporate governance codes, as long as the company was performing and financial records were high. In other words, shareholders were concerned with performance rather than compliance. This is not applicable to banks in Ireland. As TW in his response reveals:</w:t>
      </w:r>
    </w:p>
    <w:p w14:paraId="28E7E7B7" w14:textId="77777777" w:rsidR="00DC4459" w:rsidRDefault="00077D4E">
      <w:pPr>
        <w:pStyle w:val="Body"/>
        <w:spacing w:before="240" w:line="276"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Yeah, I have heard about the "comply or perform," but for me, I think it is absurd because, without compliance, there is no way the company will perform unless, of course, the executives were deceiving shareholders and pointing out that the company is prospering financially as in the case of Enron. Other than that, I do not see how a company will perform financially while it wasn't adhering to corporate governance codes, the codes themselves are to boost investor and confidence, hence resulting into performance</w:t>
      </w:r>
      <w:r>
        <w:rPr>
          <w:rFonts w:ascii="Times New Roman" w:hAnsi="Times New Roman"/>
          <w:sz w:val="24"/>
          <w:szCs w:val="24"/>
          <w:lang w:val="da-DK"/>
        </w:rPr>
        <w:t>"-</w:t>
      </w:r>
      <w:r>
        <w:rPr>
          <w:rFonts w:ascii="Times New Roman" w:hAnsi="Times New Roman"/>
          <w:b/>
          <w:bCs/>
          <w:sz w:val="24"/>
          <w:szCs w:val="24"/>
          <w:lang w:val="de-DE"/>
        </w:rPr>
        <w:t>TW</w:t>
      </w:r>
    </w:p>
    <w:p w14:paraId="63B1250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EP shares the same views with TW by noting</w:t>
      </w:r>
    </w:p>
    <w:p w14:paraId="1DE67DAC" w14:textId="77777777" w:rsidR="00DC4459" w:rsidRDefault="00077D4E">
      <w:pPr>
        <w:pStyle w:val="Body"/>
        <w:spacing w:before="240" w:line="276"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though I will agree that shareholders are interested in the performance of the bank, they still do not downplay the role and adherence to corporate governance codes, as the flip side of the "comply or perform" will be a lost in business values, shareholders will also not choose to invest in banks that mortgaged compliance for performance, and those who do are most likely to withdraw their money because they are aware that sooner or later, there is going to be a black lash</w:t>
      </w:r>
      <w:r>
        <w:rPr>
          <w:rFonts w:ascii="Times New Roman" w:hAnsi="Times New Roman"/>
          <w:sz w:val="24"/>
          <w:szCs w:val="24"/>
          <w:lang w:val="da-DK"/>
        </w:rPr>
        <w:t>"-</w:t>
      </w:r>
      <w:r>
        <w:rPr>
          <w:rFonts w:ascii="Times New Roman" w:hAnsi="Times New Roman"/>
          <w:b/>
          <w:bCs/>
          <w:sz w:val="24"/>
          <w:szCs w:val="24"/>
        </w:rPr>
        <w:t>EP</w:t>
      </w:r>
    </w:p>
    <w:p w14:paraId="2E6FFA30"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From the above, the "comply or perform" does not apply to Ireland.  Banks in Ireland are complying with codes of corporate. Shareholders are also not interested in performance over compliance. This is in relation to </w:t>
      </w:r>
      <w:proofErr w:type="spellStart"/>
      <w:r>
        <w:rPr>
          <w:rFonts w:ascii="Times New Roman" w:hAnsi="Times New Roman"/>
          <w:sz w:val="24"/>
          <w:szCs w:val="24"/>
          <w:lang w:val="en-US"/>
        </w:rPr>
        <w:t>Baixauli</w:t>
      </w:r>
      <w:proofErr w:type="spellEnd"/>
      <w:r>
        <w:rPr>
          <w:rFonts w:ascii="Times New Roman" w:hAnsi="Times New Roman"/>
          <w:sz w:val="24"/>
          <w:szCs w:val="24"/>
          <w:lang w:val="en-US"/>
        </w:rPr>
        <w:t xml:space="preserve"> et. al., (2015), argument, where they note that, though shareholders will appreciate the company's positive performance, performance should not be compromised over compliance. As the two go together, lack of performance will discourage shareholders and compel them to pull out their investment to more performing companies. Lack of compliance will scare shareholders of possible sanctions of the company, </w:t>
      </w:r>
      <w:r>
        <w:rPr>
          <w:rFonts w:ascii="Times New Roman" w:hAnsi="Times New Roman"/>
          <w:sz w:val="24"/>
          <w:szCs w:val="24"/>
          <w:lang w:val="en-US"/>
        </w:rPr>
        <w:lastRenderedPageBreak/>
        <w:t xml:space="preserve">which could affect their investment. Therefore, a balance between compliance and performance must be achieved. </w:t>
      </w:r>
    </w:p>
    <w:p w14:paraId="18DDE0F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section of the research has revealed no factors that influence the non-adherence to corporate governance codes amongst Irish Banks. Banks in Ireland comply with all codes, and where they could not comply, adequate explanations were provided. This finding is contrary to what is revealed in the literature review, by </w:t>
      </w:r>
      <w:bookmarkStart w:id="84" w:name="_Hlk72822193"/>
      <w:proofErr w:type="spellStart"/>
      <w:r>
        <w:rPr>
          <w:rFonts w:ascii="Times New Roman" w:hAnsi="Times New Roman"/>
          <w:sz w:val="24"/>
          <w:szCs w:val="24"/>
          <w:lang w:val="it-IT"/>
        </w:rPr>
        <w:t>Almaqtari</w:t>
      </w:r>
      <w:proofErr w:type="spellEnd"/>
      <w:r>
        <w:rPr>
          <w:rFonts w:ascii="Times New Roman" w:hAnsi="Times New Roman"/>
          <w:sz w:val="24"/>
          <w:szCs w:val="24"/>
          <w:lang w:val="it-IT"/>
        </w:rPr>
        <w:t>, Al-</w:t>
      </w:r>
      <w:proofErr w:type="spellStart"/>
      <w:r>
        <w:rPr>
          <w:rFonts w:ascii="Times New Roman" w:hAnsi="Times New Roman"/>
          <w:sz w:val="24"/>
          <w:szCs w:val="24"/>
          <w:lang w:val="it-IT"/>
        </w:rPr>
        <w:t>Hattami</w:t>
      </w:r>
      <w:proofErr w:type="spellEnd"/>
      <w:r>
        <w:rPr>
          <w:rFonts w:ascii="Times New Roman" w:hAnsi="Times New Roman"/>
          <w:sz w:val="24"/>
          <w:szCs w:val="24"/>
          <w:lang w:val="it-IT"/>
        </w:rPr>
        <w:t>, AL-</w:t>
      </w:r>
      <w:proofErr w:type="spellStart"/>
      <w:r>
        <w:rPr>
          <w:rFonts w:ascii="Times New Roman" w:hAnsi="Times New Roman"/>
          <w:sz w:val="24"/>
          <w:szCs w:val="24"/>
          <w:lang w:val="it-IT"/>
        </w:rPr>
        <w:t>Nuzaili</w:t>
      </w:r>
      <w:proofErr w:type="spellEnd"/>
      <w:r>
        <w:rPr>
          <w:rFonts w:ascii="Times New Roman" w:hAnsi="Times New Roman"/>
          <w:sz w:val="24"/>
          <w:szCs w:val="24"/>
          <w:lang w:val="it-IT"/>
        </w:rPr>
        <w:t xml:space="preserve"> et. al., (2020); </w:t>
      </w:r>
      <w:proofErr w:type="spellStart"/>
      <w:r>
        <w:rPr>
          <w:rFonts w:ascii="Times New Roman" w:hAnsi="Times New Roman"/>
          <w:sz w:val="24"/>
          <w:szCs w:val="24"/>
          <w:lang w:val="it-IT"/>
        </w:rPr>
        <w:t>Qurashi</w:t>
      </w:r>
      <w:proofErr w:type="spellEnd"/>
      <w:r>
        <w:rPr>
          <w:rFonts w:ascii="Times New Roman" w:hAnsi="Times New Roman"/>
          <w:sz w:val="24"/>
          <w:szCs w:val="24"/>
          <w:lang w:val="it-IT"/>
        </w:rPr>
        <w:t xml:space="preserve"> (2018); </w:t>
      </w:r>
      <w:proofErr w:type="spellStart"/>
      <w:r>
        <w:rPr>
          <w:rFonts w:ascii="Times New Roman" w:hAnsi="Times New Roman"/>
          <w:sz w:val="24"/>
          <w:szCs w:val="24"/>
          <w:lang w:val="it-IT"/>
        </w:rPr>
        <w:t>Bataineh</w:t>
      </w:r>
      <w:proofErr w:type="spellEnd"/>
      <w:r>
        <w:rPr>
          <w:rFonts w:ascii="Times New Roman" w:hAnsi="Times New Roman"/>
          <w:sz w:val="24"/>
          <w:szCs w:val="24"/>
          <w:lang w:val="it-IT"/>
        </w:rPr>
        <w:t>, et. al., (2021)</w:t>
      </w:r>
      <w:bookmarkEnd w:id="84"/>
      <w:r>
        <w:rPr>
          <w:rFonts w:ascii="Times New Roman" w:hAnsi="Times New Roman"/>
          <w:sz w:val="24"/>
          <w:szCs w:val="24"/>
          <w:lang w:val="en-US"/>
        </w:rPr>
        <w:t xml:space="preserve">, who note that adherence to corporate governance codes in countries operating the "comply-explain" approach was low without standard and authentic explanations for lack of adherence. </w:t>
      </w:r>
    </w:p>
    <w:p w14:paraId="130B9822" w14:textId="77777777" w:rsidR="00DC4459" w:rsidRDefault="00077D4E">
      <w:pPr>
        <w:pStyle w:val="Heading2"/>
      </w:pPr>
      <w:bookmarkStart w:id="85" w:name="_Toc73739039"/>
      <w:r>
        <w:rPr>
          <w:rFonts w:eastAsia="Arial Unicode MS" w:cs="Arial Unicode MS"/>
          <w:lang w:val="en-US"/>
        </w:rPr>
        <w:t>4.2.4. Theme Four: Challenges Associated with Adhering to Corporate Governance Codes</w:t>
      </w:r>
      <w:bookmarkEnd w:id="85"/>
      <w:r>
        <w:rPr>
          <w:rFonts w:eastAsia="Arial Unicode MS" w:cs="Arial Unicode MS"/>
        </w:rPr>
        <w:t> </w:t>
      </w:r>
    </w:p>
    <w:p w14:paraId="3ED7F94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theme discovers the peculiar challenges associated with adhering to and implementing corporate governance codes. Recall discussed that Ireland operates the "principle-based" approach to corporate governance just like the United Kingdom. The "principle-based" approach provides a set of general codes of corporate governance; individual companies were given the freedom to adapt the codes to the specific characteristics of their companies</w:t>
      </w:r>
      <w:r>
        <w:rPr>
          <w:rFonts w:ascii="Times New Roman" w:hAnsi="Times New Roman"/>
          <w:sz w:val="24"/>
          <w:szCs w:val="24"/>
        </w:rPr>
        <w:t xml:space="preserve"> (</w:t>
      </w:r>
      <w:proofErr w:type="spellStart"/>
      <w:r>
        <w:rPr>
          <w:rFonts w:ascii="Times New Roman" w:hAnsi="Times New Roman"/>
          <w:sz w:val="24"/>
          <w:szCs w:val="24"/>
          <w:lang w:val="en-US"/>
        </w:rPr>
        <w:t>Almaqtari</w:t>
      </w:r>
      <w:proofErr w:type="spellEnd"/>
      <w:r>
        <w:rPr>
          <w:rFonts w:ascii="Times New Roman" w:hAnsi="Times New Roman"/>
          <w:sz w:val="24"/>
          <w:szCs w:val="24"/>
          <w:lang w:val="en-US"/>
        </w:rPr>
        <w:t>, Al-</w:t>
      </w:r>
      <w:proofErr w:type="spellStart"/>
      <w:r>
        <w:rPr>
          <w:rFonts w:ascii="Times New Roman" w:hAnsi="Times New Roman"/>
          <w:sz w:val="24"/>
          <w:szCs w:val="24"/>
          <w:lang w:val="en-US"/>
        </w:rPr>
        <w:t>Hattami</w:t>
      </w:r>
      <w:proofErr w:type="spellEnd"/>
      <w:r>
        <w:rPr>
          <w:rFonts w:ascii="Times New Roman" w:hAnsi="Times New Roman"/>
          <w:sz w:val="24"/>
          <w:szCs w:val="24"/>
          <w:lang w:val="en-US"/>
        </w:rPr>
        <w:t>, AL-</w:t>
      </w:r>
      <w:proofErr w:type="spellStart"/>
      <w:r>
        <w:rPr>
          <w:rFonts w:ascii="Times New Roman" w:hAnsi="Times New Roman"/>
          <w:sz w:val="24"/>
          <w:szCs w:val="24"/>
          <w:lang w:val="en-US"/>
        </w:rPr>
        <w:t>Nuzaili</w:t>
      </w:r>
      <w:proofErr w:type="spellEnd"/>
      <w:r>
        <w:rPr>
          <w:rFonts w:ascii="Times New Roman" w:hAnsi="Times New Roman"/>
          <w:sz w:val="24"/>
          <w:szCs w:val="24"/>
          <w:lang w:val="en-US"/>
        </w:rPr>
        <w:t xml:space="preserve"> et. al., 2020). Where companies could not implement or adhere to a specific principle, they had to explain to the shareholders why they were unable to adhere. </w:t>
      </w:r>
    </w:p>
    <w:p w14:paraId="7E825FEB" w14:textId="77777777" w:rsidR="00DC4459" w:rsidRDefault="00077D4E">
      <w:pPr>
        <w:pStyle w:val="Heading3"/>
      </w:pPr>
      <w:bookmarkStart w:id="86" w:name="_Toc73739040"/>
      <w:r>
        <w:rPr>
          <w:rFonts w:eastAsia="Arial Unicode MS" w:cs="Arial Unicode MS"/>
          <w:lang w:val="en-US"/>
        </w:rPr>
        <w:t>a. Finding One: Constantly Updating Codes</w:t>
      </w:r>
      <w:bookmarkEnd w:id="86"/>
    </w:p>
    <w:p w14:paraId="6AA6BFB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In implementing the principle-based approach, several challenges are witnessed. Interviewees thus narrated some challenges their banks faced while implementing the principles of the Irish codes; </w:t>
      </w:r>
    </w:p>
    <w:p w14:paraId="1A16C227" w14:textId="77777777" w:rsidR="00DC4459" w:rsidRDefault="00077D4E">
      <w:pPr>
        <w:pStyle w:val="Body"/>
        <w:spacing w:before="240" w:line="360" w:lineRule="auto"/>
        <w:jc w:val="both"/>
        <w:rPr>
          <w:rFonts w:ascii="Times New Roman" w:eastAsia="Times New Roman" w:hAnsi="Times New Roman" w:cs="Times New Roman"/>
          <w:b/>
          <w:bCs/>
          <w:sz w:val="24"/>
          <w:szCs w:val="24"/>
        </w:rPr>
      </w:pPr>
      <w:r>
        <w:rPr>
          <w:rFonts w:ascii="Times New Roman" w:hAnsi="Times New Roman"/>
          <w:i/>
          <w:iCs/>
          <w:sz w:val="24"/>
          <w:szCs w:val="24"/>
          <w:lang w:val="en-US"/>
        </w:rPr>
        <w:t>"AIB is committed to upholding high governance standards and seeking continual enhancements. The key challenges arise when new requirements are published, and we must ensure that any enhancements to existing processes or practices are implemented and approved by the appropriate governance forum in advance of the effective date of the new requirements to ensure that AIB remains compliant with all relevant corporate governance codes and requirements"-</w:t>
      </w:r>
      <w:r>
        <w:rPr>
          <w:rFonts w:ascii="Times New Roman" w:hAnsi="Times New Roman"/>
          <w:b/>
          <w:bCs/>
          <w:sz w:val="24"/>
          <w:szCs w:val="24"/>
        </w:rPr>
        <w:t>AN</w:t>
      </w:r>
    </w:p>
    <w:p w14:paraId="76231BBF"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 xml:space="preserve">From the above, a key challenge experienced in implementing codes is the constant need for upgrading codes based on newly published requirements. This is a fundamental challenge in the "principle-based" approach to corporate governance. </w:t>
      </w:r>
      <w:proofErr w:type="spellStart"/>
      <w:r>
        <w:rPr>
          <w:rFonts w:ascii="Times New Roman" w:hAnsi="Times New Roman"/>
          <w:sz w:val="24"/>
          <w:szCs w:val="24"/>
          <w:lang w:val="en-US"/>
        </w:rPr>
        <w:t>Bataineh</w:t>
      </w:r>
      <w:proofErr w:type="spellEnd"/>
      <w:r>
        <w:rPr>
          <w:rFonts w:ascii="Times New Roman" w:hAnsi="Times New Roman"/>
          <w:sz w:val="24"/>
          <w:szCs w:val="24"/>
          <w:lang w:val="en-US"/>
        </w:rPr>
        <w:t>, et. al., (2021) explain that despite its flexibility and freedom, the principles themselves are easily amendable, unlike the rules-based approach, which is quite rigid. This gives room for principles to be constantly amended by regulating agencies. It is quite challenging to constantly update codes in conformance to principles of regulating agencies, even for companies who genuinely want to adhere to these principles. Companies are, therefore, challenged in keeping up with the pace at which principles are updated by regulating bodies. Thus, most companies do not update their codes. This is one reason that led to the lack of adherence (Garcia-</w:t>
      </w:r>
      <w:proofErr w:type="spellStart"/>
      <w:r>
        <w:rPr>
          <w:rFonts w:ascii="Times New Roman" w:hAnsi="Times New Roman"/>
          <w:sz w:val="24"/>
          <w:szCs w:val="24"/>
          <w:lang w:val="en-US"/>
        </w:rPr>
        <w:t>Meca</w:t>
      </w:r>
      <w:proofErr w:type="spellEnd"/>
      <w:r>
        <w:rPr>
          <w:rFonts w:ascii="Times New Roman" w:hAnsi="Times New Roman"/>
          <w:sz w:val="24"/>
          <w:szCs w:val="24"/>
          <w:lang w:val="en-US"/>
        </w:rPr>
        <w:t>, et. al., 2015). </w:t>
      </w:r>
    </w:p>
    <w:p w14:paraId="3BEC5676" w14:textId="77777777" w:rsidR="00DC4459" w:rsidRDefault="00077D4E">
      <w:pPr>
        <w:pStyle w:val="Heading3"/>
      </w:pPr>
      <w:bookmarkStart w:id="87" w:name="_Toc73739041"/>
      <w:r>
        <w:rPr>
          <w:rFonts w:eastAsia="Arial Unicode MS" w:cs="Arial Unicode MS"/>
          <w:lang w:val="en-US"/>
        </w:rPr>
        <w:t>b. Finding Two: Lack of Uniformity in Implementation</w:t>
      </w:r>
      <w:bookmarkEnd w:id="87"/>
    </w:p>
    <w:p w14:paraId="74BDD23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Another challenge, as explained by DT, was confusion in the general codes due to the lack of general standards; </w:t>
      </w:r>
    </w:p>
    <w:p w14:paraId="31378B83" w14:textId="77777777" w:rsidR="00DC4459" w:rsidRDefault="00077D4E">
      <w:pPr>
        <w:pStyle w:val="Body"/>
        <w:spacing w:before="240" w:line="360" w:lineRule="auto"/>
        <w:jc w:val="both"/>
        <w:rPr>
          <w:rFonts w:ascii="Times New Roman" w:eastAsia="Times New Roman" w:hAnsi="Times New Roman" w:cs="Times New Roman"/>
          <w:b/>
          <w:bCs/>
          <w:sz w:val="24"/>
          <w:szCs w:val="24"/>
        </w:rPr>
      </w:pPr>
      <w:r>
        <w:rPr>
          <w:rFonts w:ascii="Times New Roman" w:hAnsi="Times New Roman"/>
          <w:sz w:val="24"/>
          <w:szCs w:val="24"/>
          <w:lang w:val="ru-RU"/>
        </w:rPr>
        <w:t>"</w:t>
      </w:r>
      <w:r>
        <w:rPr>
          <w:rFonts w:ascii="Times New Roman" w:hAnsi="Times New Roman"/>
          <w:i/>
          <w:iCs/>
          <w:sz w:val="24"/>
          <w:szCs w:val="24"/>
          <w:lang w:val="en-US"/>
        </w:rPr>
        <w:t>Sometimes it is very confusing to implement these principles, because there is no standard, to the best of your knowledge you think are adhering to them, but then, in reality, you are not. I had experienced a case of a mortgage bank which thought they were adhering to the principles; however, after the CBI made audit, they discovered they were far from adhering to the"</w:t>
      </w:r>
      <w:r>
        <w:rPr>
          <w:rFonts w:ascii="Times New Roman" w:hAnsi="Times New Roman"/>
          <w:sz w:val="24"/>
          <w:szCs w:val="24"/>
          <w:lang w:val="en-US"/>
        </w:rPr>
        <w:t> </w:t>
      </w:r>
      <w:r>
        <w:rPr>
          <w:rFonts w:ascii="Times New Roman" w:hAnsi="Times New Roman"/>
          <w:sz w:val="24"/>
          <w:szCs w:val="24"/>
          <w:lang w:val="ru-RU"/>
        </w:rPr>
        <w:t xml:space="preserve">- </w:t>
      </w:r>
      <w:r>
        <w:rPr>
          <w:rFonts w:ascii="Times New Roman" w:hAnsi="Times New Roman"/>
          <w:b/>
          <w:bCs/>
          <w:sz w:val="24"/>
          <w:szCs w:val="24"/>
        </w:rPr>
        <w:t>DT</w:t>
      </w:r>
    </w:p>
    <w:p w14:paraId="3AEFE52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codes in the "principle-based" approach lacked uniformity and were subject to diverse interpretations (</w:t>
      </w:r>
      <w:proofErr w:type="spellStart"/>
      <w:r>
        <w:rPr>
          <w:rFonts w:ascii="Times New Roman" w:hAnsi="Times New Roman"/>
          <w:sz w:val="24"/>
          <w:szCs w:val="24"/>
          <w:lang w:val="en-US"/>
        </w:rPr>
        <w:t>Kapkiyai</w:t>
      </w:r>
      <w:proofErr w:type="spellEnd"/>
      <w:r>
        <w:rPr>
          <w:rFonts w:ascii="Times New Roman" w:hAnsi="Times New Roman"/>
          <w:sz w:val="24"/>
          <w:szCs w:val="24"/>
          <w:lang w:val="en-US"/>
        </w:rPr>
        <w:t>, et. al., 2020); this could lead to confusion pertaining to which codes are compulsory which were not, hence companies could genuinely think they are adhering to regulations; however, they were not. This is unlike the "rules-based" approach, which provides strict and straightforward principles void of ambiguity and confusion. In the rules-based approach, it was clear if a company was complying or not complying. The opposite is attained in the "principle-based" approach as the absence of standards gave every company the flexibility to comply with codes based on their peculiar company characteristics; however, when accessed by the general principles, companies could be defaulting</w:t>
      </w:r>
      <w:r>
        <w:rPr>
          <w:rFonts w:ascii="Times New Roman" w:hAnsi="Times New Roman"/>
          <w:sz w:val="24"/>
          <w:szCs w:val="24"/>
        </w:rPr>
        <w:t xml:space="preserve"> (</w:t>
      </w:r>
      <w:proofErr w:type="spellStart"/>
      <w:r>
        <w:rPr>
          <w:rFonts w:ascii="Times New Roman" w:hAnsi="Times New Roman"/>
          <w:sz w:val="24"/>
          <w:szCs w:val="24"/>
        </w:rPr>
        <w:t>Danescu</w:t>
      </w:r>
      <w:proofErr w:type="spellEnd"/>
      <w:r>
        <w:rPr>
          <w:rFonts w:ascii="Times New Roman" w:hAnsi="Times New Roman"/>
          <w:sz w:val="24"/>
          <w:szCs w:val="24"/>
        </w:rPr>
        <w:t xml:space="preserve"> and Popa, 2020; Lungu, Pompei, et. al., 2020).  </w:t>
      </w:r>
    </w:p>
    <w:p w14:paraId="2036C45D" w14:textId="77777777" w:rsidR="00DC4459" w:rsidRDefault="00077D4E">
      <w:pPr>
        <w:pStyle w:val="Heading3"/>
      </w:pPr>
      <w:bookmarkStart w:id="88" w:name="_Toc73739042"/>
      <w:r>
        <w:rPr>
          <w:rFonts w:eastAsia="Arial Unicode MS" w:cs="Arial Unicode MS"/>
          <w:lang w:val="en-US"/>
        </w:rPr>
        <w:t>c. Finding Three: Impact on Investors</w:t>
      </w:r>
      <w:bookmarkEnd w:id="88"/>
    </w:p>
    <w:p w14:paraId="7017EA4A"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A final challenge discovered which is linked to the previous is the impact the principles have on investors. PP explains this; </w:t>
      </w:r>
    </w:p>
    <w:p w14:paraId="60841629" w14:textId="77777777" w:rsidR="00DC4459" w:rsidRDefault="00077D4E">
      <w:pPr>
        <w:pStyle w:val="Body"/>
        <w:spacing w:before="240" w:line="360" w:lineRule="auto"/>
        <w:jc w:val="both"/>
        <w:rPr>
          <w:rFonts w:ascii="Times New Roman" w:eastAsia="Times New Roman" w:hAnsi="Times New Roman" w:cs="Times New Roman"/>
          <w:b/>
          <w:bCs/>
          <w:sz w:val="24"/>
          <w:szCs w:val="24"/>
        </w:rPr>
      </w:pPr>
      <w:r>
        <w:rPr>
          <w:rFonts w:ascii="Times New Roman" w:hAnsi="Times New Roman"/>
          <w:i/>
          <w:iCs/>
          <w:sz w:val="24"/>
          <w:szCs w:val="24"/>
          <w:lang w:val="en-US"/>
        </w:rPr>
        <w:lastRenderedPageBreak/>
        <w:t>"Not every shareholder is aware of the working of the comply or explain approach, so for instance, when an investor checks the company report and weigh it against general standards, they might see a disparity, they may think the company is not complying to standards. But in the true picture, the company is adhering to codes, but because the principle approach gives companies the freedom to choose how they implemented codes, a disparity exists. The investor may not be aware of this</w:t>
      </w:r>
      <w:r>
        <w:rPr>
          <w:rFonts w:ascii="Times New Roman" w:hAnsi="Times New Roman"/>
          <w:sz w:val="24"/>
          <w:szCs w:val="24"/>
          <w:lang w:val="da-DK"/>
        </w:rPr>
        <w:t xml:space="preserve">"- </w:t>
      </w:r>
      <w:r>
        <w:rPr>
          <w:rFonts w:ascii="Times New Roman" w:hAnsi="Times New Roman"/>
          <w:b/>
          <w:bCs/>
          <w:sz w:val="24"/>
          <w:szCs w:val="24"/>
          <w:lang w:val="es-ES_tradnl"/>
        </w:rPr>
        <w:t>PP</w:t>
      </w:r>
    </w:p>
    <w:p w14:paraId="465317B5"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above, discouraged investors from investing in a company for fear that the company does not comply to corporate governance codes, while in reality, the company was adhering to codes. This problem is minimal in the rules-based approach, as it is clearly understood if a company was adhering to or not adhering to principles. </w:t>
      </w:r>
    </w:p>
    <w:p w14:paraId="7CC15B6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section has revealed the challenges associated with adhering to codes by banks in Ireland. It is worthy to point out that most interviewees noted no specific challenges while implementing codes. The flexibility of the general principles offered companies the opportunity to address all challenges associated with implementing principles. However, from deeper probes, constant updating, confusion of general principles, and wrong perception by investors, was discovered. </w:t>
      </w:r>
    </w:p>
    <w:p w14:paraId="20DCB120" w14:textId="77777777" w:rsidR="00DC4459" w:rsidRDefault="00077D4E">
      <w:pPr>
        <w:pStyle w:val="Heading"/>
      </w:pPr>
      <w:bookmarkStart w:id="89" w:name="_Toc73739043"/>
      <w:r>
        <w:rPr>
          <w:rFonts w:eastAsia="Arial Unicode MS" w:cs="Arial Unicode MS"/>
          <w:lang w:val="en-US"/>
        </w:rPr>
        <w:t>4.3. Summary of Findings</w:t>
      </w:r>
      <w:bookmarkEnd w:id="89"/>
      <w:r>
        <w:rPr>
          <w:rFonts w:eastAsia="Arial Unicode MS" w:cs="Arial Unicode MS"/>
        </w:rPr>
        <w:t> </w:t>
      </w:r>
    </w:p>
    <w:p w14:paraId="4D83D45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From the discussions above, the major finding of this research include; </w:t>
      </w:r>
    </w:p>
    <w:p w14:paraId="557604E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Banks in Ireland are adhering to codes of corporate governance. The level of adherence is impressive and remarkable. Banks were not complying gave adequate explanations of their lack of adherence. This finding is contrary to what was discovered in the literature review, where scholars like </w:t>
      </w:r>
      <w:proofErr w:type="spellStart"/>
      <w:r>
        <w:rPr>
          <w:rFonts w:ascii="Times New Roman" w:hAnsi="Times New Roman"/>
          <w:sz w:val="24"/>
          <w:szCs w:val="24"/>
          <w:lang w:val="en-US"/>
        </w:rPr>
        <w:t>Almaqtari</w:t>
      </w:r>
      <w:proofErr w:type="spellEnd"/>
      <w:r>
        <w:rPr>
          <w:rFonts w:ascii="Times New Roman" w:hAnsi="Times New Roman"/>
          <w:sz w:val="24"/>
          <w:szCs w:val="24"/>
          <w:lang w:val="en-US"/>
        </w:rPr>
        <w:t xml:space="preserve">, et. al., (2020); </w:t>
      </w:r>
      <w:proofErr w:type="spellStart"/>
      <w:r>
        <w:rPr>
          <w:rFonts w:ascii="Times New Roman" w:hAnsi="Times New Roman"/>
          <w:sz w:val="24"/>
          <w:szCs w:val="24"/>
          <w:lang w:val="en-US"/>
        </w:rPr>
        <w:t>Qurashi</w:t>
      </w:r>
      <w:proofErr w:type="spellEnd"/>
      <w:r>
        <w:rPr>
          <w:rFonts w:ascii="Times New Roman" w:hAnsi="Times New Roman"/>
          <w:sz w:val="24"/>
          <w:szCs w:val="24"/>
          <w:lang w:val="en-US"/>
        </w:rPr>
        <w:t xml:space="preserve"> (2018); </w:t>
      </w:r>
      <w:proofErr w:type="spellStart"/>
      <w:r>
        <w:rPr>
          <w:rFonts w:ascii="Times New Roman" w:hAnsi="Times New Roman"/>
          <w:sz w:val="24"/>
          <w:szCs w:val="24"/>
          <w:lang w:val="en-US"/>
        </w:rPr>
        <w:t>Bataineh</w:t>
      </w:r>
      <w:proofErr w:type="spellEnd"/>
      <w:r>
        <w:rPr>
          <w:rFonts w:ascii="Times New Roman" w:hAnsi="Times New Roman"/>
          <w:sz w:val="24"/>
          <w:szCs w:val="24"/>
          <w:lang w:val="en-US"/>
        </w:rPr>
        <w:t xml:space="preserve"> et. al., (2021), notes that due flexibility of the "comply-explain" approach most companies did not adhere to codes neither gave sufficient explanation for non-adherence. </w:t>
      </w:r>
    </w:p>
    <w:p w14:paraId="2BA67F4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 The actions of the CBI are an associated reason why banks adhered to corporate governance codes; the CBI was more involved in ensuring that all regulations were adhered to by companies, companies that defaulted were sanctioned. These increased the rate of adherence. This is a new finding of the study as the literature review did not </w:t>
      </w:r>
      <w:proofErr w:type="spellStart"/>
      <w:r>
        <w:rPr>
          <w:rFonts w:ascii="Times New Roman" w:hAnsi="Times New Roman"/>
          <w:sz w:val="24"/>
          <w:szCs w:val="24"/>
          <w:lang w:val="en-US"/>
        </w:rPr>
        <w:t>emphasise</w:t>
      </w:r>
      <w:proofErr w:type="spellEnd"/>
      <w:r>
        <w:rPr>
          <w:rFonts w:ascii="Times New Roman" w:hAnsi="Times New Roman"/>
          <w:sz w:val="24"/>
          <w:szCs w:val="24"/>
          <w:lang w:val="en-US"/>
        </w:rPr>
        <w:t xml:space="preserve"> the role of the CBI in enhancing adherence to codes. </w:t>
      </w:r>
    </w:p>
    <w:p w14:paraId="2D6CFE6A"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lastRenderedPageBreak/>
        <w:t>The bank size, its large customers, and the risk of reputational crises were also an associated factor that prompted compliance of corporate governance by banks in Ireland. Banks that were not complying without sufficient explanations risked being painted in a "bad light," thus leading to a lack of confidence and trust in the bank by both investors and customers; this is bad for profit. This is a new finding of the research as previous literature did not discuss this.</w:t>
      </w:r>
    </w:p>
    <w:p w14:paraId="4968F083"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Non-EDs played an essential role in ensuring adherence to corporate governance codes. With their oversight functions, scrutiny, and </w:t>
      </w:r>
      <w:proofErr w:type="spellStart"/>
      <w:r>
        <w:rPr>
          <w:rFonts w:ascii="Times New Roman" w:hAnsi="Times New Roman"/>
          <w:sz w:val="24"/>
          <w:szCs w:val="24"/>
          <w:lang w:val="en-US"/>
        </w:rPr>
        <w:t>sceptical</w:t>
      </w:r>
      <w:proofErr w:type="spellEnd"/>
      <w:r>
        <w:rPr>
          <w:rFonts w:ascii="Times New Roman" w:hAnsi="Times New Roman"/>
          <w:sz w:val="24"/>
          <w:szCs w:val="24"/>
          <w:lang w:val="en-US"/>
        </w:rPr>
        <w:t xml:space="preserve"> monitoring and evaluation, they were able to keep the executive "on their toes," thus ensuring that codes are adhered to, or adequate explanation is given for non-adherence. This finding is in line with previous literature.</w:t>
      </w:r>
    </w:p>
    <w:p w14:paraId="59DFC0C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Constant upgrading and improving codes were a significant challenge to the compliance to corporate governance codes, as banks constantly had to think of ways to keep adhering to codes, which were frequently improved by regulating bodies. This exercise was challenging as trying to tailor regulations to specific experiences of companies was difficult. This is a new finding of the research</w:t>
      </w:r>
      <w:r>
        <w:rPr>
          <w:rFonts w:ascii="Times New Roman" w:hAnsi="Times New Roman"/>
          <w:sz w:val="24"/>
          <w:szCs w:val="24"/>
          <w:lang w:val="de-DE"/>
        </w:rPr>
        <w:t>.</w:t>
      </w:r>
    </w:p>
    <w:p w14:paraId="77F3A7C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corporate governance codes of the principle-based approach were sometimes confusing due to the lack of uniform standards of implementation. Thus, a company may have the impression that it was adhering to corporate governance codes while, in essence, it was not. This is a new finding of the research</w:t>
      </w:r>
      <w:r>
        <w:rPr>
          <w:rFonts w:ascii="Times New Roman" w:hAnsi="Times New Roman"/>
          <w:sz w:val="24"/>
          <w:szCs w:val="24"/>
          <w:lang w:val="de-DE"/>
        </w:rPr>
        <w:t>.</w:t>
      </w:r>
    </w:p>
    <w:p w14:paraId="59783F1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Lack of standards on the implementation of codes could also discourage investors who lack adequate knowledge of the operations of the principle-based approach. An investor may consider a company as not adhering to codes because of the disparity in its approach to corporate governance and that which is provided by regulatory bodies, while in reality, the company was adhering to corporate governance codes. This is a new finding of the research. </w:t>
      </w:r>
    </w:p>
    <w:p w14:paraId="7518CEAF"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w:t>
      </w:r>
    </w:p>
    <w:p w14:paraId="53BE0968"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3C7BC21C"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72D27227"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0E723509" w14:textId="77777777" w:rsidR="00DC4459" w:rsidRDefault="00DC4459">
      <w:pPr>
        <w:pStyle w:val="Body"/>
        <w:spacing w:before="240" w:line="360" w:lineRule="auto"/>
        <w:jc w:val="both"/>
        <w:rPr>
          <w:rFonts w:ascii="Times New Roman" w:eastAsia="Times New Roman" w:hAnsi="Times New Roman" w:cs="Times New Roman"/>
          <w:sz w:val="24"/>
          <w:szCs w:val="24"/>
        </w:rPr>
      </w:pPr>
    </w:p>
    <w:p w14:paraId="4E695F47" w14:textId="77777777" w:rsidR="00DC4459" w:rsidRDefault="00077D4E">
      <w:pPr>
        <w:pStyle w:val="Heading"/>
        <w:jc w:val="center"/>
      </w:pPr>
      <w:bookmarkStart w:id="90" w:name="_Toc73739044"/>
      <w:r>
        <w:rPr>
          <w:lang w:val="de-DE"/>
        </w:rPr>
        <w:lastRenderedPageBreak/>
        <w:t>CHAPTER FIVE</w:t>
      </w:r>
      <w:bookmarkEnd w:id="90"/>
    </w:p>
    <w:p w14:paraId="3B790BCC" w14:textId="77777777" w:rsidR="00DC4459" w:rsidRDefault="00077D4E">
      <w:pPr>
        <w:pStyle w:val="Heading"/>
        <w:jc w:val="center"/>
      </w:pPr>
      <w:bookmarkStart w:id="91" w:name="_Toc73739045"/>
      <w:r>
        <w:rPr>
          <w:lang w:val="en-US"/>
        </w:rPr>
        <w:t>SUMMARY AND CONCLUSIONS</w:t>
      </w:r>
      <w:bookmarkEnd w:id="91"/>
    </w:p>
    <w:p w14:paraId="2DC66541" w14:textId="77777777" w:rsidR="00DC4459" w:rsidRDefault="00077D4E">
      <w:pPr>
        <w:pStyle w:val="Heading"/>
      </w:pPr>
      <w:bookmarkStart w:id="92" w:name="_Toc73739046"/>
      <w:r>
        <w:rPr>
          <w:rFonts w:eastAsia="Arial Unicode MS" w:cs="Arial Unicode MS"/>
        </w:rPr>
        <w:t>5.1. Summary </w:t>
      </w:r>
      <w:r>
        <w:rPr>
          <w:rFonts w:eastAsia="Arial Unicode MS" w:cs="Arial Unicode MS"/>
          <w:lang w:val="en-US"/>
        </w:rPr>
        <w:t>of the Study</w:t>
      </w:r>
      <w:bookmarkEnd w:id="92"/>
      <w:r>
        <w:rPr>
          <w:rFonts w:eastAsia="Arial Unicode MS" w:cs="Arial Unicode MS"/>
          <w:lang w:val="en-US"/>
        </w:rPr>
        <w:t xml:space="preserve"> </w:t>
      </w:r>
    </w:p>
    <w:p w14:paraId="2F2747C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research investigated the factors that influenced the adherence to corporate governance codes by banks in Ireland. It was stated from the first chapter that corporate governance refers to the coordination of practices, processes, and rules that govern the direction, control, and activities of a company. Corporate governance codes were principles used to adequately monitor and control the activities of corporations to enhance best practices for the benefit of the shareholders and stakeholders. The research further notes that two approaches to corporate governance exists i.e., rules-based and principle-based. Ireland operates the principle-based which corporate governance codes are drafted, but companies had the liberty to comply with these codes based on the specific peculiarities of companies i.e., size, board members, etc. the principle-based approach is also known as the "comply or explain approach", where companies could either comply or explain the reasons for their non-compliance. This research was informed by several arguments in existing literature;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w:t>
      </w:r>
      <w:proofErr w:type="spellStart"/>
      <w:r>
        <w:rPr>
          <w:rFonts w:ascii="Times New Roman" w:hAnsi="Times New Roman"/>
          <w:sz w:val="24"/>
          <w:szCs w:val="24"/>
          <w:lang w:val="en-US"/>
        </w:rPr>
        <w:t>Onakoya</w:t>
      </w:r>
      <w:proofErr w:type="spellEnd"/>
      <w:r>
        <w:rPr>
          <w:rFonts w:ascii="Times New Roman" w:hAnsi="Times New Roman"/>
          <w:sz w:val="24"/>
          <w:szCs w:val="24"/>
          <w:lang w:val="en-US"/>
        </w:rPr>
        <w:t xml:space="preserve">, et. al., (2014), note that compliance to corporate governance codes in countries operating the principle-based approach is low due to much flexibility and lack of sanctions companies did not care to adhere to codes either did, they offer sufficient explanation for non-adherence. Furthermore,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Lungu et. al., (2020); Khan (2018), argue that the "comply or explain" was no longer necessary as companies now focused on "comply or perform", in other words so long as the company was performing, compliance to corporate governance was not necessary. Hence, this research decided to investigate these claims with respect to banks in Ireland. To achieve this, three objectives were drafted. The following section explains the implications of the research findings on the research objectives. </w:t>
      </w:r>
    </w:p>
    <w:p w14:paraId="10F97CFB" w14:textId="77777777" w:rsidR="00DC4459" w:rsidRDefault="00077D4E">
      <w:pPr>
        <w:pStyle w:val="Heading"/>
      </w:pPr>
      <w:bookmarkStart w:id="93" w:name="_Toc73739047"/>
      <w:r>
        <w:rPr>
          <w:rFonts w:eastAsia="Arial Unicode MS" w:cs="Arial Unicode MS"/>
          <w:lang w:val="en-US"/>
        </w:rPr>
        <w:t>5.2. Implications of the Research Findings on the Research Objectives</w:t>
      </w:r>
      <w:bookmarkEnd w:id="93"/>
    </w:p>
    <w:p w14:paraId="4E3C5AEF" w14:textId="77777777" w:rsidR="00DC4459" w:rsidRDefault="00077D4E">
      <w:pPr>
        <w:pStyle w:val="Heading2"/>
        <w:jc w:val="both"/>
      </w:pPr>
      <w:bookmarkStart w:id="94" w:name="_Toc73739048"/>
      <w:r>
        <w:rPr>
          <w:lang w:val="en-US"/>
        </w:rPr>
        <w:t xml:space="preserve">5.2.1. Research Objective One: </w:t>
      </w:r>
      <w:r>
        <w:t>  </w:t>
      </w:r>
      <w:r>
        <w:rPr>
          <w:lang w:val="en-US"/>
        </w:rPr>
        <w:t>To Critically Examine Factors Influencing the Adherence or Non-Adherence to Corporate Governance Principles in Ireland</w:t>
      </w:r>
      <w:bookmarkEnd w:id="94"/>
    </w:p>
    <w:p w14:paraId="7C79740A"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Arguments of </w:t>
      </w:r>
      <w:proofErr w:type="spellStart"/>
      <w:r>
        <w:rPr>
          <w:rFonts w:ascii="Times New Roman" w:hAnsi="Times New Roman"/>
          <w:sz w:val="24"/>
          <w:szCs w:val="24"/>
          <w:lang w:val="en-US"/>
        </w:rPr>
        <w:t>Albu</w:t>
      </w:r>
      <w:proofErr w:type="spellEnd"/>
      <w:r>
        <w:rPr>
          <w:rFonts w:ascii="Times New Roman" w:hAnsi="Times New Roman"/>
          <w:sz w:val="24"/>
          <w:szCs w:val="24"/>
          <w:lang w:val="en-US"/>
        </w:rPr>
        <w:t xml:space="preserve"> and </w:t>
      </w:r>
      <w:proofErr w:type="spellStart"/>
      <w:r>
        <w:rPr>
          <w:rFonts w:ascii="Times New Roman" w:hAnsi="Times New Roman"/>
          <w:sz w:val="24"/>
          <w:szCs w:val="24"/>
          <w:lang w:val="en-US"/>
        </w:rPr>
        <w:t>Girbina</w:t>
      </w:r>
      <w:proofErr w:type="spellEnd"/>
      <w:r>
        <w:rPr>
          <w:rFonts w:ascii="Times New Roman" w:hAnsi="Times New Roman"/>
          <w:sz w:val="24"/>
          <w:szCs w:val="24"/>
          <w:lang w:val="en-US"/>
        </w:rPr>
        <w:t xml:space="preserve"> (2015), and Lungu et. al., (2020); </w:t>
      </w:r>
      <w:proofErr w:type="spellStart"/>
      <w:r>
        <w:rPr>
          <w:rFonts w:ascii="Times New Roman" w:hAnsi="Times New Roman"/>
          <w:sz w:val="24"/>
          <w:szCs w:val="24"/>
          <w:lang w:val="en-US"/>
        </w:rPr>
        <w:t>Danescu</w:t>
      </w:r>
      <w:proofErr w:type="spellEnd"/>
      <w:r>
        <w:rPr>
          <w:rFonts w:ascii="Times New Roman" w:hAnsi="Times New Roman"/>
          <w:sz w:val="24"/>
          <w:szCs w:val="24"/>
          <w:lang w:val="en-US"/>
        </w:rPr>
        <w:t xml:space="preserve"> and Popa (2020), who note that there are specific reasons why companies adhered to corporate governance codes, especially in the principle-based approach which had so much flexibility. Reasons pointed out </w:t>
      </w:r>
      <w:r>
        <w:rPr>
          <w:rFonts w:ascii="Times New Roman" w:hAnsi="Times New Roman"/>
          <w:sz w:val="24"/>
          <w:szCs w:val="24"/>
          <w:lang w:val="en-US"/>
        </w:rPr>
        <w:lastRenderedPageBreak/>
        <w:t xml:space="preserve">from the literature review include; dual roles of the chair and chief executive. A number of board members, presence of Non-Executive Directors (Non-EDs </w:t>
      </w:r>
      <w:proofErr w:type="spellStart"/>
      <w:r>
        <w:rPr>
          <w:rFonts w:ascii="Times New Roman" w:hAnsi="Times New Roman"/>
          <w:sz w:val="24"/>
          <w:szCs w:val="24"/>
          <w:lang w:val="en-US"/>
        </w:rPr>
        <w:t>etc</w:t>
      </w:r>
      <w:proofErr w:type="spellEnd"/>
      <w:r>
        <w:rPr>
          <w:rFonts w:ascii="Times New Roman" w:hAnsi="Times New Roman"/>
          <w:sz w:val="24"/>
          <w:szCs w:val="24"/>
          <w:lang w:val="en-US"/>
        </w:rPr>
        <w:t>). This research revealed that amongst the aforementioned reasons, only the presence of Non-EDs influenced the adherence to corporate governance codes by banks in Ireland, this is because the Non-EDs performed oversight and monitoring functions to executives, thus keeping them on "their toes" in ensuring that all codes were adhered to or adequately explained. Another reason discovered by the research for the compliance to corporate governance codes was the actions of the CBI, which served as the body charged with regulating the activities of firms in the Irish financial sector. The CBI thus had the power to ensure compliance by sanctioning banks that were not complying.</w:t>
      </w:r>
    </w:p>
    <w:p w14:paraId="5A658F1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Furthermore, the bank size and its customers also influenced the level of its compliance; banks with huge customers did not want to risks a "reputational crisis" that results from a lack of adherence to codes. This could lead to a loss of confidence and trust in banks. The implication of this finding on this research objective reveals that banks in Ireland had a high adherence level to corporate governance codes. It also implies that the Irish financial sector is adequately regulated for the benefits of shareholders.</w:t>
      </w:r>
    </w:p>
    <w:p w14:paraId="052EDE64" w14:textId="77777777" w:rsidR="00DC4459" w:rsidRDefault="00077D4E">
      <w:pPr>
        <w:pStyle w:val="Heading2"/>
        <w:jc w:val="both"/>
      </w:pPr>
      <w:bookmarkStart w:id="95" w:name="_Toc73739049"/>
      <w:r>
        <w:rPr>
          <w:lang w:val="en-US"/>
        </w:rPr>
        <w:t>5.2.2. Research Objective Two: To Determine the Level of Adherence to Corporate Governance Principles Amongst Banks in Ireland.</w:t>
      </w:r>
      <w:bookmarkEnd w:id="95"/>
    </w:p>
    <w:p w14:paraId="721659EC"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This objective was informed by the arguments of </w:t>
      </w:r>
      <w:proofErr w:type="spellStart"/>
      <w:r>
        <w:rPr>
          <w:rFonts w:ascii="Times New Roman" w:hAnsi="Times New Roman"/>
          <w:sz w:val="24"/>
          <w:szCs w:val="24"/>
          <w:lang w:val="en-US"/>
        </w:rPr>
        <w:t>Fama</w:t>
      </w:r>
      <w:proofErr w:type="spellEnd"/>
      <w:r>
        <w:rPr>
          <w:rFonts w:ascii="Times New Roman" w:hAnsi="Times New Roman"/>
          <w:sz w:val="24"/>
          <w:szCs w:val="24"/>
          <w:lang w:val="en-US"/>
        </w:rPr>
        <w:t xml:space="preserve"> and Jensen (2017); Herath and </w:t>
      </w:r>
      <w:proofErr w:type="spellStart"/>
      <w:r>
        <w:rPr>
          <w:rFonts w:ascii="Times New Roman" w:hAnsi="Times New Roman"/>
          <w:sz w:val="24"/>
          <w:szCs w:val="24"/>
          <w:lang w:val="en-US"/>
        </w:rPr>
        <w:t>Altamimi</w:t>
      </w:r>
      <w:proofErr w:type="spellEnd"/>
      <w:r>
        <w:rPr>
          <w:rFonts w:ascii="Times New Roman" w:hAnsi="Times New Roman"/>
          <w:sz w:val="24"/>
          <w:szCs w:val="24"/>
          <w:lang w:val="en-US"/>
        </w:rPr>
        <w:t xml:space="preserve"> (2017), who note that in countries operating the "comply-explain approach," companies did not adhere to codes due to much flexibility. Furthermore, compliance to codes was replaced by performance, as shareholders who had a significant function of ensuring that codes were adhered to, or adequate explanation given for the non-adherence, were currently concerned with the performance of companies rather than its compliance. In Ireland, the research discovers that banks strictly complied to corporate governance codes and adequately provided reasons for non-compliance. The reason was hinged on the role of the CBI, which had the power to sanction all defaulting companies. The implication of this brings the role of the CBI into the fore, as in countries operating the principles-based approach, fewer sanctions were given to companies that were not adhering to codes. In Ireland, sanctions were enforced on companies for failure to comply or explain. Thus, the role played by the CBI reflects that of the rules-based approach. It also implies that the "comply or perform" approach does not apply to Ireland, as despite shareholders being interested in the performance of companies, </w:t>
      </w:r>
      <w:r>
        <w:rPr>
          <w:rFonts w:ascii="Times New Roman" w:hAnsi="Times New Roman"/>
          <w:sz w:val="24"/>
          <w:szCs w:val="24"/>
          <w:lang w:val="en-US"/>
        </w:rPr>
        <w:lastRenderedPageBreak/>
        <w:t>compliance was not compromised for performance; both are important for keeping investors' confidence. The "comply or perform" approach thus does not make meaning into the context of Ireland.</w:t>
      </w:r>
    </w:p>
    <w:p w14:paraId="5E84AA65" w14:textId="77777777" w:rsidR="00DC4459" w:rsidRDefault="00077D4E">
      <w:pPr>
        <w:pStyle w:val="Heading3"/>
        <w:jc w:val="both"/>
      </w:pPr>
      <w:bookmarkStart w:id="96" w:name="_Toc73739050"/>
      <w:r>
        <w:rPr>
          <w:lang w:val="en-US"/>
        </w:rPr>
        <w:t xml:space="preserve">5.3.3. Research Objective Three: </w:t>
      </w:r>
      <w:r>
        <w:t> </w:t>
      </w:r>
      <w:r>
        <w:rPr>
          <w:lang w:val="en-US"/>
        </w:rPr>
        <w:t>To Discover the Challenges Associated with Corporate Governance Amongst Irish Banks</w:t>
      </w:r>
      <w:bookmarkEnd w:id="96"/>
    </w:p>
    <w:p w14:paraId="2289C1AE"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objective sought to discover the challenges associated with compliance to corporate governance codes in Ireland. This objective is significant, as existing literature does not cover the challenges associated with adherence to corporate governance codes. This research, however, discovers significant insights regarding these challenges. The research discovers that constant upgrading of codes, lack of uniform implementation of codes, and lack of understanding from investors are challenges besetting corporate governance in Ireland. However, these challenges are not significant enough to cripple the activities of the banking sector in relation to adherence to corporate governance. Nevertheless, these challenges need to be solved to ensure that there is clarity of corporate governance code and its practice is better rooted in the Irish banking sector. </w:t>
      </w:r>
    </w:p>
    <w:p w14:paraId="19D7F3A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Overall, the research findings portray the situation of corporate governance in Ireland, which is commendable; however, several improvements can be made to enhance the growth, performance, and confidence of the banking sector. </w:t>
      </w:r>
    </w:p>
    <w:p w14:paraId="0CAAED11" w14:textId="77777777" w:rsidR="00DC4459" w:rsidRDefault="00077D4E">
      <w:pPr>
        <w:pStyle w:val="Heading"/>
      </w:pPr>
      <w:bookmarkStart w:id="97" w:name="_Toc73739051"/>
      <w:r>
        <w:rPr>
          <w:rFonts w:eastAsia="Arial Unicode MS" w:cs="Arial Unicode MS"/>
          <w:lang w:val="en-US"/>
        </w:rPr>
        <w:t>5.4. Contribution of the Study</w:t>
      </w:r>
      <w:bookmarkEnd w:id="97"/>
    </w:p>
    <w:p w14:paraId="14555CC7"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This study made significant contributions to the knowledge and practice of corporate governance in Ireland. A major contribution of this study is its "clearing the air" on all negative perceptions concerning the comply and explain the approach. Previous research revealed the flexibility of the approach gave room for unethical practices as companies could not adhere to codes and not provide adequate explanations for non-adherence. In the context of Ireland, this is not applicable, as despite operating the principle-based approach, there was a high level of adherence to corporate governance codes and adequate explanations provided when codes were not adhered to</w:t>
      </w:r>
    </w:p>
    <w:p w14:paraId="29D4E93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The research also discovered the role of the CBI in adherence to corporate governance codes. Its ability to sanction banks was a significant power that ensured compliance with corporate governance codes. Furthermore, the research also discovers the role of the customers in </w:t>
      </w:r>
      <w:r>
        <w:rPr>
          <w:rFonts w:ascii="Times New Roman" w:hAnsi="Times New Roman"/>
          <w:sz w:val="24"/>
          <w:szCs w:val="24"/>
          <w:lang w:val="en-US"/>
        </w:rPr>
        <w:lastRenderedPageBreak/>
        <w:t>enhancing adherence to corporate governance. Banks needed to adhere to corporate governance to boost customer confidence, therefore enhancing profits. </w:t>
      </w:r>
    </w:p>
    <w:p w14:paraId="680432F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Perhaps, the most significant contribution of this research is discovering the challenges associated with corporate governance implementation by banks. The constant need for improvement, confusion related to the lack of uniformity in codes, and perception the lack of uniformity gives to investors, are challenges that affect the implementation of corporate governance codes. These contributions are new, hence require further research to discover the extent to which these challenges affect banks in Ireland. </w:t>
      </w:r>
    </w:p>
    <w:p w14:paraId="0424AA05"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xml:space="preserve">Despite the contribution of this study, the study is limited based on certain factors. The findings of this research cannot be generalized due to its small sample size. The research adopts the qualitative interview method, which excels in getting deeper and detailed insights concerning issues; however, its limited sample size does not support </w:t>
      </w:r>
      <w:proofErr w:type="spellStart"/>
      <w:r>
        <w:rPr>
          <w:rFonts w:ascii="Times New Roman" w:hAnsi="Times New Roman"/>
          <w:sz w:val="24"/>
          <w:szCs w:val="24"/>
          <w:lang w:val="en-US"/>
        </w:rPr>
        <w:t>generalisation</w:t>
      </w:r>
      <w:proofErr w:type="spellEnd"/>
      <w:r>
        <w:rPr>
          <w:rFonts w:ascii="Times New Roman" w:hAnsi="Times New Roman"/>
          <w:sz w:val="24"/>
          <w:szCs w:val="24"/>
          <w:lang w:val="en-US"/>
        </w:rPr>
        <w:t>; thus, the findings of the research are only applicable to the banks interviewed as a generalized study may reveal different findings. </w:t>
      </w:r>
    </w:p>
    <w:p w14:paraId="0D9B2556" w14:textId="77777777" w:rsidR="00DC4459" w:rsidRDefault="00077D4E">
      <w:pPr>
        <w:pStyle w:val="Heading"/>
      </w:pPr>
      <w:bookmarkStart w:id="98" w:name="_Toc73739052"/>
      <w:r>
        <w:rPr>
          <w:rFonts w:eastAsia="Arial Unicode MS" w:cs="Arial Unicode MS"/>
          <w:lang w:val="en-US"/>
        </w:rPr>
        <w:t>5.5. Recommendations for Practice</w:t>
      </w:r>
      <w:bookmarkEnd w:id="98"/>
    </w:p>
    <w:p w14:paraId="13F40B7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Based on the findings of the study, the following are recommended:  </w:t>
      </w:r>
    </w:p>
    <w:p w14:paraId="1468A90D"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There should be a time frame for improving or upgrading corporate governance codes, this research proposes every seven years so as to give banks ample time to implement existing codes before new improvements are made.</w:t>
      </w:r>
    </w:p>
    <w:p w14:paraId="0E2A22E1"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government in Ireland should consider drafting uniform standards in implementing corporate governance codes; this will prevent the confusion that is associated with the absence of uniformity and extra flexibility in implementing codes.</w:t>
      </w:r>
    </w:p>
    <w:p w14:paraId="0188CC5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Banks should create more avenues to engage prospective stakeholders and investors; engagement strategies should focus on enlightening investors of how banks are adhering to corporate governance codes; this will increase investor confidence in the bank. </w:t>
      </w:r>
    </w:p>
    <w:p w14:paraId="7813B45D"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role of the CBI in enforcing corporate governance codes needs to be improved, through more statutory provisions that enhances its ability to probe and audit accounts, monitor bank practices, and ensure compliance to corporate governance codes. </w:t>
      </w:r>
    </w:p>
    <w:p w14:paraId="26FB4BAC" w14:textId="77777777" w:rsidR="00DC4459" w:rsidRDefault="00077D4E">
      <w:pPr>
        <w:pStyle w:val="Heading"/>
      </w:pPr>
      <w:bookmarkStart w:id="99" w:name="_Toc73739053"/>
      <w:r>
        <w:rPr>
          <w:rFonts w:eastAsia="Arial Unicode MS" w:cs="Arial Unicode MS"/>
          <w:lang w:val="en-US"/>
        </w:rPr>
        <w:lastRenderedPageBreak/>
        <w:t>5.6. Recommendation of Future Research</w:t>
      </w:r>
      <w:bookmarkEnd w:id="99"/>
      <w:r>
        <w:rPr>
          <w:rFonts w:eastAsia="Arial Unicode MS" w:cs="Arial Unicode MS"/>
        </w:rPr>
        <w:t> </w:t>
      </w:r>
    </w:p>
    <w:p w14:paraId="1192DC7B"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Based on the limitations of this stud, the following is recommended for further research:</w:t>
      </w:r>
    </w:p>
    <w:p w14:paraId="4A2109BD"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Future researchers and consider carrying out quantitative research on the research subject matter. The quantitative approach uses representational samples; thus, its findings can be generalized to the entire banking sector in Ireland. </w:t>
      </w:r>
    </w:p>
    <w:p w14:paraId="707F7432"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Future researchers can carry out studies to discover how corporate governance challenges as discovered by this study pose a problem to banks in Ireland. This will further provide insights to these challenges and how they can be tackled. </w:t>
      </w:r>
    </w:p>
    <w:p w14:paraId="64998884"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Validity studies can be conducted to test the credibility of the findings of this research. </w:t>
      </w:r>
    </w:p>
    <w:p w14:paraId="71170E96"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Comparative studies on corporate governance codes can be made, between rules-based countries and principle-based countries, further understanding the differences between the two and drafting frameworks which both can adopt.  </w:t>
      </w:r>
    </w:p>
    <w:p w14:paraId="1C977A25" w14:textId="77777777" w:rsidR="00DC4459" w:rsidRDefault="00077D4E">
      <w:pPr>
        <w:pStyle w:val="Heading"/>
      </w:pPr>
      <w:bookmarkStart w:id="100" w:name="_Toc73739054"/>
      <w:r>
        <w:rPr>
          <w:rFonts w:eastAsia="Arial Unicode MS" w:cs="Arial Unicode MS"/>
          <w:lang w:val="en-US"/>
        </w:rPr>
        <w:t>5.7. Conclusion/Reflection</w:t>
      </w:r>
      <w:bookmarkEnd w:id="100"/>
    </w:p>
    <w:p w14:paraId="7A35956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The central emphasis of this research was corporate governance amongst banks in Ireland; after the critical analysis of the codes and adherence level, the researcher can conclude by asserting that the "comply-explain" principle as operated in Ireland is carefully structured to ensure maximum compliance. Despite the need for improvements, corporate governance in Ireland is essential for accountability, transparency, and adherence to ethical standards of businesses. </w:t>
      </w:r>
    </w:p>
    <w:p w14:paraId="74B1D14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In self-reflecting on the gains made while conducting this study. It is worthy to note that the research has increased the researcher's knowledge in both issues of corporate governance and research methodology. Though significant challenges were experienced by the research, especially in drafting the methodology but with the help of an experienced and seasoned supervisor, such challenges were easily addressed. The findings of this research are relevant, and the researcher considers publishing it</w:t>
      </w:r>
      <w:r>
        <w:rPr>
          <w:rFonts w:ascii="Times New Roman" w:hAnsi="Times New Roman"/>
          <w:sz w:val="24"/>
          <w:szCs w:val="24"/>
          <w:lang w:val="de-DE"/>
        </w:rPr>
        <w:t>.</w:t>
      </w:r>
    </w:p>
    <w:p w14:paraId="64B6A5F9"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w:t>
      </w:r>
    </w:p>
    <w:p w14:paraId="4E0A342C"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w:t>
      </w:r>
    </w:p>
    <w:p w14:paraId="78805958" w14:textId="77777777" w:rsidR="00DC4459" w:rsidRDefault="00077D4E">
      <w:pPr>
        <w:pStyle w:val="Body"/>
        <w:spacing w:before="240" w:line="360" w:lineRule="auto"/>
        <w:jc w:val="both"/>
        <w:rPr>
          <w:rFonts w:ascii="Times New Roman" w:eastAsia="Times New Roman" w:hAnsi="Times New Roman" w:cs="Times New Roman"/>
          <w:sz w:val="24"/>
          <w:szCs w:val="24"/>
        </w:rPr>
      </w:pPr>
      <w:r>
        <w:rPr>
          <w:rFonts w:ascii="Times New Roman" w:hAnsi="Times New Roman"/>
          <w:sz w:val="24"/>
          <w:szCs w:val="24"/>
          <w:lang w:val="en-US"/>
        </w:rPr>
        <w:t> </w:t>
      </w:r>
    </w:p>
    <w:p w14:paraId="6EF06B3E" w14:textId="77777777" w:rsidR="00DC4459" w:rsidRDefault="00077D4E">
      <w:pPr>
        <w:pStyle w:val="Heading"/>
      </w:pPr>
      <w:bookmarkStart w:id="101" w:name="_Toc73739055"/>
      <w:r>
        <w:rPr>
          <w:rFonts w:eastAsia="Arial Unicode MS" w:cs="Arial Unicode MS"/>
          <w:lang w:val="en-US"/>
        </w:rPr>
        <w:lastRenderedPageBreak/>
        <w:t>Reference</w:t>
      </w:r>
      <w:bookmarkEnd w:id="101"/>
    </w:p>
    <w:p w14:paraId="184F277B" w14:textId="77777777" w:rsidR="00DC4459" w:rsidRDefault="00077D4E">
      <w:pPr>
        <w:pStyle w:val="Body"/>
        <w:rPr>
          <w:rFonts w:ascii="Times New Roman" w:eastAsia="Times New Roman" w:hAnsi="Times New Roman" w:cs="Times New Roman"/>
          <w:sz w:val="24"/>
          <w:szCs w:val="24"/>
          <w:u w:val="single"/>
        </w:rPr>
      </w:pPr>
      <w:r>
        <w:rPr>
          <w:rFonts w:ascii="Times New Roman" w:hAnsi="Times New Roman"/>
          <w:sz w:val="24"/>
          <w:szCs w:val="24"/>
          <w:lang w:val="nl-NL"/>
        </w:rPr>
        <w:t xml:space="preserve">Achtenhagen, L , </w:t>
      </w:r>
      <w:proofErr w:type="spellStart"/>
      <w:r>
        <w:rPr>
          <w:rFonts w:ascii="Times New Roman" w:hAnsi="Times New Roman"/>
          <w:sz w:val="24"/>
          <w:szCs w:val="24"/>
          <w:lang w:val="nl-NL"/>
        </w:rPr>
        <w:t>Inwinkl</w:t>
      </w:r>
      <w:proofErr w:type="spellEnd"/>
      <w:r>
        <w:rPr>
          <w:rFonts w:ascii="Times New Roman" w:hAnsi="Times New Roman"/>
          <w:sz w:val="24"/>
          <w:szCs w:val="24"/>
          <w:lang w:val="nl-NL"/>
        </w:rPr>
        <w:t>, P , Bj</w:t>
      </w:r>
      <w:proofErr w:type="spellStart"/>
      <w:r>
        <w:rPr>
          <w:rFonts w:ascii="Times New Roman" w:hAnsi="Times New Roman"/>
          <w:sz w:val="24"/>
          <w:szCs w:val="24"/>
          <w:lang w:val="en-US"/>
        </w:rPr>
        <w:t>örktorp</w:t>
      </w:r>
      <w:proofErr w:type="spellEnd"/>
      <w:r>
        <w:rPr>
          <w:rFonts w:ascii="Times New Roman" w:hAnsi="Times New Roman"/>
          <w:sz w:val="24"/>
          <w:szCs w:val="24"/>
          <w:lang w:val="en-US"/>
        </w:rPr>
        <w:t xml:space="preserve">, J and </w:t>
      </w:r>
      <w:proofErr w:type="spellStart"/>
      <w:r>
        <w:rPr>
          <w:rFonts w:ascii="Times New Roman" w:hAnsi="Times New Roman"/>
          <w:sz w:val="24"/>
          <w:szCs w:val="24"/>
          <w:lang w:val="en-US"/>
        </w:rPr>
        <w:t>Kä</w:t>
      </w:r>
      <w:r>
        <w:rPr>
          <w:rFonts w:ascii="Times New Roman" w:hAnsi="Times New Roman"/>
          <w:sz w:val="24"/>
          <w:szCs w:val="24"/>
          <w:lang w:val="it-IT"/>
        </w:rPr>
        <w:t>llenius</w:t>
      </w:r>
      <w:proofErr w:type="spellEnd"/>
      <w:r>
        <w:rPr>
          <w:rFonts w:ascii="Times New Roman" w:hAnsi="Times New Roman"/>
          <w:sz w:val="24"/>
          <w:szCs w:val="24"/>
          <w:lang w:val="it-IT"/>
        </w:rPr>
        <w:t xml:space="preserve">, R. (2018). </w:t>
      </w:r>
      <w:r>
        <w:rPr>
          <w:rFonts w:ascii="Times New Roman" w:hAnsi="Times New Roman"/>
          <w:i/>
          <w:iCs/>
          <w:sz w:val="24"/>
          <w:szCs w:val="24"/>
          <w:lang w:val="en-US"/>
        </w:rPr>
        <w:t>More than two decades after the Cadbury Report: How far has Sweden, as role model for corporate-governance practices, come?</w:t>
      </w:r>
      <w:r>
        <w:rPr>
          <w:rFonts w:ascii="Times New Roman" w:hAnsi="Times New Roman"/>
          <w:sz w:val="24"/>
          <w:szCs w:val="24"/>
          <w:lang w:val="en-US"/>
        </w:rPr>
        <w:t xml:space="preserve">. International Journal of Disclosure and Governance. </w:t>
      </w:r>
      <w:bookmarkStart w:id="102" w:name="_Hlk73385893"/>
      <w:r>
        <w:rPr>
          <w:rFonts w:ascii="Times New Roman" w:hAnsi="Times New Roman"/>
          <w:sz w:val="24"/>
          <w:szCs w:val="24"/>
          <w:lang w:val="en-US"/>
        </w:rPr>
        <w:t xml:space="preserve">Retrieved from: </w:t>
      </w:r>
      <w:r>
        <w:rPr>
          <w:rFonts w:ascii="Times New Roman" w:hAnsi="Times New Roman"/>
          <w:sz w:val="24"/>
          <w:szCs w:val="24"/>
          <w:u w:val="single"/>
        </w:rPr>
        <w:t xml:space="preserve">15. 10.1057/s41310-018-0051-1. </w:t>
      </w:r>
      <w:r>
        <w:rPr>
          <w:rFonts w:ascii="Times New Roman" w:hAnsi="Times New Roman"/>
          <w:sz w:val="24"/>
          <w:szCs w:val="24"/>
        </w:rPr>
        <w:t>15/05/2021</w:t>
      </w:r>
      <w:bookmarkEnd w:id="102"/>
    </w:p>
    <w:p w14:paraId="2FAA5A33" w14:textId="77777777" w:rsidR="00DC4459" w:rsidRDefault="00077D4E">
      <w:pPr>
        <w:pStyle w:val="Body"/>
        <w:jc w:val="both"/>
        <w:rPr>
          <w:rFonts w:ascii="Times New Roman" w:eastAsia="Times New Roman" w:hAnsi="Times New Roman" w:cs="Times New Roman"/>
          <w:sz w:val="24"/>
          <w:szCs w:val="24"/>
        </w:rPr>
      </w:pPr>
      <w:r>
        <w:rPr>
          <w:rFonts w:ascii="Times New Roman" w:hAnsi="Times New Roman"/>
          <w:sz w:val="24"/>
          <w:szCs w:val="24"/>
          <w:lang w:val="en-US"/>
        </w:rPr>
        <w:t xml:space="preserve">Al-Bassam, W.M., </w:t>
      </w:r>
      <w:proofErr w:type="spellStart"/>
      <w:r>
        <w:rPr>
          <w:rFonts w:ascii="Times New Roman" w:hAnsi="Times New Roman"/>
          <w:sz w:val="24"/>
          <w:szCs w:val="24"/>
          <w:lang w:val="en-US"/>
        </w:rPr>
        <w:t>Ntim</w:t>
      </w:r>
      <w:proofErr w:type="spellEnd"/>
      <w:r>
        <w:rPr>
          <w:rFonts w:ascii="Times New Roman" w:hAnsi="Times New Roman"/>
          <w:sz w:val="24"/>
          <w:szCs w:val="24"/>
          <w:lang w:val="en-US"/>
        </w:rPr>
        <w:t xml:space="preserve">, C.G., </w:t>
      </w:r>
      <w:proofErr w:type="spellStart"/>
      <w:r>
        <w:rPr>
          <w:rFonts w:ascii="Times New Roman" w:hAnsi="Times New Roman"/>
          <w:sz w:val="24"/>
          <w:szCs w:val="24"/>
          <w:lang w:val="en-US"/>
        </w:rPr>
        <w:t>Opong</w:t>
      </w:r>
      <w:proofErr w:type="spellEnd"/>
      <w:r>
        <w:rPr>
          <w:rFonts w:ascii="Times New Roman" w:hAnsi="Times New Roman"/>
          <w:sz w:val="24"/>
          <w:szCs w:val="24"/>
          <w:lang w:val="en-US"/>
        </w:rPr>
        <w:t xml:space="preserve">, K.K., Downs, Y., (2018). Corporate Boards and Ownership Structure as Antecedents of Corporate Governance Disclosure in Saudi Arabian Publicly Listed Corporations. </w:t>
      </w:r>
      <w:r>
        <w:rPr>
          <w:rFonts w:ascii="Times New Roman" w:hAnsi="Times New Roman"/>
          <w:i/>
          <w:iCs/>
          <w:sz w:val="24"/>
          <w:szCs w:val="24"/>
          <w:lang w:val="en-US"/>
        </w:rPr>
        <w:t>Business &amp; Society 57, 335–</w:t>
      </w:r>
      <w:r>
        <w:rPr>
          <w:rFonts w:ascii="Times New Roman" w:hAnsi="Times New Roman"/>
          <w:i/>
          <w:iCs/>
          <w:sz w:val="24"/>
          <w:szCs w:val="24"/>
        </w:rPr>
        <w:t>377.</w:t>
      </w:r>
      <w:r>
        <w:rPr>
          <w:rFonts w:ascii="Times New Roman" w:hAnsi="Times New Roman"/>
          <w:sz w:val="24"/>
          <w:szCs w:val="24"/>
        </w:rPr>
        <w:t xml:space="preserve"> </w:t>
      </w:r>
    </w:p>
    <w:p w14:paraId="35531911" w14:textId="77777777" w:rsidR="00DC4459" w:rsidRDefault="00077D4E">
      <w:pPr>
        <w:pStyle w:val="Body"/>
        <w:rPr>
          <w:rFonts w:ascii="Times New Roman" w:eastAsia="Times New Roman" w:hAnsi="Times New Roman" w:cs="Times New Roman"/>
          <w:sz w:val="24"/>
          <w:szCs w:val="24"/>
        </w:rPr>
      </w:pPr>
      <w:proofErr w:type="spellStart"/>
      <w:r>
        <w:rPr>
          <w:rFonts w:ascii="Times New Roman" w:hAnsi="Times New Roman"/>
          <w:sz w:val="24"/>
          <w:szCs w:val="24"/>
        </w:rPr>
        <w:t>Albu</w:t>
      </w:r>
      <w:proofErr w:type="spellEnd"/>
      <w:r>
        <w:rPr>
          <w:rFonts w:ascii="Times New Roman" w:hAnsi="Times New Roman"/>
          <w:sz w:val="24"/>
          <w:szCs w:val="24"/>
        </w:rPr>
        <w:t xml:space="preserve">, C and </w:t>
      </w:r>
      <w:proofErr w:type="spellStart"/>
      <w:r>
        <w:rPr>
          <w:rFonts w:ascii="Times New Roman" w:hAnsi="Times New Roman"/>
          <w:sz w:val="24"/>
          <w:szCs w:val="24"/>
        </w:rPr>
        <w:t>Girbina</w:t>
      </w:r>
      <w:proofErr w:type="spellEnd"/>
      <w:r>
        <w:rPr>
          <w:rFonts w:ascii="Times New Roman" w:hAnsi="Times New Roman"/>
          <w:sz w:val="24"/>
          <w:szCs w:val="24"/>
        </w:rPr>
        <w:t xml:space="preserve">, M. M. (2015). </w:t>
      </w:r>
      <w:r>
        <w:rPr>
          <w:rFonts w:ascii="Times New Roman" w:hAnsi="Times New Roman"/>
          <w:i/>
          <w:iCs/>
          <w:sz w:val="24"/>
          <w:szCs w:val="24"/>
          <w:lang w:val="en-US"/>
        </w:rPr>
        <w:t>Compliance with corporate governance codes in emerging economies. How do Romanian listed companies “comply-or-explain”</w:t>
      </w:r>
      <w:r>
        <w:rPr>
          <w:rFonts w:ascii="Times New Roman" w:hAnsi="Times New Roman"/>
          <w:i/>
          <w:iCs/>
          <w:sz w:val="24"/>
          <w:szCs w:val="24"/>
          <w:lang w:val="pt-PT"/>
        </w:rPr>
        <w:t>?. Corporate Governance</w:t>
      </w:r>
      <w:r>
        <w:rPr>
          <w:rFonts w:ascii="Times New Roman" w:hAnsi="Times New Roman"/>
          <w:sz w:val="24"/>
          <w:szCs w:val="24"/>
          <w:lang w:val="en-US"/>
        </w:rPr>
        <w:t>: The international journal of business in society. Retrieved from: 15. 85-107. 10.1108/CG-07-2013-0095. 15/05/2021</w:t>
      </w:r>
    </w:p>
    <w:p w14:paraId="4FF5600A" w14:textId="77777777" w:rsidR="00DC4459" w:rsidRDefault="00077D4E">
      <w:pPr>
        <w:pStyle w:val="Body"/>
        <w:rPr>
          <w:rFonts w:ascii="Times New Roman" w:eastAsia="Times New Roman" w:hAnsi="Times New Roman" w:cs="Times New Roman"/>
          <w:i/>
          <w:iCs/>
          <w:sz w:val="24"/>
          <w:szCs w:val="24"/>
        </w:rPr>
      </w:pPr>
      <w:r>
        <w:rPr>
          <w:rFonts w:ascii="Times New Roman" w:hAnsi="Times New Roman"/>
          <w:sz w:val="24"/>
          <w:szCs w:val="24"/>
          <w:lang w:val="en-US"/>
        </w:rPr>
        <w:t>Al-</w:t>
      </w:r>
      <w:proofErr w:type="spellStart"/>
      <w:r>
        <w:rPr>
          <w:rFonts w:ascii="Times New Roman" w:hAnsi="Times New Roman"/>
          <w:sz w:val="24"/>
          <w:szCs w:val="24"/>
          <w:lang w:val="en-US"/>
        </w:rPr>
        <w:t>Janadi</w:t>
      </w:r>
      <w:proofErr w:type="spellEnd"/>
      <w:r>
        <w:rPr>
          <w:rFonts w:ascii="Times New Roman" w:hAnsi="Times New Roman"/>
          <w:sz w:val="24"/>
          <w:szCs w:val="24"/>
          <w:lang w:val="en-US"/>
        </w:rPr>
        <w:t xml:space="preserve">, Y., Rahman, R., Omar, N., 2013. Corporate Governance Mechanisms and Voluntary Disclosure in Saudi Arabia. </w:t>
      </w:r>
      <w:r>
        <w:rPr>
          <w:rFonts w:ascii="Times New Roman" w:hAnsi="Times New Roman"/>
          <w:i/>
          <w:iCs/>
          <w:sz w:val="24"/>
          <w:szCs w:val="24"/>
          <w:lang w:val="en-US"/>
        </w:rPr>
        <w:t>Research Journal of Finance and Accounting Vol.4, 25–</w:t>
      </w:r>
      <w:r>
        <w:rPr>
          <w:rFonts w:ascii="Times New Roman" w:hAnsi="Times New Roman"/>
          <w:i/>
          <w:iCs/>
          <w:sz w:val="24"/>
          <w:szCs w:val="24"/>
        </w:rPr>
        <w:t>35.</w:t>
      </w:r>
    </w:p>
    <w:p w14:paraId="137248AF" w14:textId="77777777" w:rsidR="00DC4459" w:rsidRDefault="00077D4E">
      <w:pPr>
        <w:pStyle w:val="Body"/>
        <w:rPr>
          <w:rStyle w:val="None"/>
          <w:rFonts w:ascii="Times New Roman" w:eastAsia="Times New Roman" w:hAnsi="Times New Roman" w:cs="Times New Roman"/>
          <w:sz w:val="24"/>
          <w:szCs w:val="24"/>
          <w:u w:val="single"/>
        </w:rPr>
      </w:pPr>
      <w:proofErr w:type="spellStart"/>
      <w:r>
        <w:rPr>
          <w:rFonts w:ascii="Times New Roman" w:hAnsi="Times New Roman"/>
          <w:sz w:val="24"/>
          <w:szCs w:val="24"/>
          <w:lang w:val="it-IT"/>
        </w:rPr>
        <w:t>Almaqtari</w:t>
      </w:r>
      <w:proofErr w:type="spellEnd"/>
      <w:r>
        <w:rPr>
          <w:rFonts w:ascii="Times New Roman" w:hAnsi="Times New Roman"/>
          <w:sz w:val="24"/>
          <w:szCs w:val="24"/>
          <w:lang w:val="it-IT"/>
        </w:rPr>
        <w:t>, F,  Al-</w:t>
      </w:r>
      <w:proofErr w:type="spellStart"/>
      <w:r>
        <w:rPr>
          <w:rFonts w:ascii="Times New Roman" w:hAnsi="Times New Roman"/>
          <w:sz w:val="24"/>
          <w:szCs w:val="24"/>
          <w:lang w:val="it-IT"/>
        </w:rPr>
        <w:t>Hattami</w:t>
      </w:r>
      <w:proofErr w:type="spellEnd"/>
      <w:r>
        <w:rPr>
          <w:rFonts w:ascii="Times New Roman" w:hAnsi="Times New Roman"/>
          <w:sz w:val="24"/>
          <w:szCs w:val="24"/>
          <w:lang w:val="it-IT"/>
        </w:rPr>
        <w:t>, H , Al-</w:t>
      </w:r>
      <w:proofErr w:type="spellStart"/>
      <w:r>
        <w:rPr>
          <w:rFonts w:ascii="Times New Roman" w:hAnsi="Times New Roman"/>
          <w:sz w:val="24"/>
          <w:szCs w:val="24"/>
          <w:lang w:val="it-IT"/>
        </w:rPr>
        <w:t>Nuzaili</w:t>
      </w:r>
      <w:proofErr w:type="spellEnd"/>
      <w:r>
        <w:rPr>
          <w:rFonts w:ascii="Times New Roman" w:hAnsi="Times New Roman"/>
          <w:sz w:val="24"/>
          <w:szCs w:val="24"/>
          <w:lang w:val="it-IT"/>
        </w:rPr>
        <w:t>, K and A. Al-</w:t>
      </w:r>
      <w:proofErr w:type="spellStart"/>
      <w:r>
        <w:rPr>
          <w:rFonts w:ascii="Times New Roman" w:hAnsi="Times New Roman"/>
          <w:sz w:val="24"/>
          <w:szCs w:val="24"/>
          <w:lang w:val="it-IT"/>
        </w:rPr>
        <w:t>Bukhrani</w:t>
      </w:r>
      <w:proofErr w:type="spellEnd"/>
      <w:r>
        <w:rPr>
          <w:rFonts w:ascii="Times New Roman" w:hAnsi="Times New Roman"/>
          <w:sz w:val="24"/>
          <w:szCs w:val="24"/>
          <w:lang w:val="it-IT"/>
        </w:rPr>
        <w:t xml:space="preserve">, M. (2020). </w:t>
      </w:r>
      <w:r>
        <w:rPr>
          <w:rFonts w:ascii="Times New Roman" w:hAnsi="Times New Roman"/>
          <w:i/>
          <w:iCs/>
          <w:sz w:val="24"/>
          <w:szCs w:val="24"/>
          <w:lang w:val="en-US"/>
        </w:rPr>
        <w:t>Corporate governance in India: A systematic review and synthesis for future research</w:t>
      </w:r>
      <w:r>
        <w:rPr>
          <w:rFonts w:ascii="Times New Roman" w:hAnsi="Times New Roman"/>
          <w:sz w:val="24"/>
          <w:szCs w:val="24"/>
          <w:lang w:val="en-US"/>
        </w:rPr>
        <w:t xml:space="preserve">. Cogent Business &amp; Management. 7.. </w:t>
      </w:r>
      <w:bookmarkStart w:id="103" w:name="_Hlk73386299"/>
      <w:r>
        <w:rPr>
          <w:rFonts w:ascii="Times New Roman" w:hAnsi="Times New Roman"/>
          <w:sz w:val="24"/>
          <w:szCs w:val="24"/>
          <w:lang w:val="en-US"/>
        </w:rPr>
        <w:t>Retrieved</w:t>
      </w:r>
      <w:bookmarkEnd w:id="103"/>
      <w:r>
        <w:rPr>
          <w:rFonts w:ascii="Times New Roman" w:hAnsi="Times New Roman"/>
          <w:sz w:val="24"/>
          <w:szCs w:val="24"/>
          <w:lang w:val="en-US"/>
        </w:rPr>
        <w:t xml:space="preserve"> from:</w:t>
      </w:r>
      <w:hyperlink r:id="rId12" w:history="1">
        <w:r>
          <w:rPr>
            <w:rStyle w:val="Hyperlink1"/>
            <w:rFonts w:eastAsia="Arial Unicode MS" w:cs="Arial Unicode MS"/>
            <w:lang w:val="en-US"/>
          </w:rPr>
          <w:t>https://www.researchgate.net/publication/343765849_Corporate_governance_in_India_A_systematic_review_and_synthesis_for_future_research/citation/download</w:t>
        </w:r>
      </w:hyperlink>
      <w:r>
        <w:rPr>
          <w:rStyle w:val="None"/>
          <w:rFonts w:ascii="Times New Roman" w:hAnsi="Times New Roman"/>
          <w:sz w:val="24"/>
          <w:szCs w:val="24"/>
        </w:rPr>
        <w:t>15/05/2021</w:t>
      </w:r>
      <w:bookmarkStart w:id="104" w:name="_Hlk73385944"/>
      <w:bookmarkEnd w:id="104"/>
    </w:p>
    <w:p w14:paraId="225B2E61"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en-US"/>
        </w:rPr>
        <w:t xml:space="preserve">Al-Najjar, B. and Ding, R., (2014) Product market competition and corporate governance disclosure: Evidence from the UK. </w:t>
      </w:r>
      <w:proofErr w:type="spellStart"/>
      <w:r>
        <w:rPr>
          <w:rStyle w:val="None"/>
          <w:rFonts w:ascii="Times New Roman" w:hAnsi="Times New Roman"/>
          <w:i/>
          <w:iCs/>
          <w:sz w:val="24"/>
          <w:szCs w:val="24"/>
          <w:lang w:val="fr-FR"/>
        </w:rPr>
        <w:t>Economic</w:t>
      </w:r>
      <w:proofErr w:type="spellEnd"/>
      <w:r>
        <w:rPr>
          <w:rStyle w:val="None"/>
          <w:rFonts w:ascii="Times New Roman" w:hAnsi="Times New Roman"/>
          <w:i/>
          <w:iCs/>
          <w:sz w:val="24"/>
          <w:szCs w:val="24"/>
          <w:lang w:val="fr-FR"/>
        </w:rPr>
        <w:t xml:space="preserve"> Issues 19, 73</w:t>
      </w:r>
      <w:r>
        <w:rPr>
          <w:rStyle w:val="None"/>
          <w:rFonts w:ascii="Times New Roman" w:hAnsi="Times New Roman"/>
          <w:i/>
          <w:iCs/>
          <w:sz w:val="24"/>
          <w:szCs w:val="24"/>
          <w:lang w:val="en-US"/>
        </w:rPr>
        <w:t>–</w:t>
      </w:r>
      <w:r>
        <w:rPr>
          <w:rStyle w:val="None"/>
          <w:rFonts w:ascii="Times New Roman" w:hAnsi="Times New Roman"/>
          <w:i/>
          <w:iCs/>
          <w:sz w:val="24"/>
          <w:szCs w:val="24"/>
        </w:rPr>
        <w:t>93</w:t>
      </w:r>
      <w:r>
        <w:rPr>
          <w:rStyle w:val="None"/>
          <w:rFonts w:ascii="Times New Roman" w:hAnsi="Times New Roman"/>
          <w:sz w:val="24"/>
          <w:szCs w:val="24"/>
        </w:rPr>
        <w:t>.</w:t>
      </w:r>
    </w:p>
    <w:p w14:paraId="1F0EF9AF" w14:textId="77777777" w:rsidR="00DC4459" w:rsidRDefault="00077D4E">
      <w:pPr>
        <w:pStyle w:val="Body"/>
        <w:jc w:val="both"/>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Amoako, G.K. and Goh, M.K. (2015) Corporate Governance Practices of State-Owned Enterprises in Ghana: An Analysis. </w:t>
      </w:r>
      <w:r>
        <w:rPr>
          <w:rStyle w:val="None"/>
          <w:rFonts w:ascii="Times New Roman" w:hAnsi="Times New Roman"/>
          <w:i/>
          <w:iCs/>
          <w:sz w:val="24"/>
          <w:szCs w:val="24"/>
          <w:lang w:val="en-US"/>
        </w:rPr>
        <w:t>IUP Journal of Corporate Governance 14, 44–</w:t>
      </w:r>
      <w:r>
        <w:rPr>
          <w:rStyle w:val="None"/>
          <w:rFonts w:ascii="Times New Roman" w:hAnsi="Times New Roman"/>
          <w:i/>
          <w:iCs/>
          <w:sz w:val="24"/>
          <w:szCs w:val="24"/>
        </w:rPr>
        <w:t>63.</w:t>
      </w:r>
    </w:p>
    <w:p w14:paraId="1C8D7C21" w14:textId="77777777" w:rsidR="00DC4459" w:rsidRDefault="00077D4E">
      <w:pPr>
        <w:pStyle w:val="Body"/>
        <w:rPr>
          <w:rStyle w:val="None"/>
          <w:rFonts w:ascii="Times New Roman" w:eastAsia="Times New Roman" w:hAnsi="Times New Roman" w:cs="Times New Roman"/>
          <w:sz w:val="24"/>
          <w:szCs w:val="24"/>
          <w:u w:val="single"/>
        </w:rPr>
      </w:pPr>
      <w:r>
        <w:rPr>
          <w:rStyle w:val="None"/>
          <w:rFonts w:ascii="Times New Roman" w:hAnsi="Times New Roman"/>
          <w:sz w:val="24"/>
          <w:szCs w:val="24"/>
          <w:lang w:val="pt-PT"/>
        </w:rPr>
        <w:t>Baixauli, J., Belda-Ruiz, M and S</w:t>
      </w:r>
      <w:r>
        <w:rPr>
          <w:rStyle w:val="None"/>
          <w:rFonts w:ascii="Times New Roman" w:hAnsi="Times New Roman"/>
          <w:sz w:val="24"/>
          <w:szCs w:val="24"/>
          <w:lang w:val="en-US"/>
        </w:rPr>
        <w:t>á</w:t>
      </w:r>
      <w:proofErr w:type="spellStart"/>
      <w:r>
        <w:rPr>
          <w:rStyle w:val="None"/>
          <w:rFonts w:ascii="Times New Roman" w:hAnsi="Times New Roman"/>
          <w:sz w:val="24"/>
          <w:szCs w:val="24"/>
          <w:lang w:val="fr-FR"/>
        </w:rPr>
        <w:t>nchez</w:t>
      </w:r>
      <w:proofErr w:type="spellEnd"/>
      <w:r>
        <w:rPr>
          <w:rStyle w:val="None"/>
          <w:rFonts w:ascii="Times New Roman" w:hAnsi="Times New Roman"/>
          <w:sz w:val="24"/>
          <w:szCs w:val="24"/>
          <w:lang w:val="fr-FR"/>
        </w:rPr>
        <w:t>-Mar</w:t>
      </w:r>
      <w:proofErr w:type="spellStart"/>
      <w:r>
        <w:rPr>
          <w:rStyle w:val="None"/>
          <w:rFonts w:ascii="Times New Roman" w:hAnsi="Times New Roman"/>
          <w:sz w:val="24"/>
          <w:szCs w:val="24"/>
          <w:lang w:val="en-US"/>
        </w:rPr>
        <w:t>ín</w:t>
      </w:r>
      <w:proofErr w:type="spellEnd"/>
      <w:r>
        <w:rPr>
          <w:rStyle w:val="None"/>
          <w:rFonts w:ascii="Times New Roman" w:hAnsi="Times New Roman"/>
          <w:sz w:val="24"/>
          <w:szCs w:val="24"/>
          <w:lang w:val="en-US"/>
        </w:rPr>
        <w:t xml:space="preserve">, G. (2015). Executive stock options, gender diversity in the top management team, and firm risk taking. Journal of Business Research. 28. 451-463. Retrieved from: </w:t>
      </w:r>
      <w:r>
        <w:rPr>
          <w:rStyle w:val="None"/>
          <w:rFonts w:ascii="Times New Roman" w:hAnsi="Times New Roman"/>
          <w:sz w:val="24"/>
          <w:szCs w:val="24"/>
          <w:u w:val="single"/>
        </w:rPr>
        <w:t>10.1016/j.jbusres.2014.06.003</w:t>
      </w:r>
      <w:r>
        <w:rPr>
          <w:rStyle w:val="None"/>
          <w:rFonts w:ascii="Times New Roman" w:hAnsi="Times New Roman"/>
          <w:sz w:val="24"/>
          <w:szCs w:val="24"/>
        </w:rPr>
        <w:t>. 15/05/2021</w:t>
      </w:r>
    </w:p>
    <w:p w14:paraId="7ADFB163" w14:textId="77777777" w:rsidR="00DC4459" w:rsidRDefault="00077D4E">
      <w:pPr>
        <w:pStyle w:val="Body"/>
        <w:jc w:val="both"/>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Barako, D.G., Hancock, P. and </w:t>
      </w:r>
      <w:proofErr w:type="spellStart"/>
      <w:r>
        <w:rPr>
          <w:rStyle w:val="None"/>
          <w:rFonts w:ascii="Times New Roman" w:hAnsi="Times New Roman"/>
          <w:sz w:val="24"/>
          <w:szCs w:val="24"/>
          <w:lang w:val="en-US"/>
        </w:rPr>
        <w:t>Izan</w:t>
      </w:r>
      <w:proofErr w:type="spellEnd"/>
      <w:r>
        <w:rPr>
          <w:rStyle w:val="None"/>
          <w:rFonts w:ascii="Times New Roman" w:hAnsi="Times New Roman"/>
          <w:sz w:val="24"/>
          <w:szCs w:val="24"/>
          <w:lang w:val="en-US"/>
        </w:rPr>
        <w:t xml:space="preserve">, H.Y., (2006) Factors Influencing Voluntary Corporate Disclosure by Kenyan Companies. Corporate Governance: </w:t>
      </w:r>
      <w:r>
        <w:rPr>
          <w:rStyle w:val="None"/>
          <w:rFonts w:ascii="Times New Roman" w:hAnsi="Times New Roman"/>
          <w:i/>
          <w:iCs/>
          <w:sz w:val="24"/>
          <w:szCs w:val="24"/>
          <w:lang w:val="en-US"/>
        </w:rPr>
        <w:t>An International Review 14, 107–</w:t>
      </w:r>
      <w:r>
        <w:rPr>
          <w:rStyle w:val="None"/>
          <w:rFonts w:ascii="Times New Roman" w:hAnsi="Times New Roman"/>
          <w:i/>
          <w:iCs/>
          <w:sz w:val="24"/>
          <w:szCs w:val="24"/>
        </w:rPr>
        <w:t xml:space="preserve">125. </w:t>
      </w:r>
    </w:p>
    <w:p w14:paraId="72A51407"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Bataineh</w:t>
      </w:r>
      <w:proofErr w:type="spellEnd"/>
      <w:r>
        <w:rPr>
          <w:rStyle w:val="None"/>
          <w:rFonts w:ascii="Times New Roman" w:hAnsi="Times New Roman"/>
          <w:sz w:val="24"/>
          <w:szCs w:val="24"/>
          <w:lang w:val="en-US"/>
        </w:rPr>
        <w:t xml:space="preserve">, H , Ullah, M and </w:t>
      </w:r>
      <w:proofErr w:type="spellStart"/>
      <w:r>
        <w:rPr>
          <w:rStyle w:val="None"/>
          <w:rFonts w:ascii="Times New Roman" w:hAnsi="Times New Roman"/>
          <w:sz w:val="24"/>
          <w:szCs w:val="24"/>
          <w:lang w:val="en-US"/>
        </w:rPr>
        <w:t>Wali</w:t>
      </w:r>
      <w:proofErr w:type="spellEnd"/>
      <w:r>
        <w:rPr>
          <w:rStyle w:val="None"/>
          <w:rFonts w:ascii="Times New Roman" w:hAnsi="Times New Roman"/>
          <w:sz w:val="24"/>
          <w:szCs w:val="24"/>
          <w:lang w:val="en-US"/>
        </w:rPr>
        <w:t xml:space="preserve">, S. S. (2021). </w:t>
      </w:r>
      <w:r>
        <w:rPr>
          <w:rStyle w:val="None"/>
          <w:rFonts w:ascii="Times New Roman" w:hAnsi="Times New Roman"/>
          <w:i/>
          <w:iCs/>
          <w:sz w:val="24"/>
          <w:szCs w:val="24"/>
          <w:lang w:val="en-US"/>
        </w:rPr>
        <w:t>The Nexus of Corporate Governance and Financial Performance: Evidence from London Stock Exchange. 2321-0613</w:t>
      </w:r>
      <w:r>
        <w:rPr>
          <w:rStyle w:val="None"/>
          <w:rFonts w:ascii="Times New Roman" w:hAnsi="Times New Roman"/>
          <w:sz w:val="24"/>
          <w:szCs w:val="24"/>
        </w:rPr>
        <w:t xml:space="preserve">. </w:t>
      </w:r>
      <w:bookmarkStart w:id="105" w:name="_Hlk73386023"/>
      <w:r>
        <w:rPr>
          <w:rStyle w:val="None"/>
          <w:rFonts w:ascii="Times New Roman" w:hAnsi="Times New Roman"/>
          <w:sz w:val="24"/>
          <w:szCs w:val="24"/>
          <w:lang w:val="en-US"/>
        </w:rPr>
        <w:t xml:space="preserve">Retrieved from: </w:t>
      </w:r>
      <w:bookmarkEnd w:id="105"/>
      <w:r>
        <w:rPr>
          <w:rStyle w:val="Hyperlink1"/>
          <w:rFonts w:eastAsia="Calibri"/>
        </w:rPr>
        <w:fldChar w:fldCharType="begin"/>
      </w:r>
      <w:r>
        <w:rPr>
          <w:rStyle w:val="Hyperlink1"/>
          <w:rFonts w:eastAsia="Calibri"/>
        </w:rPr>
        <w:instrText xml:space="preserve"> HYPERLINK "https://www.researchgate.net/publication/348394784_The_Nexus_of_Corporate_Governance_and_Financial_Performance_Evidence_from_London_Stock_Exchange/citation/download1"</w:instrText>
      </w:r>
      <w:r>
        <w:rPr>
          <w:rStyle w:val="Hyperlink1"/>
          <w:rFonts w:eastAsia="Calibri"/>
        </w:rPr>
        <w:fldChar w:fldCharType="separate"/>
      </w:r>
      <w:r>
        <w:rPr>
          <w:rStyle w:val="Hyperlink1"/>
          <w:rFonts w:eastAsia="Arial Unicode MS" w:cs="Arial Unicode MS"/>
          <w:lang w:val="en-US"/>
        </w:rPr>
        <w:t>https://www.researchgate.net/publication/348394784_The_Nexus_of_Corporate_Governance_and_Financial_Performance_Evidence_from_London_Stock_Exchange/citation/download1</w:t>
      </w:r>
      <w:r>
        <w:fldChar w:fldCharType="end"/>
      </w:r>
    </w:p>
    <w:p w14:paraId="41FE547E"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Chaganti</w:t>
      </w:r>
      <w:proofErr w:type="spellEnd"/>
      <w:r>
        <w:rPr>
          <w:rStyle w:val="None"/>
          <w:rFonts w:ascii="Times New Roman" w:hAnsi="Times New Roman"/>
          <w:sz w:val="24"/>
          <w:szCs w:val="24"/>
          <w:lang w:val="en-US"/>
        </w:rPr>
        <w:t xml:space="preserve">, R. S., </w:t>
      </w:r>
      <w:proofErr w:type="spellStart"/>
      <w:r>
        <w:rPr>
          <w:rStyle w:val="None"/>
          <w:rFonts w:ascii="Times New Roman" w:hAnsi="Times New Roman"/>
          <w:sz w:val="24"/>
          <w:szCs w:val="24"/>
          <w:lang w:val="en-US"/>
        </w:rPr>
        <w:t>Maharjan</w:t>
      </w:r>
      <w:proofErr w:type="spellEnd"/>
      <w:r>
        <w:rPr>
          <w:rStyle w:val="None"/>
          <w:rFonts w:ascii="Times New Roman" w:hAnsi="Times New Roman"/>
          <w:sz w:val="24"/>
          <w:szCs w:val="24"/>
          <w:lang w:val="en-US"/>
        </w:rPr>
        <w:t xml:space="preserve">, V., and Sharma, S. (2017). Corporate board size, composition and corporate failures retailing industries. </w:t>
      </w:r>
      <w:r>
        <w:rPr>
          <w:rStyle w:val="None"/>
          <w:rFonts w:ascii="Times New Roman" w:hAnsi="Times New Roman"/>
          <w:i/>
          <w:iCs/>
          <w:sz w:val="24"/>
          <w:szCs w:val="24"/>
          <w:lang w:val="en-US"/>
        </w:rPr>
        <w:t>Journal of Management Studies, 22(4), 400–</w:t>
      </w:r>
      <w:r>
        <w:rPr>
          <w:rStyle w:val="None"/>
          <w:rFonts w:ascii="Times New Roman" w:hAnsi="Times New Roman"/>
          <w:i/>
          <w:iCs/>
          <w:sz w:val="24"/>
          <w:szCs w:val="24"/>
        </w:rPr>
        <w:t>417</w:t>
      </w:r>
      <w:r>
        <w:rPr>
          <w:rStyle w:val="None"/>
          <w:rFonts w:ascii="Times New Roman" w:hAnsi="Times New Roman"/>
          <w:sz w:val="24"/>
          <w:szCs w:val="24"/>
        </w:rPr>
        <w:t>.</w:t>
      </w:r>
    </w:p>
    <w:p w14:paraId="54FC3AAB" w14:textId="77777777" w:rsidR="00DC4459" w:rsidRDefault="00077D4E">
      <w:pPr>
        <w:pStyle w:val="Body"/>
        <w:jc w:val="both"/>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Charumathi</w:t>
      </w:r>
      <w:proofErr w:type="spellEnd"/>
      <w:r>
        <w:rPr>
          <w:rStyle w:val="None"/>
          <w:rFonts w:ascii="Times New Roman" w:hAnsi="Times New Roman"/>
          <w:sz w:val="24"/>
          <w:szCs w:val="24"/>
          <w:lang w:val="en-US"/>
        </w:rPr>
        <w:t xml:space="preserve">, B., Ramesh, L., (2020) Impact of Voluntary Disclosure on Valuation of Firms: Evidence from Indian Companies. </w:t>
      </w:r>
      <w:r>
        <w:rPr>
          <w:rStyle w:val="None"/>
          <w:rFonts w:ascii="Times New Roman" w:hAnsi="Times New Roman"/>
          <w:i/>
          <w:iCs/>
          <w:sz w:val="24"/>
          <w:szCs w:val="24"/>
          <w:lang w:val="fr-FR"/>
        </w:rPr>
        <w:t>Vision 24, 194</w:t>
      </w:r>
      <w:r>
        <w:rPr>
          <w:rStyle w:val="None"/>
          <w:rFonts w:ascii="Times New Roman" w:hAnsi="Times New Roman"/>
          <w:i/>
          <w:iCs/>
          <w:sz w:val="24"/>
          <w:szCs w:val="24"/>
          <w:lang w:val="en-US"/>
        </w:rPr>
        <w:t>–</w:t>
      </w:r>
      <w:r>
        <w:rPr>
          <w:rStyle w:val="None"/>
          <w:rFonts w:ascii="Times New Roman" w:hAnsi="Times New Roman"/>
          <w:i/>
          <w:iCs/>
          <w:sz w:val="24"/>
          <w:szCs w:val="24"/>
        </w:rPr>
        <w:t>203.</w:t>
      </w:r>
      <w:r>
        <w:rPr>
          <w:rStyle w:val="None"/>
          <w:rFonts w:ascii="Times New Roman" w:hAnsi="Times New Roman"/>
          <w:sz w:val="24"/>
          <w:szCs w:val="24"/>
        </w:rPr>
        <w:t xml:space="preserve"> </w:t>
      </w:r>
    </w:p>
    <w:p w14:paraId="6B63843D"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rPr>
        <w:t xml:space="preserve">. </w:t>
      </w:r>
    </w:p>
    <w:p w14:paraId="63D51B5C" w14:textId="77777777" w:rsidR="00DC4459" w:rsidRDefault="00077D4E">
      <w:pPr>
        <w:pStyle w:val="Body"/>
        <w:jc w:val="both"/>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lastRenderedPageBreak/>
        <w:t>Conyon</w:t>
      </w:r>
      <w:proofErr w:type="spellEnd"/>
      <w:r>
        <w:rPr>
          <w:rStyle w:val="None"/>
          <w:rFonts w:ascii="Times New Roman" w:hAnsi="Times New Roman"/>
          <w:sz w:val="24"/>
          <w:szCs w:val="24"/>
          <w:lang w:val="en-US"/>
        </w:rPr>
        <w:t>, M.J., (2001) The Disclosure of UK Boardroom Pay: the March 2001 DTI proposals. Corporate Governance</w:t>
      </w:r>
      <w:r>
        <w:rPr>
          <w:rStyle w:val="None"/>
          <w:rFonts w:ascii="Times New Roman" w:hAnsi="Times New Roman"/>
          <w:i/>
          <w:iCs/>
          <w:sz w:val="24"/>
          <w:szCs w:val="24"/>
          <w:lang w:val="en-US"/>
        </w:rPr>
        <w:t xml:space="preserve">: An International Review 9, 276. </w:t>
      </w:r>
    </w:p>
    <w:p w14:paraId="0187745D" w14:textId="77777777" w:rsidR="00DC4459" w:rsidRDefault="00077D4E">
      <w:pPr>
        <w:pStyle w:val="Body"/>
        <w:jc w:val="both"/>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Coombes, P and Watson, M. (2001) Corporate reform in the developing world. </w:t>
      </w:r>
      <w:r>
        <w:rPr>
          <w:rStyle w:val="None"/>
          <w:rFonts w:ascii="Times New Roman" w:hAnsi="Times New Roman"/>
          <w:i/>
          <w:iCs/>
          <w:sz w:val="24"/>
          <w:szCs w:val="24"/>
          <w:lang w:val="en-US"/>
        </w:rPr>
        <w:t>McKinsey Quarterly 89–</w:t>
      </w:r>
      <w:r>
        <w:rPr>
          <w:rStyle w:val="None"/>
          <w:rFonts w:ascii="Times New Roman" w:hAnsi="Times New Roman"/>
          <w:i/>
          <w:iCs/>
          <w:sz w:val="24"/>
          <w:szCs w:val="24"/>
        </w:rPr>
        <w:t>92.</w:t>
      </w:r>
    </w:p>
    <w:p w14:paraId="4487C264"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da-DK"/>
        </w:rPr>
        <w:t xml:space="preserve">Cooper DR, Schindler PS (2013). </w:t>
      </w:r>
      <w:r>
        <w:rPr>
          <w:rStyle w:val="None"/>
          <w:rFonts w:ascii="Times New Roman" w:hAnsi="Times New Roman"/>
          <w:i/>
          <w:iCs/>
          <w:sz w:val="24"/>
          <w:szCs w:val="24"/>
          <w:lang w:val="en-US"/>
        </w:rPr>
        <w:t>Business Research Method</w:t>
      </w:r>
      <w:r>
        <w:rPr>
          <w:rStyle w:val="None"/>
          <w:rFonts w:ascii="Times New Roman" w:hAnsi="Times New Roman"/>
          <w:sz w:val="24"/>
          <w:szCs w:val="24"/>
          <w:lang w:val="en-US"/>
        </w:rPr>
        <w:t>. 12th ed. Boston: McGraw-Hill Education.</w:t>
      </w:r>
    </w:p>
    <w:p w14:paraId="27394F6C" w14:textId="77777777" w:rsidR="00DC4459" w:rsidRDefault="00077D4E">
      <w:pPr>
        <w:pStyle w:val="Body"/>
        <w:jc w:val="both"/>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de-DE"/>
        </w:rPr>
        <w:t>Creswell</w:t>
      </w:r>
      <w:proofErr w:type="spellEnd"/>
      <w:r>
        <w:rPr>
          <w:rStyle w:val="None"/>
          <w:rFonts w:ascii="Times New Roman" w:hAnsi="Times New Roman"/>
          <w:sz w:val="24"/>
          <w:szCs w:val="24"/>
          <w:lang w:val="de-DE"/>
        </w:rPr>
        <w:t xml:space="preserve"> JW (2013). </w:t>
      </w:r>
      <w:r>
        <w:rPr>
          <w:rStyle w:val="None"/>
          <w:rFonts w:ascii="Times New Roman" w:hAnsi="Times New Roman"/>
          <w:i/>
          <w:iCs/>
          <w:sz w:val="24"/>
          <w:szCs w:val="24"/>
          <w:lang w:val="en-US"/>
        </w:rPr>
        <w:t>Qualitative Inquiry and Research Design: Choosing Among Five Approaches</w:t>
      </w:r>
      <w:r>
        <w:rPr>
          <w:rStyle w:val="None"/>
          <w:rFonts w:ascii="Times New Roman" w:hAnsi="Times New Roman"/>
          <w:sz w:val="24"/>
          <w:szCs w:val="24"/>
          <w:lang w:val="en-US"/>
        </w:rPr>
        <w:t>. 2nd ed. Thousand Oaks: SAGE Publications; 2013</w:t>
      </w:r>
    </w:p>
    <w:p w14:paraId="5CA8A00C" w14:textId="77777777" w:rsidR="00DC4459" w:rsidRDefault="00077D4E">
      <w:pPr>
        <w:pStyle w:val="Body"/>
        <w:rPr>
          <w:rStyle w:val="Hyperlink1"/>
          <w:rFonts w:eastAsia="Calibri"/>
        </w:rPr>
      </w:pPr>
      <w:proofErr w:type="spellStart"/>
      <w:r>
        <w:rPr>
          <w:rStyle w:val="None"/>
          <w:rFonts w:ascii="Times New Roman" w:hAnsi="Times New Roman"/>
          <w:sz w:val="24"/>
          <w:szCs w:val="24"/>
        </w:rPr>
        <w:t>Danescu</w:t>
      </w:r>
      <w:proofErr w:type="spellEnd"/>
      <w:r>
        <w:rPr>
          <w:rStyle w:val="None"/>
          <w:rFonts w:ascii="Times New Roman" w:hAnsi="Times New Roman"/>
          <w:sz w:val="24"/>
          <w:szCs w:val="24"/>
        </w:rPr>
        <w:t xml:space="preserve">, T and Popa, M-A. (2020). </w:t>
      </w:r>
      <w:r>
        <w:rPr>
          <w:rStyle w:val="None"/>
          <w:rFonts w:ascii="Times New Roman" w:hAnsi="Times New Roman"/>
          <w:i/>
          <w:iCs/>
          <w:sz w:val="24"/>
          <w:szCs w:val="24"/>
          <w:lang w:val="en-US"/>
        </w:rPr>
        <w:t>Consistency of corporate governance statements with the Corporate Governance Code provisions. The case of Romanian oil market</w:t>
      </w:r>
      <w:r>
        <w:rPr>
          <w:rStyle w:val="None"/>
          <w:rFonts w:ascii="Times New Roman" w:hAnsi="Times New Roman"/>
          <w:sz w:val="24"/>
          <w:szCs w:val="24"/>
          <w:lang w:val="en-US"/>
        </w:rPr>
        <w:t xml:space="preserve">. 10.2478/amso-2020-0007. Retrieved from: </w:t>
      </w:r>
      <w:hyperlink r:id="rId13" w:history="1">
        <w:r>
          <w:rPr>
            <w:rStyle w:val="Hyperlink1"/>
            <w:rFonts w:eastAsia="Arial Unicode MS" w:cs="Arial Unicode MS"/>
            <w:lang w:val="en-US"/>
          </w:rPr>
          <w:t>https://www.researchgate.net/publication/349723288_Consistency_of_corporate_governance_statements_with_the_Corporate_Governance_Code_provisions_The_case_of_Romanian_oil_market/citation/download1</w:t>
        </w:r>
      </w:hyperlink>
      <w:r>
        <w:rPr>
          <w:rStyle w:val="None"/>
          <w:rFonts w:ascii="Times New Roman" w:hAnsi="Times New Roman"/>
          <w:sz w:val="24"/>
          <w:szCs w:val="24"/>
        </w:rPr>
        <w:t xml:space="preserve"> 5/05/2021</w:t>
      </w:r>
    </w:p>
    <w:p w14:paraId="4C10E6F1"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en-US"/>
        </w:rPr>
        <w:t>Davies, P.L., (2001) The Board of Directors: Composition, Structure, Duties and Powers 29.</w:t>
      </w:r>
    </w:p>
    <w:p w14:paraId="3F788BAF"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Deb, S., and Dube, I., 2017. Corporate Governance Disclosure for Complex Ownership Structure in India. </w:t>
      </w:r>
      <w:r>
        <w:rPr>
          <w:rStyle w:val="None"/>
          <w:rFonts w:ascii="Times New Roman" w:hAnsi="Times New Roman"/>
          <w:i/>
          <w:iCs/>
          <w:sz w:val="24"/>
          <w:szCs w:val="24"/>
          <w:lang w:val="en-US"/>
        </w:rPr>
        <w:t>Indian Journal of Corporate Governance 10, 143–</w:t>
      </w:r>
      <w:r>
        <w:rPr>
          <w:rStyle w:val="None"/>
          <w:rFonts w:ascii="Times New Roman" w:hAnsi="Times New Roman"/>
          <w:i/>
          <w:iCs/>
          <w:sz w:val="24"/>
          <w:szCs w:val="24"/>
        </w:rPr>
        <w:t xml:space="preserve">175. </w:t>
      </w:r>
    </w:p>
    <w:p w14:paraId="0E939424"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Donnelly, R. and Mulcahy, M., 2008. Board Structure, Ownership, and Voluntary Disclosure in Ireland. Corporate Governance: </w:t>
      </w:r>
      <w:r>
        <w:rPr>
          <w:rStyle w:val="None"/>
          <w:rFonts w:ascii="Times New Roman" w:hAnsi="Times New Roman"/>
          <w:i/>
          <w:iCs/>
          <w:sz w:val="24"/>
          <w:szCs w:val="24"/>
          <w:lang w:val="en-US"/>
        </w:rPr>
        <w:t>An International Review 16, 416–</w:t>
      </w:r>
      <w:r>
        <w:rPr>
          <w:rStyle w:val="None"/>
          <w:rFonts w:ascii="Times New Roman" w:hAnsi="Times New Roman"/>
          <w:i/>
          <w:iCs/>
          <w:sz w:val="24"/>
          <w:szCs w:val="24"/>
        </w:rPr>
        <w:t xml:space="preserve">429. </w:t>
      </w:r>
    </w:p>
    <w:p w14:paraId="4EA6DB34" w14:textId="77777777" w:rsidR="00DC4459" w:rsidRDefault="00077D4E">
      <w:pPr>
        <w:pStyle w:val="Body"/>
        <w:jc w:val="both"/>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t>Elshandidy</w:t>
      </w:r>
      <w:proofErr w:type="spellEnd"/>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T.and</w:t>
      </w:r>
      <w:proofErr w:type="spellEnd"/>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Neri</w:t>
      </w:r>
      <w:proofErr w:type="spellEnd"/>
      <w:r>
        <w:rPr>
          <w:rStyle w:val="None"/>
          <w:rFonts w:ascii="Times New Roman" w:hAnsi="Times New Roman"/>
          <w:sz w:val="24"/>
          <w:szCs w:val="24"/>
          <w:lang w:val="en-US"/>
        </w:rPr>
        <w:t xml:space="preserve">, L., (2015) Corporate Governance, Risk Disclosure Practices, and Market Liquidity: Comparative Evidence from the UK and Italy. </w:t>
      </w:r>
      <w:r>
        <w:rPr>
          <w:rStyle w:val="None"/>
          <w:rFonts w:ascii="Times New Roman" w:hAnsi="Times New Roman"/>
          <w:i/>
          <w:iCs/>
          <w:sz w:val="24"/>
          <w:szCs w:val="24"/>
          <w:lang w:val="en-US"/>
        </w:rPr>
        <w:t>Corporate Governance: An International Review 23, 331–</w:t>
      </w:r>
      <w:r>
        <w:rPr>
          <w:rStyle w:val="None"/>
          <w:rFonts w:ascii="Times New Roman" w:hAnsi="Times New Roman"/>
          <w:i/>
          <w:iCs/>
          <w:sz w:val="24"/>
          <w:szCs w:val="24"/>
        </w:rPr>
        <w:t xml:space="preserve">356. </w:t>
      </w:r>
    </w:p>
    <w:p w14:paraId="72344795" w14:textId="77777777" w:rsidR="00DC4459" w:rsidRDefault="00077D4E">
      <w:pPr>
        <w:pStyle w:val="Body"/>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t>Fama</w:t>
      </w:r>
      <w:proofErr w:type="spellEnd"/>
      <w:r>
        <w:rPr>
          <w:rStyle w:val="None"/>
          <w:rFonts w:ascii="Times New Roman" w:hAnsi="Times New Roman"/>
          <w:sz w:val="24"/>
          <w:szCs w:val="24"/>
          <w:lang w:val="en-US"/>
        </w:rPr>
        <w:t xml:space="preserve">, E.F., and Jensen, M.C. (2017). Separation of ownership and control, </w:t>
      </w:r>
      <w:r>
        <w:rPr>
          <w:rStyle w:val="None"/>
          <w:rFonts w:ascii="Times New Roman" w:hAnsi="Times New Roman"/>
          <w:i/>
          <w:iCs/>
          <w:sz w:val="24"/>
          <w:szCs w:val="24"/>
          <w:lang w:val="en-US"/>
        </w:rPr>
        <w:t>The Journal of Law and Economics, 26, (2): 301-325.</w:t>
      </w:r>
    </w:p>
    <w:p w14:paraId="5AAB1C55"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s-ES_tradnl"/>
        </w:rPr>
        <w:t>Garc</w:t>
      </w:r>
      <w:proofErr w:type="spellEnd"/>
      <w:r>
        <w:rPr>
          <w:rStyle w:val="None"/>
          <w:rFonts w:ascii="Times New Roman" w:hAnsi="Times New Roman"/>
          <w:sz w:val="24"/>
          <w:szCs w:val="24"/>
          <w:lang w:val="en-US"/>
        </w:rPr>
        <w:t>í</w:t>
      </w:r>
      <w:r>
        <w:rPr>
          <w:rStyle w:val="None"/>
          <w:rFonts w:ascii="Times New Roman" w:hAnsi="Times New Roman"/>
          <w:sz w:val="24"/>
          <w:szCs w:val="24"/>
          <w:lang w:val="de-DE"/>
        </w:rPr>
        <w:t>a-</w:t>
      </w:r>
      <w:proofErr w:type="spellStart"/>
      <w:r>
        <w:rPr>
          <w:rStyle w:val="None"/>
          <w:rFonts w:ascii="Times New Roman" w:hAnsi="Times New Roman"/>
          <w:sz w:val="24"/>
          <w:szCs w:val="24"/>
          <w:lang w:val="de-DE"/>
        </w:rPr>
        <w:t>Meca</w:t>
      </w:r>
      <w:proofErr w:type="spellEnd"/>
      <w:r>
        <w:rPr>
          <w:rStyle w:val="None"/>
          <w:rFonts w:ascii="Times New Roman" w:hAnsi="Times New Roman"/>
          <w:sz w:val="24"/>
          <w:szCs w:val="24"/>
          <w:lang w:val="de-DE"/>
        </w:rPr>
        <w:t>, E,  Mart</w:t>
      </w:r>
      <w:proofErr w:type="spellStart"/>
      <w:r>
        <w:rPr>
          <w:rStyle w:val="None"/>
          <w:rFonts w:ascii="Times New Roman" w:hAnsi="Times New Roman"/>
          <w:sz w:val="24"/>
          <w:szCs w:val="24"/>
          <w:lang w:val="en-US"/>
        </w:rPr>
        <w:t>ínez</w:t>
      </w:r>
      <w:proofErr w:type="spellEnd"/>
      <w:r>
        <w:rPr>
          <w:rStyle w:val="None"/>
          <w:rFonts w:ascii="Times New Roman" w:hAnsi="Times New Roman"/>
          <w:sz w:val="24"/>
          <w:szCs w:val="24"/>
          <w:lang w:val="en-US"/>
        </w:rPr>
        <w:t xml:space="preserve">-Ferrero, J and Sánchez, I. (2015). Board diversity and its effects on bank performance: An international analysis. </w:t>
      </w:r>
      <w:r>
        <w:rPr>
          <w:rStyle w:val="None"/>
          <w:rFonts w:ascii="Times New Roman" w:hAnsi="Times New Roman"/>
          <w:i/>
          <w:iCs/>
          <w:sz w:val="24"/>
          <w:szCs w:val="24"/>
          <w:lang w:val="en-US"/>
        </w:rPr>
        <w:t>Journal of Banking &amp; Finance. 53. 202-214..</w:t>
      </w:r>
    </w:p>
    <w:p w14:paraId="716AD6CC" w14:textId="77777777" w:rsidR="00DC4459" w:rsidRDefault="00077D4E">
      <w:pPr>
        <w:pStyle w:val="Body"/>
        <w:jc w:val="both"/>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Garg, A.K., (2007) Influence of Board Size and Independence on Firm Performance: </w:t>
      </w:r>
      <w:r>
        <w:rPr>
          <w:rStyle w:val="None"/>
          <w:rFonts w:ascii="Times New Roman" w:hAnsi="Times New Roman"/>
          <w:i/>
          <w:iCs/>
          <w:sz w:val="24"/>
          <w:szCs w:val="24"/>
          <w:lang w:val="en-US"/>
        </w:rPr>
        <w:t xml:space="preserve">A Study of Indian Companies. </w:t>
      </w:r>
      <w:proofErr w:type="spellStart"/>
      <w:r>
        <w:rPr>
          <w:rStyle w:val="None"/>
          <w:rFonts w:ascii="Times New Roman" w:hAnsi="Times New Roman"/>
          <w:i/>
          <w:iCs/>
          <w:sz w:val="24"/>
          <w:szCs w:val="24"/>
          <w:lang w:val="en-US"/>
        </w:rPr>
        <w:t>Vikalpa</w:t>
      </w:r>
      <w:proofErr w:type="spellEnd"/>
      <w:r>
        <w:rPr>
          <w:rStyle w:val="None"/>
          <w:rFonts w:ascii="Times New Roman" w:hAnsi="Times New Roman"/>
          <w:i/>
          <w:iCs/>
          <w:sz w:val="24"/>
          <w:szCs w:val="24"/>
          <w:lang w:val="en-US"/>
        </w:rPr>
        <w:t xml:space="preserve"> 32, 39–</w:t>
      </w:r>
      <w:r>
        <w:rPr>
          <w:rStyle w:val="None"/>
          <w:rFonts w:ascii="Times New Roman" w:hAnsi="Times New Roman"/>
          <w:i/>
          <w:iCs/>
          <w:sz w:val="24"/>
          <w:szCs w:val="24"/>
        </w:rPr>
        <w:t xml:space="preserve">60. </w:t>
      </w:r>
    </w:p>
    <w:p w14:paraId="2ABF3BDC"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Girma</w:t>
      </w:r>
      <w:proofErr w:type="spellEnd"/>
      <w:r>
        <w:rPr>
          <w:rStyle w:val="None"/>
          <w:rFonts w:ascii="Times New Roman" w:hAnsi="Times New Roman"/>
          <w:sz w:val="24"/>
          <w:szCs w:val="24"/>
          <w:lang w:val="en-US"/>
        </w:rPr>
        <w:t xml:space="preserve">, S., Thompson, S. and Wright, P.W., (2007) Corporate Governance Reforms and Executive Compensation Determination: Evidence from the </w:t>
      </w:r>
      <w:proofErr w:type="spellStart"/>
      <w:r>
        <w:rPr>
          <w:rStyle w:val="None"/>
          <w:rFonts w:ascii="Times New Roman" w:hAnsi="Times New Roman"/>
          <w:sz w:val="24"/>
          <w:szCs w:val="24"/>
          <w:lang w:val="en-US"/>
        </w:rPr>
        <w:t>Uk</w:t>
      </w:r>
      <w:proofErr w:type="spellEnd"/>
      <w:r>
        <w:rPr>
          <w:rStyle w:val="None"/>
          <w:rFonts w:ascii="Times New Roman" w:hAnsi="Times New Roman"/>
          <w:sz w:val="24"/>
          <w:szCs w:val="24"/>
          <w:lang w:val="en-US"/>
        </w:rPr>
        <w:t>. Manchester School (1463-6786) 75, 65–</w:t>
      </w:r>
      <w:r>
        <w:rPr>
          <w:rStyle w:val="None"/>
          <w:rFonts w:ascii="Times New Roman" w:hAnsi="Times New Roman"/>
          <w:sz w:val="24"/>
          <w:szCs w:val="24"/>
        </w:rPr>
        <w:t xml:space="preserve">81. </w:t>
      </w:r>
      <w:r>
        <w:rPr>
          <w:rStyle w:val="None"/>
          <w:rFonts w:ascii="Times New Roman" w:hAnsi="Times New Roman"/>
          <w:sz w:val="24"/>
          <w:szCs w:val="24"/>
          <w:lang w:val="en-US"/>
        </w:rPr>
        <w:t xml:space="preserve">Retrieved from: </w:t>
      </w:r>
      <w:hyperlink r:id="rId14" w:history="1">
        <w:r>
          <w:rPr>
            <w:rStyle w:val="Hyperlink1"/>
            <w:rFonts w:eastAsia="Arial Unicode MS" w:cs="Arial Unicode MS"/>
          </w:rPr>
          <w:t>https://doi.org/10.1111/j.1467-9957.2007.01003.x</w:t>
        </w:r>
      </w:hyperlink>
      <w:r>
        <w:rPr>
          <w:rStyle w:val="None"/>
          <w:rFonts w:ascii="Times New Roman" w:hAnsi="Times New Roman"/>
          <w:sz w:val="24"/>
          <w:szCs w:val="24"/>
          <w:lang w:val="en-US"/>
        </w:rPr>
        <w:t xml:space="preserve"> retrieved on: 5/05/2021</w:t>
      </w:r>
    </w:p>
    <w:p w14:paraId="05682232"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Guest, P. (2019). Does Board Ethnic Diversity Impact Board Monitoring Outcomes?. </w:t>
      </w:r>
      <w:r>
        <w:rPr>
          <w:rStyle w:val="None"/>
          <w:rFonts w:ascii="Times New Roman" w:hAnsi="Times New Roman"/>
          <w:i/>
          <w:iCs/>
          <w:sz w:val="24"/>
          <w:szCs w:val="24"/>
          <w:lang w:val="en-US"/>
        </w:rPr>
        <w:t xml:space="preserve">British Journal of Management. 30. 53-74. </w:t>
      </w:r>
    </w:p>
    <w:p w14:paraId="06F47F48"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Herath, S. and </w:t>
      </w:r>
      <w:proofErr w:type="spellStart"/>
      <w:r>
        <w:rPr>
          <w:rStyle w:val="None"/>
          <w:rFonts w:ascii="Times New Roman" w:hAnsi="Times New Roman"/>
          <w:sz w:val="24"/>
          <w:szCs w:val="24"/>
          <w:lang w:val="en-US"/>
        </w:rPr>
        <w:t>Altamimi</w:t>
      </w:r>
      <w:proofErr w:type="spellEnd"/>
      <w:r>
        <w:rPr>
          <w:rStyle w:val="None"/>
          <w:rFonts w:ascii="Times New Roman" w:hAnsi="Times New Roman"/>
          <w:sz w:val="24"/>
          <w:szCs w:val="24"/>
          <w:lang w:val="en-US"/>
        </w:rPr>
        <w:t xml:space="preserve">, S., 2017. Corporate Governance and Voluntary Disclosure: A Literature Review. </w:t>
      </w:r>
      <w:r>
        <w:rPr>
          <w:rStyle w:val="None"/>
          <w:rFonts w:ascii="Times New Roman" w:hAnsi="Times New Roman"/>
          <w:i/>
          <w:iCs/>
          <w:sz w:val="24"/>
          <w:szCs w:val="24"/>
          <w:lang w:val="en-US"/>
        </w:rPr>
        <w:t>American International Journal of Humanities and Social Science 3, 34–</w:t>
      </w:r>
      <w:r>
        <w:rPr>
          <w:rStyle w:val="None"/>
          <w:rFonts w:ascii="Times New Roman" w:hAnsi="Times New Roman"/>
          <w:i/>
          <w:iCs/>
          <w:sz w:val="24"/>
          <w:szCs w:val="24"/>
        </w:rPr>
        <w:t>45.</w:t>
      </w:r>
    </w:p>
    <w:p w14:paraId="6CC39996" w14:textId="77777777" w:rsidR="00DC4459" w:rsidRDefault="00077D4E">
      <w:pPr>
        <w:pStyle w:val="Body"/>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lastRenderedPageBreak/>
        <w:t>Hermalin</w:t>
      </w:r>
      <w:proofErr w:type="spellEnd"/>
      <w:r>
        <w:rPr>
          <w:rStyle w:val="None"/>
          <w:rFonts w:ascii="Times New Roman" w:hAnsi="Times New Roman"/>
          <w:sz w:val="24"/>
          <w:szCs w:val="24"/>
          <w:lang w:val="en-US"/>
        </w:rPr>
        <w:t xml:space="preserve">, B. E., and </w:t>
      </w:r>
      <w:proofErr w:type="spellStart"/>
      <w:r>
        <w:rPr>
          <w:rStyle w:val="None"/>
          <w:rFonts w:ascii="Times New Roman" w:hAnsi="Times New Roman"/>
          <w:sz w:val="24"/>
          <w:szCs w:val="24"/>
          <w:lang w:val="en-US"/>
        </w:rPr>
        <w:t>Weisbach</w:t>
      </w:r>
      <w:proofErr w:type="spellEnd"/>
      <w:r>
        <w:rPr>
          <w:rStyle w:val="None"/>
          <w:rFonts w:ascii="Times New Roman" w:hAnsi="Times New Roman"/>
          <w:sz w:val="24"/>
          <w:szCs w:val="24"/>
          <w:lang w:val="en-US"/>
        </w:rPr>
        <w:t xml:space="preserve">, M. S. (2014). The determinants of board composition. </w:t>
      </w:r>
      <w:r>
        <w:rPr>
          <w:rStyle w:val="None"/>
          <w:rFonts w:ascii="Times New Roman" w:hAnsi="Times New Roman"/>
          <w:i/>
          <w:iCs/>
          <w:sz w:val="24"/>
          <w:szCs w:val="24"/>
          <w:lang w:val="en-US"/>
        </w:rPr>
        <w:t>RAND Journal of Economics, 19(4), 589–</w:t>
      </w:r>
      <w:r>
        <w:rPr>
          <w:rStyle w:val="None"/>
          <w:rFonts w:ascii="Times New Roman" w:hAnsi="Times New Roman"/>
          <w:i/>
          <w:iCs/>
          <w:sz w:val="24"/>
          <w:szCs w:val="24"/>
        </w:rPr>
        <w:t>606.</w:t>
      </w:r>
    </w:p>
    <w:p w14:paraId="26E804AF" w14:textId="77777777" w:rsidR="00DC4459" w:rsidRDefault="00077D4E">
      <w:pPr>
        <w:pStyle w:val="Body"/>
        <w:jc w:val="both"/>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Hillier, D and McColgan, P. (2006) An Analysis of Changes in Board Structure during Corporate Governance Reforms. </w:t>
      </w:r>
      <w:r>
        <w:rPr>
          <w:rStyle w:val="None"/>
          <w:rFonts w:ascii="Times New Roman" w:hAnsi="Times New Roman"/>
          <w:i/>
          <w:iCs/>
          <w:sz w:val="24"/>
          <w:szCs w:val="24"/>
          <w:lang w:val="en-US"/>
        </w:rPr>
        <w:t>European Financial Management 12, 575–</w:t>
      </w:r>
      <w:r>
        <w:rPr>
          <w:rStyle w:val="None"/>
          <w:rFonts w:ascii="Times New Roman" w:hAnsi="Times New Roman"/>
          <w:i/>
          <w:iCs/>
          <w:sz w:val="24"/>
          <w:szCs w:val="24"/>
        </w:rPr>
        <w:t xml:space="preserve">607. </w:t>
      </w:r>
    </w:p>
    <w:p w14:paraId="2E086459"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Hillman, A. J., and Dalziel, T. (2015). Boards of directors and firm performance: Integrating agency and resource dependency perspectives. </w:t>
      </w:r>
      <w:r>
        <w:rPr>
          <w:rStyle w:val="None"/>
          <w:rFonts w:ascii="Times New Roman" w:hAnsi="Times New Roman"/>
          <w:i/>
          <w:iCs/>
          <w:sz w:val="24"/>
          <w:szCs w:val="24"/>
          <w:lang w:val="en-US"/>
        </w:rPr>
        <w:t>Academy of Management Review, 28(3), 383–</w:t>
      </w:r>
      <w:r>
        <w:rPr>
          <w:rStyle w:val="None"/>
          <w:rFonts w:ascii="Times New Roman" w:hAnsi="Times New Roman"/>
          <w:i/>
          <w:iCs/>
          <w:sz w:val="24"/>
          <w:szCs w:val="24"/>
        </w:rPr>
        <w:t>396.</w:t>
      </w:r>
    </w:p>
    <w:p w14:paraId="12FE7BB5"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Ibrahim, Q., Rehman, R. U, and </w:t>
      </w:r>
      <w:proofErr w:type="spellStart"/>
      <w:r>
        <w:rPr>
          <w:rStyle w:val="None"/>
          <w:rFonts w:ascii="Times New Roman" w:hAnsi="Times New Roman"/>
          <w:sz w:val="24"/>
          <w:szCs w:val="24"/>
          <w:lang w:val="en-US"/>
        </w:rPr>
        <w:t>Raoof</w:t>
      </w:r>
      <w:proofErr w:type="spellEnd"/>
      <w:r>
        <w:rPr>
          <w:rStyle w:val="None"/>
          <w:rFonts w:ascii="Times New Roman" w:hAnsi="Times New Roman"/>
          <w:sz w:val="24"/>
          <w:szCs w:val="24"/>
          <w:lang w:val="en-US"/>
        </w:rPr>
        <w:t xml:space="preserve">, A. (2017). Role of corporate governance in firm performance: A comparative study between chemical and pharmaceutical sectors of Pakistan. </w:t>
      </w:r>
      <w:r>
        <w:rPr>
          <w:rStyle w:val="None"/>
          <w:rFonts w:ascii="Times New Roman" w:hAnsi="Times New Roman"/>
          <w:i/>
          <w:iCs/>
          <w:sz w:val="24"/>
          <w:szCs w:val="24"/>
          <w:lang w:val="en-US"/>
        </w:rPr>
        <w:t>International Research Journal of Finance &amp; Economics, 50, 10-16.</w:t>
      </w:r>
    </w:p>
    <w:p w14:paraId="47DC8C45" w14:textId="77777777" w:rsidR="00DC4459" w:rsidRDefault="00077D4E">
      <w:pPr>
        <w:pStyle w:val="Body"/>
        <w:rPr>
          <w:rStyle w:val="None"/>
          <w:rFonts w:ascii="Times New Roman" w:eastAsia="Times New Roman" w:hAnsi="Times New Roman" w:cs="Times New Roman"/>
          <w:sz w:val="24"/>
          <w:szCs w:val="24"/>
          <w:u w:val="single"/>
        </w:rPr>
      </w:pPr>
      <w:proofErr w:type="spellStart"/>
      <w:r>
        <w:rPr>
          <w:rStyle w:val="None"/>
          <w:rFonts w:ascii="Times New Roman" w:hAnsi="Times New Roman"/>
          <w:sz w:val="24"/>
          <w:szCs w:val="24"/>
          <w:lang w:val="en-US"/>
        </w:rPr>
        <w:t>Isukul</w:t>
      </w:r>
      <w:proofErr w:type="spellEnd"/>
      <w:r>
        <w:rPr>
          <w:rStyle w:val="None"/>
          <w:rFonts w:ascii="Times New Roman" w:hAnsi="Times New Roman"/>
          <w:sz w:val="24"/>
          <w:szCs w:val="24"/>
          <w:lang w:val="en-US"/>
        </w:rPr>
        <w:t xml:space="preserve">, A.C and </w:t>
      </w:r>
      <w:proofErr w:type="spellStart"/>
      <w:r>
        <w:rPr>
          <w:rStyle w:val="None"/>
          <w:rFonts w:ascii="Times New Roman" w:hAnsi="Times New Roman"/>
          <w:sz w:val="24"/>
          <w:szCs w:val="24"/>
          <w:lang w:val="en-US"/>
        </w:rPr>
        <w:t>Chizea</w:t>
      </w:r>
      <w:proofErr w:type="spellEnd"/>
      <w:r>
        <w:rPr>
          <w:rStyle w:val="None"/>
          <w:rFonts w:ascii="Times New Roman" w:hAnsi="Times New Roman"/>
          <w:sz w:val="24"/>
          <w:szCs w:val="24"/>
          <w:lang w:val="en-US"/>
        </w:rPr>
        <w:t xml:space="preserve">, J.J., 2017. </w:t>
      </w:r>
      <w:r>
        <w:rPr>
          <w:rStyle w:val="None"/>
          <w:rFonts w:ascii="Times New Roman" w:hAnsi="Times New Roman"/>
          <w:i/>
          <w:iCs/>
          <w:sz w:val="24"/>
          <w:szCs w:val="24"/>
          <w:lang w:val="en-US"/>
        </w:rPr>
        <w:t>Corporate Governance Disclosure in Developing Countries: A Comparative Analysis in Nigerian and South African</w:t>
      </w:r>
      <w:r>
        <w:rPr>
          <w:rStyle w:val="None"/>
          <w:rFonts w:ascii="Times New Roman" w:hAnsi="Times New Roman"/>
          <w:sz w:val="24"/>
          <w:szCs w:val="24"/>
        </w:rPr>
        <w:t xml:space="preserve"> Banks. SAGE Open 7, 2158244017719112</w:t>
      </w:r>
      <w:r>
        <w:rPr>
          <w:rStyle w:val="None"/>
          <w:rFonts w:ascii="Times New Roman" w:hAnsi="Times New Roman"/>
          <w:sz w:val="24"/>
          <w:szCs w:val="24"/>
          <w:u w:val="single"/>
        </w:rPr>
        <w:t xml:space="preserve">. </w:t>
      </w:r>
      <w:r>
        <w:rPr>
          <w:rStyle w:val="None"/>
          <w:rFonts w:ascii="Times New Roman" w:hAnsi="Times New Roman"/>
          <w:sz w:val="24"/>
          <w:szCs w:val="24"/>
          <w:lang w:val="en-US"/>
        </w:rPr>
        <w:t xml:space="preserve">Retrieved from: </w:t>
      </w:r>
      <w:hyperlink r:id="rId15" w:history="1">
        <w:r>
          <w:rPr>
            <w:rStyle w:val="Hyperlink1"/>
            <w:rFonts w:eastAsia="Arial Unicode MS" w:cs="Arial Unicode MS"/>
            <w:lang w:val="en-US"/>
          </w:rPr>
          <w:t>https://doi.org/10.1177/2158244017719112</w:t>
        </w:r>
      </w:hyperlink>
      <w:r>
        <w:rPr>
          <w:rStyle w:val="None"/>
          <w:rFonts w:ascii="Times New Roman" w:hAnsi="Times New Roman"/>
          <w:sz w:val="24"/>
          <w:szCs w:val="24"/>
          <w:u w:val="single"/>
        </w:rPr>
        <w:t xml:space="preserve">, </w:t>
      </w:r>
      <w:r>
        <w:rPr>
          <w:rStyle w:val="None"/>
          <w:rFonts w:ascii="Times New Roman" w:hAnsi="Times New Roman"/>
          <w:sz w:val="24"/>
          <w:szCs w:val="24"/>
          <w:lang w:val="en-US"/>
        </w:rPr>
        <w:t>retrieved on: 5/05/2021</w:t>
      </w:r>
    </w:p>
    <w:p w14:paraId="72FE11C6" w14:textId="77777777" w:rsidR="00DC4459" w:rsidRDefault="00077D4E">
      <w:pPr>
        <w:pStyle w:val="Body"/>
        <w:jc w:val="both"/>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t>Jhunjhunwala</w:t>
      </w:r>
      <w:proofErr w:type="spellEnd"/>
      <w:r>
        <w:rPr>
          <w:rStyle w:val="None"/>
          <w:rFonts w:ascii="Times New Roman" w:hAnsi="Times New Roman"/>
          <w:sz w:val="24"/>
          <w:szCs w:val="24"/>
          <w:lang w:val="en-US"/>
        </w:rPr>
        <w:t xml:space="preserve">, S., B, S., (2011) Corporate Governance Disclosure and Transparency Framework. </w:t>
      </w:r>
      <w:r>
        <w:rPr>
          <w:rStyle w:val="None"/>
          <w:rFonts w:ascii="Times New Roman" w:hAnsi="Times New Roman"/>
          <w:i/>
          <w:iCs/>
          <w:sz w:val="24"/>
          <w:szCs w:val="24"/>
          <w:lang w:val="en-US"/>
        </w:rPr>
        <w:t>Indian Journal of Corporate Governance 4, 62–</w:t>
      </w:r>
      <w:r>
        <w:rPr>
          <w:rStyle w:val="None"/>
          <w:rFonts w:ascii="Times New Roman" w:hAnsi="Times New Roman"/>
          <w:i/>
          <w:iCs/>
          <w:sz w:val="24"/>
          <w:szCs w:val="24"/>
        </w:rPr>
        <w:t xml:space="preserve">73. </w:t>
      </w:r>
    </w:p>
    <w:p w14:paraId="17FCC98D"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rPr>
        <w:t>Kapkiyai</w:t>
      </w:r>
      <w:proofErr w:type="spellEnd"/>
      <w:r>
        <w:rPr>
          <w:rStyle w:val="None"/>
          <w:rFonts w:ascii="Times New Roman" w:hAnsi="Times New Roman"/>
          <w:sz w:val="24"/>
          <w:szCs w:val="24"/>
        </w:rPr>
        <w:t xml:space="preserve">, C,  Cheboi, J. and </w:t>
      </w:r>
      <w:proofErr w:type="spellStart"/>
      <w:r>
        <w:rPr>
          <w:rStyle w:val="None"/>
          <w:rFonts w:ascii="Times New Roman" w:hAnsi="Times New Roman"/>
          <w:sz w:val="24"/>
          <w:szCs w:val="24"/>
        </w:rPr>
        <w:t>Komen</w:t>
      </w:r>
      <w:proofErr w:type="spellEnd"/>
      <w:r>
        <w:rPr>
          <w:rStyle w:val="None"/>
          <w:rFonts w:ascii="Times New Roman" w:hAnsi="Times New Roman"/>
          <w:sz w:val="24"/>
          <w:szCs w:val="24"/>
        </w:rPr>
        <w:t xml:space="preserve">, J. (2020). </w:t>
      </w:r>
      <w:r>
        <w:rPr>
          <w:rStyle w:val="None"/>
          <w:rFonts w:ascii="Times New Roman" w:hAnsi="Times New Roman"/>
          <w:i/>
          <w:iCs/>
          <w:sz w:val="24"/>
          <w:szCs w:val="24"/>
          <w:lang w:val="en-US"/>
        </w:rPr>
        <w:t>Audit Committee Effectiveness and Earnings Management Among Publicly Listed Firms in Kenya</w:t>
      </w:r>
      <w:r>
        <w:rPr>
          <w:rStyle w:val="None"/>
          <w:rFonts w:ascii="Times New Roman" w:hAnsi="Times New Roman"/>
          <w:sz w:val="24"/>
          <w:szCs w:val="24"/>
          <w:lang w:val="en-US"/>
        </w:rPr>
        <w:t xml:space="preserve">. SEISENSE Journal of Management. 3. </w:t>
      </w:r>
      <w:bookmarkStart w:id="106" w:name="_Hlk73385965"/>
      <w:r>
        <w:rPr>
          <w:rStyle w:val="None"/>
          <w:rFonts w:ascii="Times New Roman" w:hAnsi="Times New Roman"/>
          <w:sz w:val="24"/>
          <w:szCs w:val="24"/>
          <w:lang w:val="en-US"/>
        </w:rPr>
        <w:t>Retrieved from</w:t>
      </w:r>
      <w:bookmarkEnd w:id="106"/>
      <w:r>
        <w:rPr>
          <w:rStyle w:val="None"/>
          <w:rFonts w:ascii="Times New Roman" w:hAnsi="Times New Roman"/>
          <w:sz w:val="24"/>
          <w:szCs w:val="24"/>
        </w:rPr>
        <w:t xml:space="preserve">: </w:t>
      </w:r>
      <w:r>
        <w:rPr>
          <w:rStyle w:val="None"/>
          <w:rFonts w:ascii="Times New Roman" w:hAnsi="Times New Roman"/>
          <w:sz w:val="24"/>
          <w:szCs w:val="24"/>
          <w:u w:val="single"/>
        </w:rPr>
        <w:t xml:space="preserve">15. 10.1057/s41310-018-0051-1. </w:t>
      </w:r>
      <w:bookmarkStart w:id="107" w:name="_Hlk73386049"/>
      <w:r>
        <w:rPr>
          <w:rStyle w:val="None"/>
          <w:rFonts w:ascii="Times New Roman" w:hAnsi="Times New Roman"/>
          <w:sz w:val="24"/>
          <w:szCs w:val="24"/>
        </w:rPr>
        <w:t>15/05/2021</w:t>
      </w:r>
      <w:bookmarkEnd w:id="107"/>
      <w:r>
        <w:rPr>
          <w:rStyle w:val="None"/>
          <w:rFonts w:ascii="Times New Roman" w:hAnsi="Times New Roman"/>
          <w:sz w:val="24"/>
          <w:szCs w:val="24"/>
        </w:rPr>
        <w:t>, 5/05/2021</w:t>
      </w:r>
    </w:p>
    <w:p w14:paraId="57CCD9FF" w14:textId="77777777" w:rsidR="00DC4459" w:rsidRDefault="00077D4E">
      <w:pPr>
        <w:pStyle w:val="Body"/>
        <w:rPr>
          <w:rStyle w:val="Hyperlink1"/>
          <w:rFonts w:eastAsia="Calibri"/>
        </w:rPr>
      </w:pPr>
      <w:r>
        <w:rPr>
          <w:rStyle w:val="None"/>
          <w:rFonts w:ascii="Times New Roman" w:hAnsi="Times New Roman"/>
          <w:sz w:val="24"/>
          <w:szCs w:val="24"/>
        </w:rPr>
        <w:t xml:space="preserve">Khan, M.Y. (2018). </w:t>
      </w:r>
      <w:r>
        <w:rPr>
          <w:rStyle w:val="None"/>
          <w:rFonts w:ascii="Times New Roman" w:hAnsi="Times New Roman"/>
          <w:i/>
          <w:iCs/>
          <w:sz w:val="24"/>
          <w:szCs w:val="24"/>
          <w:lang w:val="en-US"/>
        </w:rPr>
        <w:t xml:space="preserve">Corporate governance and cost of capital: evidence from Pakistani listed firms. </w:t>
      </w:r>
      <w:hyperlink r:id="rId16" w:history="1">
        <w:r>
          <w:rPr>
            <w:rStyle w:val="Hyperlink1"/>
            <w:rFonts w:eastAsia="Arial Unicode MS" w:cs="Arial Unicode MS"/>
            <w:lang w:val="en-US"/>
          </w:rPr>
          <w:t>https://www.researchgate.net/publication/326973075_Corporate_governance_and_cost_of_capital_evidence_from_Pakistani_listed_firms/citation/download</w:t>
        </w:r>
      </w:hyperlink>
    </w:p>
    <w:p w14:paraId="68D3F92E" w14:textId="77777777" w:rsidR="00DC4459" w:rsidRDefault="00077D4E">
      <w:pPr>
        <w:pStyle w:val="Body"/>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t>Khiari</w:t>
      </w:r>
      <w:proofErr w:type="spellEnd"/>
      <w:r>
        <w:rPr>
          <w:rStyle w:val="None"/>
          <w:rFonts w:ascii="Times New Roman" w:hAnsi="Times New Roman"/>
          <w:sz w:val="24"/>
          <w:szCs w:val="24"/>
          <w:lang w:val="en-US"/>
        </w:rPr>
        <w:t xml:space="preserve">, W., (2013). Corporate Governance and Disclosure Quality: Taxonomy of Tunisian Listed Firms Using the Decision Tree Method based Approach. EMAJ: </w:t>
      </w:r>
      <w:r>
        <w:rPr>
          <w:rStyle w:val="None"/>
          <w:rFonts w:ascii="Times New Roman" w:hAnsi="Times New Roman"/>
          <w:i/>
          <w:iCs/>
          <w:sz w:val="24"/>
          <w:szCs w:val="24"/>
          <w:lang w:val="en-US"/>
        </w:rPr>
        <w:t>Emerging Markets Journal 3, 46–</w:t>
      </w:r>
      <w:r>
        <w:rPr>
          <w:rStyle w:val="None"/>
          <w:rFonts w:ascii="Times New Roman" w:hAnsi="Times New Roman"/>
          <w:i/>
          <w:iCs/>
          <w:sz w:val="24"/>
          <w:szCs w:val="24"/>
        </w:rPr>
        <w:t xml:space="preserve">68. </w:t>
      </w:r>
    </w:p>
    <w:p w14:paraId="270B48FB" w14:textId="77777777" w:rsidR="00DC4459" w:rsidRDefault="00077D4E">
      <w:pPr>
        <w:pStyle w:val="Body"/>
        <w:rPr>
          <w:rStyle w:val="None"/>
          <w:rFonts w:ascii="Times New Roman" w:eastAsia="Times New Roman" w:hAnsi="Times New Roman" w:cs="Times New Roman"/>
          <w:sz w:val="24"/>
          <w:szCs w:val="24"/>
        </w:rPr>
      </w:pPr>
      <w:r>
        <w:rPr>
          <w:rStyle w:val="None"/>
          <w:rFonts w:ascii="Times New Roman" w:hAnsi="Times New Roman"/>
          <w:sz w:val="24"/>
          <w:szCs w:val="24"/>
          <w:lang w:val="en-US"/>
        </w:rPr>
        <w:t xml:space="preserve">Kim, H. (2015). Corporate governance, transparency and stock return co-movement: Group analysis. </w:t>
      </w:r>
      <w:r>
        <w:rPr>
          <w:rStyle w:val="None"/>
          <w:rFonts w:ascii="Times New Roman" w:hAnsi="Times New Roman"/>
          <w:i/>
          <w:iCs/>
          <w:sz w:val="24"/>
          <w:szCs w:val="24"/>
          <w:lang w:val="en-US"/>
        </w:rPr>
        <w:t>Journal of International Finance &amp; Economics, 11(1), 118-122</w:t>
      </w:r>
      <w:r>
        <w:rPr>
          <w:rStyle w:val="None"/>
          <w:rFonts w:ascii="Times New Roman" w:hAnsi="Times New Roman"/>
          <w:sz w:val="24"/>
          <w:szCs w:val="24"/>
        </w:rPr>
        <w:t xml:space="preserve">. </w:t>
      </w:r>
    </w:p>
    <w:p w14:paraId="76FB94E7" w14:textId="77777777" w:rsidR="00DC4459" w:rsidRDefault="00077D4E">
      <w:pPr>
        <w:pStyle w:val="Body"/>
        <w:jc w:val="both"/>
        <w:rPr>
          <w:rStyle w:val="None"/>
          <w:rFonts w:ascii="Times New Roman" w:eastAsia="Times New Roman" w:hAnsi="Times New Roman" w:cs="Times New Roman"/>
          <w:i/>
          <w:iCs/>
          <w:sz w:val="24"/>
          <w:szCs w:val="24"/>
          <w:u w:val="single"/>
        </w:rPr>
      </w:pPr>
      <w:proofErr w:type="spellStart"/>
      <w:r>
        <w:rPr>
          <w:rStyle w:val="None"/>
          <w:rFonts w:ascii="Times New Roman" w:hAnsi="Times New Roman"/>
          <w:sz w:val="24"/>
          <w:szCs w:val="24"/>
          <w:lang w:val="en-US"/>
        </w:rPr>
        <w:t>Kiranmai</w:t>
      </w:r>
      <w:proofErr w:type="spellEnd"/>
      <w:r>
        <w:rPr>
          <w:rStyle w:val="None"/>
          <w:rFonts w:ascii="Times New Roman" w:hAnsi="Times New Roman"/>
          <w:sz w:val="24"/>
          <w:szCs w:val="24"/>
          <w:lang w:val="en-US"/>
        </w:rPr>
        <w:t xml:space="preserve">, J and Mishra, R.K., (2019) Corporate Governance Practices in Listed State-owned Enterprises in India: An Empirical Research. </w:t>
      </w:r>
      <w:r>
        <w:rPr>
          <w:rStyle w:val="None"/>
          <w:rFonts w:ascii="Times New Roman" w:hAnsi="Times New Roman"/>
          <w:i/>
          <w:iCs/>
          <w:sz w:val="24"/>
          <w:szCs w:val="24"/>
          <w:lang w:val="en-US"/>
        </w:rPr>
        <w:t>Indian Journal of Corporate Governance 12, 94–</w:t>
      </w:r>
      <w:r>
        <w:rPr>
          <w:rStyle w:val="None"/>
          <w:rFonts w:ascii="Times New Roman" w:hAnsi="Times New Roman"/>
          <w:i/>
          <w:iCs/>
          <w:sz w:val="24"/>
          <w:szCs w:val="24"/>
        </w:rPr>
        <w:t xml:space="preserve">121. </w:t>
      </w:r>
    </w:p>
    <w:p w14:paraId="2C8C6C50" w14:textId="77777777" w:rsidR="00DC4459" w:rsidRDefault="00077D4E">
      <w:pPr>
        <w:pStyle w:val="Body"/>
        <w:rPr>
          <w:rStyle w:val="None"/>
          <w:rFonts w:ascii="Times New Roman" w:eastAsia="Times New Roman" w:hAnsi="Times New Roman" w:cs="Times New Roman"/>
          <w:sz w:val="24"/>
          <w:szCs w:val="24"/>
        </w:rPr>
      </w:pPr>
      <w:r>
        <w:rPr>
          <w:rStyle w:val="None"/>
          <w:rFonts w:ascii="Times New Roman" w:hAnsi="Times New Roman"/>
          <w:sz w:val="24"/>
          <w:szCs w:val="24"/>
          <w:lang w:val="en-US"/>
        </w:rPr>
        <w:t xml:space="preserve">Lam, T.Y., and Lee, S.K. (2018). CEO duality and firm performance: Evidence from Hong Kong, </w:t>
      </w:r>
      <w:r>
        <w:rPr>
          <w:rStyle w:val="None"/>
          <w:rFonts w:ascii="Times New Roman" w:hAnsi="Times New Roman"/>
          <w:sz w:val="24"/>
          <w:szCs w:val="24"/>
          <w:lang w:val="en-US"/>
        </w:rPr>
        <w:tab/>
      </w:r>
      <w:r>
        <w:rPr>
          <w:rStyle w:val="None"/>
          <w:rFonts w:ascii="Times New Roman" w:hAnsi="Times New Roman"/>
          <w:i/>
          <w:iCs/>
          <w:sz w:val="24"/>
          <w:szCs w:val="24"/>
          <w:lang w:val="pt-PT"/>
        </w:rPr>
        <w:t>Corporate Governance, 8, (3): 299-316.</w:t>
      </w:r>
    </w:p>
    <w:p w14:paraId="2223FF6C"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rPr>
        <w:t xml:space="preserve">Lancaster G. (2005) </w:t>
      </w:r>
      <w:r>
        <w:rPr>
          <w:rStyle w:val="None"/>
          <w:rFonts w:ascii="Times New Roman" w:hAnsi="Times New Roman"/>
          <w:i/>
          <w:iCs/>
          <w:sz w:val="24"/>
          <w:szCs w:val="24"/>
          <w:lang w:val="en-US"/>
        </w:rPr>
        <w:t>Research Methods in Management: A Concise Introduction to Research in Management and Business Consultancy</w:t>
      </w:r>
      <w:r>
        <w:rPr>
          <w:rStyle w:val="None"/>
          <w:rFonts w:ascii="Times New Roman" w:hAnsi="Times New Roman"/>
          <w:sz w:val="24"/>
          <w:szCs w:val="24"/>
          <w:lang w:val="de-DE"/>
        </w:rPr>
        <w:t>. Oxford: Butterworth-Heinemann.</w:t>
      </w:r>
    </w:p>
    <w:p w14:paraId="5A0A9B37" w14:textId="77777777" w:rsidR="00DC4459" w:rsidRDefault="00077D4E">
      <w:pPr>
        <w:pStyle w:val="Body"/>
        <w:rPr>
          <w:rStyle w:val="None"/>
          <w:rFonts w:ascii="Times New Roman" w:eastAsia="Times New Roman" w:hAnsi="Times New Roman" w:cs="Times New Roman"/>
          <w:sz w:val="24"/>
          <w:szCs w:val="24"/>
        </w:rPr>
      </w:pPr>
      <w:r>
        <w:rPr>
          <w:rStyle w:val="None"/>
          <w:rFonts w:ascii="Times New Roman" w:hAnsi="Times New Roman"/>
          <w:sz w:val="24"/>
          <w:szCs w:val="24"/>
        </w:rPr>
        <w:t xml:space="preserve">Lungu, C , Pompei, M , </w:t>
      </w:r>
      <w:proofErr w:type="spellStart"/>
      <w:r>
        <w:rPr>
          <w:rStyle w:val="None"/>
          <w:rFonts w:ascii="Times New Roman" w:hAnsi="Times New Roman"/>
          <w:sz w:val="24"/>
          <w:szCs w:val="24"/>
        </w:rPr>
        <w:t>Caraiani</w:t>
      </w:r>
      <w:proofErr w:type="spellEnd"/>
      <w:r>
        <w:rPr>
          <w:rStyle w:val="None"/>
          <w:rFonts w:ascii="Times New Roman" w:hAnsi="Times New Roman"/>
          <w:sz w:val="24"/>
          <w:szCs w:val="24"/>
        </w:rPr>
        <w:t xml:space="preserve">, C , and Constantinescu, D. (2020). </w:t>
      </w:r>
      <w:r>
        <w:rPr>
          <w:rStyle w:val="None"/>
          <w:rFonts w:ascii="Times New Roman" w:hAnsi="Times New Roman"/>
          <w:i/>
          <w:iCs/>
          <w:sz w:val="24"/>
          <w:szCs w:val="24"/>
          <w:lang w:val="en-US"/>
        </w:rPr>
        <w:t>A structured literature review of corporate governance and performance research within an emerging country setting</w:t>
      </w:r>
      <w:r>
        <w:rPr>
          <w:rStyle w:val="None"/>
          <w:rFonts w:ascii="Times New Roman" w:hAnsi="Times New Roman"/>
          <w:sz w:val="24"/>
          <w:szCs w:val="24"/>
          <w:lang w:val="en-US"/>
        </w:rPr>
        <w:t xml:space="preserve">. Journal of Accounting and Management Information Systems. 19. Retrieved:  </w:t>
      </w:r>
      <w:r>
        <w:rPr>
          <w:rStyle w:val="None"/>
          <w:rFonts w:ascii="Times New Roman" w:hAnsi="Times New Roman"/>
          <w:sz w:val="24"/>
          <w:szCs w:val="24"/>
          <w:u w:val="single"/>
          <w:lang w:val="pt-PT"/>
        </w:rPr>
        <w:t xml:space="preserve">10.24818/jamis.2020.04004., </w:t>
      </w:r>
      <w:r>
        <w:rPr>
          <w:rStyle w:val="None"/>
          <w:rFonts w:ascii="Times New Roman" w:hAnsi="Times New Roman"/>
          <w:sz w:val="24"/>
          <w:szCs w:val="24"/>
        </w:rPr>
        <w:t>5/05/2021</w:t>
      </w:r>
    </w:p>
    <w:p w14:paraId="63F163AC" w14:textId="77777777" w:rsidR="00DC4459" w:rsidRDefault="00077D4E">
      <w:pPr>
        <w:pStyle w:val="Body"/>
        <w:jc w:val="both"/>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lastRenderedPageBreak/>
        <w:t>Meah</w:t>
      </w:r>
      <w:proofErr w:type="spellEnd"/>
      <w:r>
        <w:rPr>
          <w:rStyle w:val="None"/>
          <w:rFonts w:ascii="Times New Roman" w:hAnsi="Times New Roman"/>
          <w:sz w:val="24"/>
          <w:szCs w:val="24"/>
          <w:lang w:val="en-US"/>
        </w:rPr>
        <w:t xml:space="preserve">, M.R. and </w:t>
      </w:r>
      <w:proofErr w:type="spellStart"/>
      <w:r>
        <w:rPr>
          <w:rStyle w:val="None"/>
          <w:rFonts w:ascii="Times New Roman" w:hAnsi="Times New Roman"/>
          <w:sz w:val="24"/>
          <w:szCs w:val="24"/>
          <w:lang w:val="en-US"/>
        </w:rPr>
        <w:t>Chaudhory</w:t>
      </w:r>
      <w:proofErr w:type="spellEnd"/>
      <w:r>
        <w:rPr>
          <w:rStyle w:val="None"/>
          <w:rFonts w:ascii="Times New Roman" w:hAnsi="Times New Roman"/>
          <w:sz w:val="24"/>
          <w:szCs w:val="24"/>
          <w:lang w:val="en-US"/>
        </w:rPr>
        <w:t xml:space="preserve">, N.U. (2019) Corporate Governance and Firm’s Profitability: An Emerging Economy-based Investigation. </w:t>
      </w:r>
      <w:r>
        <w:rPr>
          <w:rStyle w:val="None"/>
          <w:rFonts w:ascii="Times New Roman" w:hAnsi="Times New Roman"/>
          <w:i/>
          <w:iCs/>
          <w:sz w:val="24"/>
          <w:szCs w:val="24"/>
          <w:lang w:val="en-US"/>
        </w:rPr>
        <w:t>Indian Journal of Corporate Governance 12, 71–</w:t>
      </w:r>
      <w:r>
        <w:rPr>
          <w:rStyle w:val="None"/>
          <w:rFonts w:ascii="Times New Roman" w:hAnsi="Times New Roman"/>
          <w:i/>
          <w:iCs/>
          <w:sz w:val="24"/>
          <w:szCs w:val="24"/>
        </w:rPr>
        <w:t>93</w:t>
      </w:r>
      <w:r>
        <w:rPr>
          <w:rStyle w:val="None"/>
          <w:rFonts w:ascii="Times New Roman" w:hAnsi="Times New Roman"/>
          <w:sz w:val="24"/>
          <w:szCs w:val="24"/>
        </w:rPr>
        <w:t xml:space="preserve">. </w:t>
      </w:r>
    </w:p>
    <w:p w14:paraId="3E899D65"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de-DE"/>
        </w:rPr>
        <w:t xml:space="preserve">Mertens DM (2014). </w:t>
      </w:r>
      <w:r>
        <w:rPr>
          <w:rStyle w:val="None"/>
          <w:rFonts w:ascii="Times New Roman" w:hAnsi="Times New Roman"/>
          <w:i/>
          <w:iCs/>
          <w:sz w:val="24"/>
          <w:szCs w:val="24"/>
          <w:lang w:val="en-US"/>
        </w:rPr>
        <w:t>Research and Evaluation in Education and Psychology: Integrating Diversity with Quantitative, Qualitative, and Mixed Methods</w:t>
      </w:r>
      <w:r>
        <w:rPr>
          <w:rStyle w:val="None"/>
          <w:rFonts w:ascii="Times New Roman" w:hAnsi="Times New Roman"/>
          <w:sz w:val="24"/>
          <w:szCs w:val="24"/>
          <w:lang w:val="en-US"/>
        </w:rPr>
        <w:t>. 4th ed. London, UK: SAGE Publications, Inc;</w:t>
      </w:r>
    </w:p>
    <w:p w14:paraId="4067F259"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Misra</w:t>
      </w:r>
      <w:proofErr w:type="spellEnd"/>
      <w:r>
        <w:rPr>
          <w:rStyle w:val="None"/>
          <w:rFonts w:ascii="Times New Roman" w:hAnsi="Times New Roman"/>
          <w:sz w:val="24"/>
          <w:szCs w:val="24"/>
          <w:lang w:val="en-US"/>
        </w:rPr>
        <w:t xml:space="preserve">, D and </w:t>
      </w:r>
      <w:proofErr w:type="spellStart"/>
      <w:r>
        <w:rPr>
          <w:rStyle w:val="None"/>
          <w:rFonts w:ascii="Times New Roman" w:hAnsi="Times New Roman"/>
          <w:sz w:val="24"/>
          <w:szCs w:val="24"/>
          <w:lang w:val="en-US"/>
        </w:rPr>
        <w:t>Vishnani</w:t>
      </w:r>
      <w:proofErr w:type="spellEnd"/>
      <w:r>
        <w:rPr>
          <w:rStyle w:val="None"/>
          <w:rFonts w:ascii="Times New Roman" w:hAnsi="Times New Roman"/>
          <w:sz w:val="24"/>
          <w:szCs w:val="24"/>
          <w:lang w:val="en-US"/>
        </w:rPr>
        <w:t xml:space="preserve">, S., (2012) Impact of Corporate Governance Regulation on Market Risk. </w:t>
      </w:r>
      <w:proofErr w:type="spellStart"/>
      <w:r>
        <w:rPr>
          <w:rStyle w:val="None"/>
          <w:rFonts w:ascii="Times New Roman" w:hAnsi="Times New Roman"/>
          <w:sz w:val="24"/>
          <w:szCs w:val="24"/>
          <w:lang w:val="en-US"/>
        </w:rPr>
        <w:t>Vikalpa</w:t>
      </w:r>
      <w:proofErr w:type="spellEnd"/>
      <w:r>
        <w:rPr>
          <w:rStyle w:val="None"/>
          <w:rFonts w:ascii="Times New Roman" w:hAnsi="Times New Roman"/>
          <w:sz w:val="24"/>
          <w:szCs w:val="24"/>
          <w:lang w:val="en-US"/>
        </w:rPr>
        <w:t xml:space="preserve"> 37, 19–</w:t>
      </w:r>
      <w:r>
        <w:rPr>
          <w:rStyle w:val="None"/>
          <w:rFonts w:ascii="Times New Roman" w:hAnsi="Times New Roman"/>
          <w:sz w:val="24"/>
          <w:szCs w:val="24"/>
        </w:rPr>
        <w:t xml:space="preserve">32. </w:t>
      </w:r>
      <w:r>
        <w:rPr>
          <w:rStyle w:val="None"/>
          <w:rFonts w:ascii="Times New Roman" w:hAnsi="Times New Roman"/>
          <w:sz w:val="24"/>
          <w:szCs w:val="24"/>
          <w:lang w:val="en-US"/>
        </w:rPr>
        <w:t xml:space="preserve">Retrieved from: </w:t>
      </w:r>
      <w:hyperlink r:id="rId17" w:history="1">
        <w:r>
          <w:rPr>
            <w:rStyle w:val="Hyperlink2"/>
            <w:rFonts w:eastAsia="Arial Unicode MS" w:cs="Arial Unicode MS"/>
            <w:lang w:val="en-US"/>
          </w:rPr>
          <w:t>https://doi.org/10.1177/0256090920120203</w:t>
        </w:r>
      </w:hyperlink>
      <w:r>
        <w:rPr>
          <w:rStyle w:val="None"/>
          <w:rFonts w:ascii="Times New Roman" w:hAnsi="Times New Roman"/>
          <w:sz w:val="24"/>
          <w:szCs w:val="24"/>
          <w:lang w:val="en-US"/>
        </w:rPr>
        <w:t xml:space="preserve"> retrieved on: 5/05/2021</w:t>
      </w:r>
    </w:p>
    <w:p w14:paraId="6EC9252F"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rPr>
        <w:t>Morck</w:t>
      </w:r>
      <w:proofErr w:type="spellEnd"/>
      <w:r>
        <w:rPr>
          <w:rStyle w:val="None"/>
          <w:rFonts w:ascii="Times New Roman" w:hAnsi="Times New Roman"/>
          <w:sz w:val="24"/>
          <w:szCs w:val="24"/>
        </w:rPr>
        <w:t xml:space="preserve">, R. (2005). </w:t>
      </w:r>
      <w:r>
        <w:rPr>
          <w:rStyle w:val="None"/>
          <w:rFonts w:ascii="Times New Roman" w:hAnsi="Times New Roman"/>
          <w:i/>
          <w:iCs/>
          <w:sz w:val="24"/>
          <w:szCs w:val="24"/>
          <w:lang w:val="en-US"/>
        </w:rPr>
        <w:t>A History of Corporate Governance around the World: Family Business Groups to Professional Managers</w:t>
      </w:r>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Bibliovault</w:t>
      </w:r>
      <w:proofErr w:type="spellEnd"/>
      <w:r>
        <w:rPr>
          <w:rStyle w:val="None"/>
          <w:rFonts w:ascii="Times New Roman" w:hAnsi="Times New Roman"/>
          <w:sz w:val="24"/>
          <w:szCs w:val="24"/>
          <w:lang w:val="en-US"/>
        </w:rPr>
        <w:t xml:space="preserve"> OAI Repository, the University of Chicago Press. 10.7208/</w:t>
      </w:r>
      <w:proofErr w:type="spellStart"/>
      <w:r>
        <w:rPr>
          <w:rStyle w:val="None"/>
          <w:rFonts w:ascii="Times New Roman" w:hAnsi="Times New Roman"/>
          <w:sz w:val="24"/>
          <w:szCs w:val="24"/>
          <w:lang w:val="en-US"/>
        </w:rPr>
        <w:t>chicago</w:t>
      </w:r>
      <w:proofErr w:type="spellEnd"/>
      <w:r>
        <w:rPr>
          <w:rStyle w:val="None"/>
          <w:rFonts w:ascii="Times New Roman" w:hAnsi="Times New Roman"/>
          <w:sz w:val="24"/>
          <w:szCs w:val="24"/>
          <w:lang w:val="en-US"/>
        </w:rPr>
        <w:t xml:space="preserve">/9780226536835.001.0001. </w:t>
      </w:r>
      <w:bookmarkStart w:id="108" w:name="_Hlk73386323"/>
      <w:r>
        <w:rPr>
          <w:rStyle w:val="None"/>
          <w:rFonts w:ascii="Times New Roman" w:hAnsi="Times New Roman"/>
          <w:sz w:val="24"/>
          <w:szCs w:val="24"/>
        </w:rPr>
        <w:t>R</w:t>
      </w:r>
      <w:bookmarkStart w:id="109" w:name="_Hlk73386424"/>
      <w:bookmarkEnd w:id="108"/>
      <w:proofErr w:type="spellStart"/>
      <w:r>
        <w:rPr>
          <w:rStyle w:val="None"/>
          <w:rFonts w:ascii="Times New Roman" w:hAnsi="Times New Roman"/>
          <w:sz w:val="24"/>
          <w:szCs w:val="24"/>
          <w:lang w:val="en-US"/>
        </w:rPr>
        <w:t>etrieved</w:t>
      </w:r>
      <w:proofErr w:type="spellEnd"/>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fro</w:t>
      </w:r>
      <w:bookmarkEnd w:id="109"/>
      <w:proofErr w:type="spellEnd"/>
      <w:r>
        <w:rPr>
          <w:rStyle w:val="None"/>
          <w:rFonts w:ascii="Times New Roman" w:hAnsi="Times New Roman"/>
          <w:sz w:val="24"/>
          <w:szCs w:val="24"/>
        </w:rPr>
        <w:t xml:space="preserve">m: </w:t>
      </w:r>
      <w:hyperlink r:id="rId18" w:history="1">
        <w:r>
          <w:rPr>
            <w:rStyle w:val="Hyperlink1"/>
            <w:rFonts w:eastAsia="Arial Unicode MS" w:cs="Arial Unicode MS"/>
            <w:lang w:val="en-US"/>
          </w:rPr>
          <w:t>https://www.researchgate.net/publication/37694533_A_History_of_Corporate_Governance_around_the_World_Family_Business_Groups_to_Professional_Managers/citation/download</w:t>
        </w:r>
      </w:hyperlink>
      <w:r>
        <w:rPr>
          <w:rStyle w:val="None"/>
          <w:rFonts w:ascii="Times New Roman" w:hAnsi="Times New Roman"/>
          <w:sz w:val="24"/>
          <w:szCs w:val="24"/>
        </w:rPr>
        <w:t xml:space="preserve"> </w:t>
      </w:r>
    </w:p>
    <w:p w14:paraId="35A468A5"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Mullineux</w:t>
      </w:r>
      <w:proofErr w:type="spellEnd"/>
      <w:r>
        <w:rPr>
          <w:rStyle w:val="None"/>
          <w:rFonts w:ascii="Times New Roman" w:hAnsi="Times New Roman"/>
          <w:sz w:val="24"/>
          <w:szCs w:val="24"/>
          <w:lang w:val="en-US"/>
        </w:rPr>
        <w:t xml:space="preserve">, A. (2010). Is there an Anglo-American corporate governance model?. </w:t>
      </w:r>
      <w:r>
        <w:rPr>
          <w:rStyle w:val="None"/>
          <w:rFonts w:ascii="Times New Roman" w:hAnsi="Times New Roman"/>
          <w:i/>
          <w:iCs/>
          <w:sz w:val="24"/>
          <w:szCs w:val="24"/>
          <w:lang w:val="en-US"/>
        </w:rPr>
        <w:t>International Economics and Economic Policy. 7. 437-448</w:t>
      </w:r>
      <w:r>
        <w:rPr>
          <w:rStyle w:val="None"/>
          <w:rFonts w:ascii="Times New Roman" w:hAnsi="Times New Roman"/>
          <w:sz w:val="24"/>
          <w:szCs w:val="24"/>
        </w:rPr>
        <w:t>..</w:t>
      </w:r>
    </w:p>
    <w:p w14:paraId="7F4F636B" w14:textId="77777777" w:rsidR="00DC4459" w:rsidRDefault="00077D4E">
      <w:pPr>
        <w:pStyle w:val="Body"/>
        <w:jc w:val="both"/>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Ntim</w:t>
      </w:r>
      <w:proofErr w:type="spellEnd"/>
      <w:r>
        <w:rPr>
          <w:rStyle w:val="None"/>
          <w:rFonts w:ascii="Times New Roman" w:hAnsi="Times New Roman"/>
          <w:sz w:val="24"/>
          <w:szCs w:val="24"/>
          <w:lang w:val="en-US"/>
        </w:rPr>
        <w:t xml:space="preserve">, C.G., </w:t>
      </w:r>
      <w:proofErr w:type="spellStart"/>
      <w:r>
        <w:rPr>
          <w:rStyle w:val="None"/>
          <w:rFonts w:ascii="Times New Roman" w:hAnsi="Times New Roman"/>
          <w:sz w:val="24"/>
          <w:szCs w:val="24"/>
          <w:lang w:val="en-US"/>
        </w:rPr>
        <w:t>Opong</w:t>
      </w:r>
      <w:proofErr w:type="spellEnd"/>
      <w:r>
        <w:rPr>
          <w:rStyle w:val="None"/>
          <w:rFonts w:ascii="Times New Roman" w:hAnsi="Times New Roman"/>
          <w:sz w:val="24"/>
          <w:szCs w:val="24"/>
          <w:lang w:val="en-US"/>
        </w:rPr>
        <w:t xml:space="preserve">, K.K and Danbolt, J. (2012) The Relative Value Relevance of Shareholder versus Stakeholder Corporate Governance Disclosure Policy Reforms in South Africa. Corporate Governance: </w:t>
      </w:r>
      <w:r>
        <w:rPr>
          <w:rStyle w:val="None"/>
          <w:rFonts w:ascii="Times New Roman" w:hAnsi="Times New Roman"/>
          <w:i/>
          <w:iCs/>
          <w:sz w:val="24"/>
          <w:szCs w:val="24"/>
          <w:lang w:val="en-US"/>
        </w:rPr>
        <w:t>An International Review 20, 84–</w:t>
      </w:r>
      <w:r>
        <w:rPr>
          <w:rStyle w:val="None"/>
          <w:rFonts w:ascii="Times New Roman" w:hAnsi="Times New Roman"/>
          <w:i/>
          <w:iCs/>
          <w:sz w:val="24"/>
          <w:szCs w:val="24"/>
        </w:rPr>
        <w:t>105.</w:t>
      </w:r>
      <w:r>
        <w:rPr>
          <w:rStyle w:val="None"/>
          <w:rFonts w:ascii="Times New Roman" w:hAnsi="Times New Roman"/>
          <w:sz w:val="24"/>
          <w:szCs w:val="24"/>
        </w:rPr>
        <w:t xml:space="preserve"> </w:t>
      </w:r>
    </w:p>
    <w:p w14:paraId="23A60C24" w14:textId="77777777" w:rsidR="00DC4459" w:rsidRDefault="00077D4E">
      <w:pPr>
        <w:pStyle w:val="Body"/>
        <w:rPr>
          <w:rStyle w:val="None"/>
          <w:rFonts w:ascii="Times New Roman" w:eastAsia="Times New Roman" w:hAnsi="Times New Roman" w:cs="Times New Roman"/>
          <w:i/>
          <w:iCs/>
          <w:sz w:val="24"/>
          <w:szCs w:val="24"/>
        </w:rPr>
      </w:pPr>
      <w:proofErr w:type="spellStart"/>
      <w:r>
        <w:rPr>
          <w:rStyle w:val="None"/>
          <w:rFonts w:ascii="Times New Roman" w:hAnsi="Times New Roman"/>
          <w:sz w:val="24"/>
          <w:szCs w:val="24"/>
          <w:lang w:val="en-US"/>
        </w:rPr>
        <w:t>Onakoya</w:t>
      </w:r>
      <w:proofErr w:type="spellEnd"/>
      <w:r>
        <w:rPr>
          <w:rStyle w:val="None"/>
          <w:rFonts w:ascii="Times New Roman" w:hAnsi="Times New Roman"/>
          <w:sz w:val="24"/>
          <w:szCs w:val="24"/>
          <w:lang w:val="en-US"/>
        </w:rPr>
        <w:t xml:space="preserve">, A. B. O., </w:t>
      </w:r>
      <w:proofErr w:type="spellStart"/>
      <w:r>
        <w:rPr>
          <w:rStyle w:val="None"/>
          <w:rFonts w:ascii="Times New Roman" w:hAnsi="Times New Roman"/>
          <w:sz w:val="24"/>
          <w:szCs w:val="24"/>
          <w:lang w:val="en-US"/>
        </w:rPr>
        <w:t>Fasanya</w:t>
      </w:r>
      <w:proofErr w:type="spellEnd"/>
      <w:r>
        <w:rPr>
          <w:rStyle w:val="None"/>
          <w:rFonts w:ascii="Times New Roman" w:hAnsi="Times New Roman"/>
          <w:sz w:val="24"/>
          <w:szCs w:val="24"/>
          <w:lang w:val="en-US"/>
        </w:rPr>
        <w:t xml:space="preserve">, I. O., and Ofoegbu, D. I. (2014). Corporate governance as Correlate for firm performance: A pooled OLS investigation of selected Nigerian banks. </w:t>
      </w:r>
      <w:r>
        <w:rPr>
          <w:rStyle w:val="None"/>
          <w:rFonts w:ascii="Times New Roman" w:hAnsi="Times New Roman"/>
          <w:i/>
          <w:iCs/>
          <w:sz w:val="24"/>
          <w:szCs w:val="24"/>
          <w:lang w:val="en-US"/>
        </w:rPr>
        <w:t>IUP Journal of Corporate Governance, 13(1), 7-18</w:t>
      </w:r>
    </w:p>
    <w:p w14:paraId="342C75C1" w14:textId="77777777" w:rsidR="00DC4459" w:rsidRDefault="00077D4E">
      <w:pPr>
        <w:pStyle w:val="Body"/>
        <w:jc w:val="both"/>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Pik</w:t>
      </w:r>
      <w:proofErr w:type="spellEnd"/>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Kun</w:t>
      </w:r>
      <w:proofErr w:type="spellEnd"/>
      <w:r>
        <w:rPr>
          <w:rStyle w:val="None"/>
          <w:rFonts w:ascii="Times New Roman" w:hAnsi="Times New Roman"/>
          <w:sz w:val="24"/>
          <w:szCs w:val="24"/>
          <w:lang w:val="en-US"/>
        </w:rPr>
        <w:t xml:space="preserve"> Liew, (2007) Corporate Governance Reforms in Malaysia: the key leading players’ perspectives. Corporate Governance: An International Review 15, 724–</w:t>
      </w:r>
      <w:r>
        <w:rPr>
          <w:rStyle w:val="None"/>
          <w:rFonts w:ascii="Times New Roman" w:hAnsi="Times New Roman"/>
          <w:sz w:val="24"/>
          <w:szCs w:val="24"/>
        </w:rPr>
        <w:t xml:space="preserve">740. </w:t>
      </w:r>
      <w:r>
        <w:rPr>
          <w:rStyle w:val="None"/>
          <w:rFonts w:ascii="Times New Roman" w:hAnsi="Times New Roman"/>
          <w:sz w:val="24"/>
          <w:szCs w:val="24"/>
          <w:lang w:val="en-US"/>
        </w:rPr>
        <w:t xml:space="preserve">Retrieved from : </w:t>
      </w:r>
      <w:hyperlink r:id="rId19" w:history="1">
        <w:r>
          <w:rPr>
            <w:rStyle w:val="Hyperlink2"/>
            <w:rFonts w:eastAsia="Calibri"/>
          </w:rPr>
          <w:t>https://doi.org/10.1111/j.1467-8683.2007.00618.x</w:t>
        </w:r>
      </w:hyperlink>
      <w:r>
        <w:rPr>
          <w:rStyle w:val="None"/>
          <w:rFonts w:ascii="Times New Roman" w:hAnsi="Times New Roman"/>
          <w:sz w:val="24"/>
          <w:szCs w:val="24"/>
          <w:lang w:val="en-US"/>
        </w:rPr>
        <w:t>, retrieved on: 5/05/2021</w:t>
      </w:r>
    </w:p>
    <w:p w14:paraId="28AE3B31"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rPr>
        <w:t>Qurashi</w:t>
      </w:r>
      <w:proofErr w:type="spellEnd"/>
      <w:r>
        <w:rPr>
          <w:rStyle w:val="None"/>
          <w:rFonts w:ascii="Times New Roman" w:hAnsi="Times New Roman"/>
          <w:sz w:val="24"/>
          <w:szCs w:val="24"/>
        </w:rPr>
        <w:t xml:space="preserve">, M. (2018). </w:t>
      </w:r>
      <w:r>
        <w:rPr>
          <w:rStyle w:val="None"/>
          <w:rFonts w:ascii="Times New Roman" w:hAnsi="Times New Roman"/>
          <w:i/>
          <w:iCs/>
          <w:sz w:val="24"/>
          <w:szCs w:val="24"/>
          <w:lang w:val="en-US"/>
        </w:rPr>
        <w:t>Corporate governance code comparison for South Asian emerging economies</w:t>
      </w:r>
      <w:r>
        <w:rPr>
          <w:rStyle w:val="None"/>
          <w:rFonts w:ascii="Times New Roman" w:hAnsi="Times New Roman"/>
          <w:sz w:val="24"/>
          <w:szCs w:val="24"/>
          <w:lang w:val="en-US"/>
        </w:rPr>
        <w:t>. International Journal of Law and Management.</w:t>
      </w:r>
      <w:r>
        <w:rPr>
          <w:rStyle w:val="None"/>
          <w:rFonts w:eastAsia="Arial Unicode MS" w:cs="Arial Unicode MS"/>
        </w:rPr>
        <w:t xml:space="preserve"> </w:t>
      </w:r>
      <w:r>
        <w:rPr>
          <w:rStyle w:val="None"/>
          <w:rFonts w:ascii="Times New Roman" w:hAnsi="Times New Roman"/>
          <w:sz w:val="24"/>
          <w:szCs w:val="24"/>
          <w:lang w:val="en-US"/>
        </w:rPr>
        <w:t>Retrieved from: 60. 00-00. 10.1108/IJLMA-05-2017-0115, retrieved on: 5/05/2021</w:t>
      </w:r>
    </w:p>
    <w:p w14:paraId="3F21849E"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Saha</w:t>
      </w:r>
      <w:proofErr w:type="spellEnd"/>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R.and</w:t>
      </w:r>
      <w:proofErr w:type="spellEnd"/>
      <w:r>
        <w:rPr>
          <w:rStyle w:val="None"/>
          <w:rFonts w:ascii="Times New Roman" w:hAnsi="Times New Roman"/>
          <w:sz w:val="24"/>
          <w:szCs w:val="24"/>
          <w:lang w:val="en-US"/>
        </w:rPr>
        <w:t xml:space="preserve"> </w:t>
      </w:r>
      <w:proofErr w:type="spellStart"/>
      <w:r>
        <w:rPr>
          <w:rStyle w:val="None"/>
          <w:rFonts w:ascii="Times New Roman" w:hAnsi="Times New Roman"/>
          <w:sz w:val="24"/>
          <w:szCs w:val="24"/>
          <w:lang w:val="en-US"/>
        </w:rPr>
        <w:t>Kabra</w:t>
      </w:r>
      <w:proofErr w:type="spellEnd"/>
      <w:r>
        <w:rPr>
          <w:rStyle w:val="None"/>
          <w:rFonts w:ascii="Times New Roman" w:hAnsi="Times New Roman"/>
          <w:sz w:val="24"/>
          <w:szCs w:val="24"/>
          <w:lang w:val="en-US"/>
        </w:rPr>
        <w:t>, K.C. (2020) Corporate Governance and Voluntary Disclosure: A Synthesis of Empirical Studies. Business Perspectives and Research 8, 117–</w:t>
      </w:r>
      <w:r>
        <w:rPr>
          <w:rStyle w:val="None"/>
          <w:rFonts w:ascii="Times New Roman" w:hAnsi="Times New Roman"/>
          <w:sz w:val="24"/>
          <w:szCs w:val="24"/>
        </w:rPr>
        <w:t xml:space="preserve">138. </w:t>
      </w:r>
      <w:bookmarkStart w:id="110" w:name="_Hlk73386469"/>
      <w:r>
        <w:rPr>
          <w:rStyle w:val="None"/>
          <w:rFonts w:ascii="Times New Roman" w:hAnsi="Times New Roman"/>
          <w:sz w:val="24"/>
          <w:szCs w:val="24"/>
          <w:lang w:val="en-US"/>
        </w:rPr>
        <w:t xml:space="preserve">Retrieved from </w:t>
      </w:r>
      <w:bookmarkStart w:id="111" w:name="_Hlk73386933"/>
      <w:bookmarkEnd w:id="110"/>
      <w:r>
        <w:rPr>
          <w:rStyle w:val="None"/>
          <w:rFonts w:ascii="Times New Roman" w:hAnsi="Times New Roman"/>
          <w:sz w:val="24"/>
          <w:szCs w:val="24"/>
        </w:rPr>
        <w:t xml:space="preserve">: </w:t>
      </w:r>
      <w:bookmarkEnd w:id="111"/>
      <w:r>
        <w:rPr>
          <w:rStyle w:val="Hyperlink1"/>
          <w:rFonts w:eastAsia="Calibri"/>
        </w:rPr>
        <w:fldChar w:fldCharType="begin"/>
      </w:r>
      <w:r>
        <w:rPr>
          <w:rStyle w:val="Hyperlink1"/>
          <w:rFonts w:eastAsia="Calibri"/>
        </w:rPr>
        <w:instrText xml:space="preserve"> HYPERLINK "https://doi.org/10.1177/2278533719886998"</w:instrText>
      </w:r>
      <w:r>
        <w:rPr>
          <w:rStyle w:val="Hyperlink1"/>
          <w:rFonts w:eastAsia="Calibri"/>
        </w:rPr>
        <w:fldChar w:fldCharType="separate"/>
      </w:r>
      <w:r>
        <w:rPr>
          <w:rStyle w:val="Hyperlink1"/>
          <w:rFonts w:eastAsia="Arial Unicode MS" w:cs="Arial Unicode MS"/>
          <w:lang w:val="en-US"/>
        </w:rPr>
        <w:t>https://doi.org/10.1177/2278533719886998</w:t>
      </w:r>
      <w:r>
        <w:fldChar w:fldCharType="end"/>
      </w:r>
      <w:bookmarkStart w:id="112" w:name="_Hlk73386976"/>
      <w:r>
        <w:rPr>
          <w:rStyle w:val="None"/>
          <w:rFonts w:ascii="Times New Roman" w:hAnsi="Times New Roman"/>
          <w:sz w:val="24"/>
          <w:szCs w:val="24"/>
          <w:lang w:val="en-US"/>
        </w:rPr>
        <w:t xml:space="preserve"> retrieved on: 5/05/2021</w:t>
      </w:r>
      <w:bookmarkEnd w:id="112"/>
    </w:p>
    <w:p w14:paraId="03E9759F"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da-DK"/>
        </w:rPr>
        <w:t>Sareen, V.K. and Chander, S. (2009) Firm</w:t>
      </w:r>
      <w:r>
        <w:rPr>
          <w:rStyle w:val="None"/>
          <w:rFonts w:ascii="Times New Roman" w:hAnsi="Times New Roman"/>
          <w:sz w:val="24"/>
          <w:szCs w:val="24"/>
          <w:lang w:val="en-US"/>
        </w:rPr>
        <w:t xml:space="preserve">’s Attributes and Corporate Governance Disclosure Practices: An Empirical Investigation. </w:t>
      </w:r>
      <w:r>
        <w:rPr>
          <w:rStyle w:val="None"/>
          <w:rFonts w:ascii="Times New Roman" w:hAnsi="Times New Roman"/>
          <w:i/>
          <w:iCs/>
          <w:sz w:val="24"/>
          <w:szCs w:val="24"/>
          <w:lang w:val="en-US"/>
        </w:rPr>
        <w:t>Indian Journal of Corporate Governance 2, 23–</w:t>
      </w:r>
      <w:r>
        <w:rPr>
          <w:rStyle w:val="None"/>
          <w:rFonts w:ascii="Times New Roman" w:hAnsi="Times New Roman"/>
          <w:i/>
          <w:iCs/>
          <w:sz w:val="24"/>
          <w:szCs w:val="24"/>
          <w:lang w:val="ru-RU"/>
        </w:rPr>
        <w:t>57</w:t>
      </w:r>
      <w:r>
        <w:rPr>
          <w:rStyle w:val="None"/>
          <w:rFonts w:ascii="Times New Roman" w:hAnsi="Times New Roman"/>
          <w:sz w:val="24"/>
          <w:szCs w:val="24"/>
        </w:rPr>
        <w:t xml:space="preserve">. </w:t>
      </w:r>
    </w:p>
    <w:p w14:paraId="2E520E88"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en-US"/>
        </w:rPr>
        <w:t xml:space="preserve">Saunders M, Lewis P, Thornhill A. (2007) </w:t>
      </w:r>
      <w:r>
        <w:rPr>
          <w:rStyle w:val="None"/>
          <w:rFonts w:ascii="Times New Roman" w:hAnsi="Times New Roman"/>
          <w:i/>
          <w:iCs/>
          <w:sz w:val="24"/>
          <w:szCs w:val="24"/>
          <w:lang w:val="en-US"/>
        </w:rPr>
        <w:t>Research Methods for Business Students</w:t>
      </w:r>
      <w:r>
        <w:rPr>
          <w:rStyle w:val="None"/>
          <w:rFonts w:ascii="Times New Roman" w:hAnsi="Times New Roman"/>
          <w:sz w:val="24"/>
          <w:szCs w:val="24"/>
          <w:lang w:val="en-US"/>
        </w:rPr>
        <w:t>. 4th ed. London: Financial Times Prentice Hall.</w:t>
      </w:r>
    </w:p>
    <w:p w14:paraId="1D0452F9" w14:textId="77777777" w:rsidR="00DC4459" w:rsidRDefault="00077D4E">
      <w:pPr>
        <w:pStyle w:val="Body"/>
        <w:rPr>
          <w:rStyle w:val="None"/>
          <w:rFonts w:ascii="Times New Roman" w:eastAsia="Times New Roman" w:hAnsi="Times New Roman" w:cs="Times New Roman"/>
          <w:i/>
          <w:iCs/>
          <w:sz w:val="24"/>
          <w:szCs w:val="24"/>
        </w:rPr>
      </w:pPr>
      <w:r>
        <w:rPr>
          <w:rStyle w:val="None"/>
          <w:rFonts w:ascii="Times New Roman" w:hAnsi="Times New Roman"/>
          <w:sz w:val="24"/>
          <w:szCs w:val="24"/>
          <w:lang w:val="en-US"/>
        </w:rPr>
        <w:t xml:space="preserve">Schwartz-Ziv, M. (2017). Gender and Board Activeness: The Role of a Critical Mass. </w:t>
      </w:r>
      <w:r>
        <w:rPr>
          <w:rStyle w:val="None"/>
          <w:rFonts w:ascii="Times New Roman" w:hAnsi="Times New Roman"/>
          <w:i/>
          <w:iCs/>
          <w:sz w:val="24"/>
          <w:szCs w:val="24"/>
          <w:lang w:val="en-US"/>
        </w:rPr>
        <w:t>Journal of Financial and Quantitative Analysis. 52. 1-30..</w:t>
      </w:r>
    </w:p>
    <w:p w14:paraId="49EFCC95"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rPr>
        <w:t xml:space="preserve">Sekaran U, Bougie R (2013). </w:t>
      </w:r>
      <w:r>
        <w:rPr>
          <w:rStyle w:val="None"/>
          <w:rFonts w:ascii="Times New Roman" w:hAnsi="Times New Roman"/>
          <w:i/>
          <w:iCs/>
          <w:sz w:val="24"/>
          <w:szCs w:val="24"/>
          <w:lang w:val="en-US"/>
        </w:rPr>
        <w:t>Research Methods for Business: A Skill Building Approac</w:t>
      </w:r>
      <w:r>
        <w:rPr>
          <w:rStyle w:val="None"/>
          <w:rFonts w:ascii="Times New Roman" w:hAnsi="Times New Roman"/>
          <w:sz w:val="24"/>
          <w:szCs w:val="24"/>
          <w:lang w:val="en-US"/>
        </w:rPr>
        <w:t>h. 6th ed. Hoboken, NJ: John Wiley and Sons.</w:t>
      </w:r>
    </w:p>
    <w:p w14:paraId="0F885DD4"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en-US"/>
        </w:rPr>
        <w:lastRenderedPageBreak/>
        <w:t xml:space="preserve">Sheridan, L., Jones E. and Marston, C. (2006) Corporate Governance Codes and the Supply of Corporate Information in the UK. Corporate Governance: An International Review 14, 497–503. Retrieved from: </w:t>
      </w:r>
      <w:hyperlink r:id="rId20" w:history="1">
        <w:r>
          <w:rPr>
            <w:rStyle w:val="Hyperlink1"/>
            <w:rFonts w:eastAsia="Calibri"/>
            <w:lang w:val="en-US"/>
          </w:rPr>
          <w:t>https://doi.org/10.1111/j.1467-8683.2006.00520.x#</w:t>
        </w:r>
      </w:hyperlink>
      <w:r>
        <w:rPr>
          <w:rStyle w:val="None"/>
          <w:rFonts w:ascii="Times New Roman" w:hAnsi="Times New Roman"/>
          <w:sz w:val="24"/>
          <w:szCs w:val="24"/>
        </w:rPr>
        <w:t xml:space="preserve"> </w:t>
      </w:r>
      <w:bookmarkStart w:id="113" w:name="_Hlk73387128"/>
      <w:r>
        <w:rPr>
          <w:rStyle w:val="None"/>
          <w:rFonts w:ascii="Times New Roman" w:hAnsi="Times New Roman"/>
          <w:sz w:val="24"/>
          <w:szCs w:val="24"/>
          <w:lang w:val="en-US"/>
        </w:rPr>
        <w:t>retrieved on: 5/05/2021</w:t>
      </w:r>
      <w:bookmarkEnd w:id="113"/>
    </w:p>
    <w:p w14:paraId="7D843E7E"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Smii</w:t>
      </w:r>
      <w:proofErr w:type="spellEnd"/>
      <w:r>
        <w:rPr>
          <w:rStyle w:val="None"/>
          <w:rFonts w:ascii="Times New Roman" w:hAnsi="Times New Roman"/>
          <w:sz w:val="24"/>
          <w:szCs w:val="24"/>
          <w:lang w:val="en-US"/>
        </w:rPr>
        <w:t xml:space="preserve">, S. P., (2016). Audit Committees and Financial Reporting Quality Following the Government </w:t>
      </w:r>
      <w:r>
        <w:rPr>
          <w:rStyle w:val="None"/>
          <w:rFonts w:ascii="Times New Roman" w:hAnsi="Times New Roman"/>
          <w:sz w:val="24"/>
          <w:szCs w:val="24"/>
          <w:lang w:val="en-US"/>
        </w:rPr>
        <w:tab/>
        <w:t>Transformation Program: Evidence from Malaysia. AKEPT Annual Young Researchers X³</w:t>
      </w:r>
      <w:r>
        <w:rPr>
          <w:rStyle w:val="None"/>
          <w:rFonts w:ascii="Times New Roman" w:hAnsi="Times New Roman"/>
          <w:sz w:val="24"/>
          <w:szCs w:val="24"/>
        </w:rPr>
        <w:t>.</w:t>
      </w:r>
    </w:p>
    <w:p w14:paraId="555E559E" w14:textId="77777777" w:rsidR="00DC4459" w:rsidRDefault="00077D4E">
      <w:pPr>
        <w:pStyle w:val="Body"/>
        <w:rPr>
          <w:rStyle w:val="None"/>
          <w:rFonts w:ascii="Times New Roman" w:eastAsia="Times New Roman" w:hAnsi="Times New Roman" w:cs="Times New Roman"/>
          <w:sz w:val="24"/>
          <w:szCs w:val="24"/>
        </w:rPr>
      </w:pPr>
      <w:proofErr w:type="spellStart"/>
      <w:r>
        <w:rPr>
          <w:rStyle w:val="None"/>
          <w:rFonts w:ascii="Times New Roman" w:hAnsi="Times New Roman"/>
          <w:sz w:val="24"/>
          <w:szCs w:val="24"/>
          <w:lang w:val="en-US"/>
        </w:rPr>
        <w:t>Stoeberl</w:t>
      </w:r>
      <w:proofErr w:type="spellEnd"/>
      <w:r>
        <w:rPr>
          <w:rStyle w:val="None"/>
          <w:rFonts w:ascii="Times New Roman" w:hAnsi="Times New Roman"/>
          <w:sz w:val="24"/>
          <w:szCs w:val="24"/>
          <w:lang w:val="en-US"/>
        </w:rPr>
        <w:t xml:space="preserve">, P.A., and </w:t>
      </w:r>
      <w:proofErr w:type="spellStart"/>
      <w:r>
        <w:rPr>
          <w:rStyle w:val="None"/>
          <w:rFonts w:ascii="Times New Roman" w:hAnsi="Times New Roman"/>
          <w:sz w:val="24"/>
          <w:szCs w:val="24"/>
          <w:lang w:val="en-US"/>
        </w:rPr>
        <w:t>Sherony</w:t>
      </w:r>
      <w:proofErr w:type="spellEnd"/>
      <w:r>
        <w:rPr>
          <w:rStyle w:val="None"/>
          <w:rFonts w:ascii="Times New Roman" w:hAnsi="Times New Roman"/>
          <w:sz w:val="24"/>
          <w:szCs w:val="24"/>
          <w:lang w:val="en-US"/>
        </w:rPr>
        <w:t xml:space="preserve">, B.C. (2017). Board efficiency and effectiveness. In E. </w:t>
      </w:r>
      <w:proofErr w:type="spellStart"/>
      <w:r>
        <w:rPr>
          <w:rStyle w:val="None"/>
          <w:rFonts w:ascii="Times New Roman" w:hAnsi="Times New Roman"/>
          <w:sz w:val="24"/>
          <w:szCs w:val="24"/>
          <w:lang w:val="en-US"/>
        </w:rPr>
        <w:t>Mattar</w:t>
      </w:r>
      <w:proofErr w:type="spellEnd"/>
      <w:r>
        <w:rPr>
          <w:rStyle w:val="None"/>
          <w:rFonts w:ascii="Times New Roman" w:hAnsi="Times New Roman"/>
          <w:sz w:val="24"/>
          <w:szCs w:val="24"/>
          <w:lang w:val="en-US"/>
        </w:rPr>
        <w:t xml:space="preserve"> and M. Ball (Eds</w:t>
      </w:r>
      <w:r>
        <w:rPr>
          <w:rStyle w:val="None"/>
          <w:rFonts w:ascii="Times New Roman" w:hAnsi="Times New Roman"/>
          <w:i/>
          <w:iCs/>
          <w:sz w:val="24"/>
          <w:szCs w:val="24"/>
          <w:lang w:val="en-US"/>
        </w:rPr>
        <w:t>.), Handbook for Corporate Directors</w:t>
      </w:r>
      <w:r>
        <w:rPr>
          <w:rStyle w:val="None"/>
          <w:rFonts w:ascii="Times New Roman" w:hAnsi="Times New Roman"/>
          <w:sz w:val="24"/>
          <w:szCs w:val="24"/>
          <w:lang w:val="en-US"/>
        </w:rPr>
        <w:t xml:space="preserve">. McGraw-Hill, New York: </w:t>
      </w:r>
    </w:p>
    <w:p w14:paraId="1F077354"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lang w:val="en-US"/>
        </w:rPr>
        <w:t xml:space="preserve">Ward, M., (1998) Director Remuneration: a gap in the disclosure rules. Corporate Governance: An International Review 6, 48. Retrieved from: </w:t>
      </w:r>
      <w:hyperlink r:id="rId21" w:history="1">
        <w:r>
          <w:rPr>
            <w:rStyle w:val="Hyperlink2"/>
            <w:rFonts w:eastAsia="Calibri"/>
            <w:lang w:val="en-US"/>
          </w:rPr>
          <w:t>https://doi.org/10.1111/1467-8683.00079</w:t>
        </w:r>
      </w:hyperlink>
      <w:r>
        <w:rPr>
          <w:rStyle w:val="None"/>
          <w:rFonts w:ascii="Times New Roman" w:hAnsi="Times New Roman"/>
          <w:sz w:val="24"/>
          <w:szCs w:val="24"/>
          <w:lang w:val="en-US"/>
        </w:rPr>
        <w:t xml:space="preserve"> retrieved on: 5/05/2021</w:t>
      </w:r>
    </w:p>
    <w:p w14:paraId="7BE02AB0" w14:textId="77777777" w:rsidR="00DC4459" w:rsidRDefault="00077D4E">
      <w:pPr>
        <w:pStyle w:val="Body"/>
        <w:jc w:val="both"/>
        <w:rPr>
          <w:rStyle w:val="None"/>
          <w:rFonts w:ascii="Times New Roman" w:eastAsia="Times New Roman" w:hAnsi="Times New Roman" w:cs="Times New Roman"/>
          <w:sz w:val="24"/>
          <w:szCs w:val="24"/>
        </w:rPr>
      </w:pPr>
      <w:r>
        <w:rPr>
          <w:rStyle w:val="None"/>
          <w:rFonts w:ascii="Times New Roman" w:hAnsi="Times New Roman"/>
          <w:sz w:val="24"/>
          <w:szCs w:val="24"/>
        </w:rPr>
        <w:t xml:space="preserve">Wiersma W, </w:t>
      </w:r>
      <w:proofErr w:type="spellStart"/>
      <w:r>
        <w:rPr>
          <w:rStyle w:val="None"/>
          <w:rFonts w:ascii="Times New Roman" w:hAnsi="Times New Roman"/>
          <w:sz w:val="24"/>
          <w:szCs w:val="24"/>
        </w:rPr>
        <w:t>Jurs</w:t>
      </w:r>
      <w:proofErr w:type="spellEnd"/>
      <w:r>
        <w:rPr>
          <w:rStyle w:val="None"/>
          <w:rFonts w:ascii="Times New Roman" w:hAnsi="Times New Roman"/>
          <w:sz w:val="24"/>
          <w:szCs w:val="24"/>
        </w:rPr>
        <w:t xml:space="preserve"> SG (2008). </w:t>
      </w:r>
      <w:r>
        <w:rPr>
          <w:rStyle w:val="None"/>
          <w:rFonts w:ascii="Times New Roman" w:hAnsi="Times New Roman"/>
          <w:i/>
          <w:iCs/>
          <w:sz w:val="24"/>
          <w:szCs w:val="24"/>
          <w:lang w:val="en-US"/>
        </w:rPr>
        <w:t>Research Methods in Education: An Introduction</w:t>
      </w:r>
      <w:r>
        <w:rPr>
          <w:rStyle w:val="None"/>
          <w:rFonts w:ascii="Times New Roman" w:hAnsi="Times New Roman"/>
          <w:sz w:val="24"/>
          <w:szCs w:val="24"/>
          <w:lang w:val="en-US"/>
        </w:rPr>
        <w:t>. 9th ed. London, UK: Pearson.</w:t>
      </w:r>
    </w:p>
    <w:p w14:paraId="61D2A596" w14:textId="77777777" w:rsidR="00DC4459" w:rsidRDefault="00DC4459">
      <w:pPr>
        <w:pStyle w:val="Body"/>
        <w:jc w:val="both"/>
        <w:rPr>
          <w:rStyle w:val="None"/>
          <w:rFonts w:ascii="Times New Roman" w:eastAsia="Times New Roman" w:hAnsi="Times New Roman" w:cs="Times New Roman"/>
          <w:sz w:val="24"/>
          <w:szCs w:val="24"/>
        </w:rPr>
      </w:pPr>
    </w:p>
    <w:p w14:paraId="69274AE0" w14:textId="77777777" w:rsidR="00DC4459" w:rsidRDefault="00DC4459">
      <w:pPr>
        <w:pStyle w:val="Body"/>
        <w:jc w:val="both"/>
        <w:rPr>
          <w:rStyle w:val="None"/>
          <w:rFonts w:ascii="Times New Roman" w:eastAsia="Times New Roman" w:hAnsi="Times New Roman" w:cs="Times New Roman"/>
          <w:sz w:val="24"/>
          <w:szCs w:val="24"/>
        </w:rPr>
      </w:pPr>
    </w:p>
    <w:p w14:paraId="237055FC" w14:textId="77777777" w:rsidR="00DC4459" w:rsidRDefault="00DC4459">
      <w:pPr>
        <w:pStyle w:val="Body"/>
        <w:jc w:val="both"/>
        <w:rPr>
          <w:rStyle w:val="None"/>
          <w:rFonts w:ascii="Times New Roman" w:eastAsia="Times New Roman" w:hAnsi="Times New Roman" w:cs="Times New Roman"/>
          <w:sz w:val="24"/>
          <w:szCs w:val="24"/>
        </w:rPr>
      </w:pPr>
    </w:p>
    <w:p w14:paraId="279F5986" w14:textId="77777777" w:rsidR="00DC4459" w:rsidRDefault="00DC4459">
      <w:pPr>
        <w:pStyle w:val="Body"/>
        <w:jc w:val="both"/>
        <w:rPr>
          <w:rStyle w:val="None"/>
          <w:rFonts w:ascii="Times New Roman" w:eastAsia="Times New Roman" w:hAnsi="Times New Roman" w:cs="Times New Roman"/>
          <w:sz w:val="24"/>
          <w:szCs w:val="24"/>
        </w:rPr>
      </w:pPr>
    </w:p>
    <w:p w14:paraId="273A2D44" w14:textId="77777777" w:rsidR="00DC4459" w:rsidRDefault="00DC4459">
      <w:pPr>
        <w:pStyle w:val="Body"/>
        <w:jc w:val="both"/>
        <w:rPr>
          <w:rStyle w:val="None"/>
          <w:rFonts w:ascii="Times New Roman" w:eastAsia="Times New Roman" w:hAnsi="Times New Roman" w:cs="Times New Roman"/>
          <w:sz w:val="24"/>
          <w:szCs w:val="24"/>
        </w:rPr>
      </w:pPr>
    </w:p>
    <w:p w14:paraId="7DE75D65" w14:textId="77777777" w:rsidR="00DC4459" w:rsidRDefault="00DC4459">
      <w:pPr>
        <w:pStyle w:val="Body"/>
        <w:jc w:val="both"/>
        <w:rPr>
          <w:rStyle w:val="None"/>
          <w:rFonts w:ascii="Times New Roman" w:eastAsia="Times New Roman" w:hAnsi="Times New Roman" w:cs="Times New Roman"/>
          <w:sz w:val="24"/>
          <w:szCs w:val="24"/>
        </w:rPr>
      </w:pPr>
    </w:p>
    <w:p w14:paraId="2FF6E7C6" w14:textId="77777777" w:rsidR="00DC4459" w:rsidRDefault="00DC4459">
      <w:pPr>
        <w:pStyle w:val="Body"/>
        <w:jc w:val="both"/>
        <w:rPr>
          <w:rStyle w:val="None"/>
          <w:rFonts w:ascii="Times New Roman" w:eastAsia="Times New Roman" w:hAnsi="Times New Roman" w:cs="Times New Roman"/>
          <w:sz w:val="24"/>
          <w:szCs w:val="24"/>
        </w:rPr>
      </w:pPr>
    </w:p>
    <w:p w14:paraId="2E2668FA" w14:textId="77777777" w:rsidR="00DC4459" w:rsidRDefault="00DC4459">
      <w:pPr>
        <w:pStyle w:val="Body"/>
        <w:jc w:val="both"/>
        <w:rPr>
          <w:rStyle w:val="None"/>
          <w:rFonts w:ascii="Times New Roman" w:eastAsia="Times New Roman" w:hAnsi="Times New Roman" w:cs="Times New Roman"/>
          <w:sz w:val="24"/>
          <w:szCs w:val="24"/>
        </w:rPr>
      </w:pPr>
    </w:p>
    <w:p w14:paraId="129614B1" w14:textId="77777777" w:rsidR="00DC4459" w:rsidRDefault="00DC4459">
      <w:pPr>
        <w:pStyle w:val="Body"/>
        <w:jc w:val="both"/>
        <w:rPr>
          <w:rStyle w:val="None"/>
          <w:rFonts w:ascii="Times New Roman" w:eastAsia="Times New Roman" w:hAnsi="Times New Roman" w:cs="Times New Roman"/>
          <w:sz w:val="24"/>
          <w:szCs w:val="24"/>
        </w:rPr>
      </w:pPr>
    </w:p>
    <w:p w14:paraId="22A483EC" w14:textId="77777777" w:rsidR="00DC4459" w:rsidRDefault="00DC4459">
      <w:pPr>
        <w:pStyle w:val="Body"/>
        <w:jc w:val="both"/>
        <w:rPr>
          <w:rStyle w:val="None"/>
          <w:rFonts w:ascii="Times New Roman" w:eastAsia="Times New Roman" w:hAnsi="Times New Roman" w:cs="Times New Roman"/>
          <w:sz w:val="24"/>
          <w:szCs w:val="24"/>
        </w:rPr>
      </w:pPr>
    </w:p>
    <w:p w14:paraId="1C65C25D" w14:textId="77777777" w:rsidR="00DC4459" w:rsidRDefault="00DC4459">
      <w:pPr>
        <w:pStyle w:val="Body"/>
        <w:jc w:val="both"/>
        <w:rPr>
          <w:rStyle w:val="None"/>
          <w:rFonts w:ascii="Times New Roman" w:eastAsia="Times New Roman" w:hAnsi="Times New Roman" w:cs="Times New Roman"/>
          <w:sz w:val="24"/>
          <w:szCs w:val="24"/>
        </w:rPr>
      </w:pPr>
    </w:p>
    <w:p w14:paraId="06DE2428" w14:textId="77777777" w:rsidR="00DC4459" w:rsidRDefault="00DC4459">
      <w:pPr>
        <w:pStyle w:val="Body"/>
        <w:jc w:val="both"/>
        <w:rPr>
          <w:rStyle w:val="None"/>
          <w:rFonts w:ascii="Times New Roman" w:eastAsia="Times New Roman" w:hAnsi="Times New Roman" w:cs="Times New Roman"/>
          <w:sz w:val="24"/>
          <w:szCs w:val="24"/>
        </w:rPr>
      </w:pPr>
    </w:p>
    <w:p w14:paraId="131DD91E" w14:textId="77777777" w:rsidR="00DC4459" w:rsidRDefault="00DC4459">
      <w:pPr>
        <w:pStyle w:val="Body"/>
        <w:jc w:val="both"/>
        <w:rPr>
          <w:rStyle w:val="None"/>
          <w:rFonts w:ascii="Times New Roman" w:eastAsia="Times New Roman" w:hAnsi="Times New Roman" w:cs="Times New Roman"/>
          <w:sz w:val="24"/>
          <w:szCs w:val="24"/>
        </w:rPr>
      </w:pPr>
    </w:p>
    <w:p w14:paraId="7B1F0B6B" w14:textId="77777777" w:rsidR="00DC4459" w:rsidRDefault="00DC4459">
      <w:pPr>
        <w:pStyle w:val="Body"/>
        <w:jc w:val="both"/>
        <w:rPr>
          <w:rStyle w:val="None"/>
          <w:rFonts w:ascii="Times New Roman" w:eastAsia="Times New Roman" w:hAnsi="Times New Roman" w:cs="Times New Roman"/>
          <w:sz w:val="24"/>
          <w:szCs w:val="24"/>
        </w:rPr>
      </w:pPr>
    </w:p>
    <w:p w14:paraId="7105F890" w14:textId="77777777" w:rsidR="00DC4459" w:rsidRDefault="00DC4459">
      <w:pPr>
        <w:pStyle w:val="Body"/>
        <w:jc w:val="both"/>
        <w:rPr>
          <w:rStyle w:val="None"/>
          <w:rFonts w:ascii="Times New Roman" w:eastAsia="Times New Roman" w:hAnsi="Times New Roman" w:cs="Times New Roman"/>
          <w:sz w:val="24"/>
          <w:szCs w:val="24"/>
        </w:rPr>
      </w:pPr>
    </w:p>
    <w:p w14:paraId="0D1D8D59" w14:textId="77777777" w:rsidR="00DC4459" w:rsidRDefault="00DC4459">
      <w:pPr>
        <w:pStyle w:val="Body"/>
        <w:jc w:val="both"/>
        <w:rPr>
          <w:rStyle w:val="None"/>
          <w:rFonts w:ascii="Times New Roman" w:eastAsia="Times New Roman" w:hAnsi="Times New Roman" w:cs="Times New Roman"/>
          <w:sz w:val="24"/>
          <w:szCs w:val="24"/>
        </w:rPr>
      </w:pPr>
    </w:p>
    <w:p w14:paraId="41C44B80" w14:textId="77777777" w:rsidR="00DC4459" w:rsidRDefault="00DC4459">
      <w:pPr>
        <w:pStyle w:val="Body"/>
        <w:jc w:val="both"/>
        <w:rPr>
          <w:rStyle w:val="None"/>
          <w:rFonts w:ascii="Times New Roman" w:eastAsia="Times New Roman" w:hAnsi="Times New Roman" w:cs="Times New Roman"/>
          <w:sz w:val="24"/>
          <w:szCs w:val="24"/>
        </w:rPr>
      </w:pPr>
    </w:p>
    <w:p w14:paraId="229141DF" w14:textId="77777777" w:rsidR="00DC4459" w:rsidRDefault="00DC4459">
      <w:pPr>
        <w:pStyle w:val="Body"/>
        <w:jc w:val="both"/>
        <w:rPr>
          <w:rStyle w:val="None"/>
          <w:rFonts w:ascii="Times New Roman" w:eastAsia="Times New Roman" w:hAnsi="Times New Roman" w:cs="Times New Roman"/>
          <w:sz w:val="24"/>
          <w:szCs w:val="24"/>
        </w:rPr>
      </w:pPr>
    </w:p>
    <w:p w14:paraId="3998CFB8" w14:textId="77777777" w:rsidR="00DC4459" w:rsidRDefault="00DC4459">
      <w:pPr>
        <w:pStyle w:val="Body"/>
        <w:jc w:val="both"/>
        <w:rPr>
          <w:rStyle w:val="None"/>
          <w:rFonts w:ascii="Times New Roman" w:eastAsia="Times New Roman" w:hAnsi="Times New Roman" w:cs="Times New Roman"/>
          <w:sz w:val="24"/>
          <w:szCs w:val="24"/>
        </w:rPr>
      </w:pPr>
    </w:p>
    <w:p w14:paraId="3665992A" w14:textId="77777777" w:rsidR="00DC4459" w:rsidRDefault="00DC4459">
      <w:pPr>
        <w:pStyle w:val="Body"/>
        <w:jc w:val="both"/>
        <w:rPr>
          <w:rStyle w:val="None"/>
          <w:rFonts w:ascii="Times New Roman" w:eastAsia="Times New Roman" w:hAnsi="Times New Roman" w:cs="Times New Roman"/>
          <w:sz w:val="24"/>
          <w:szCs w:val="24"/>
        </w:rPr>
      </w:pPr>
    </w:p>
    <w:p w14:paraId="72B1B97F" w14:textId="77777777" w:rsidR="00DC4459" w:rsidRDefault="00DC4459">
      <w:pPr>
        <w:pStyle w:val="Heading"/>
        <w:sectPr w:rsidR="00DC4459">
          <w:headerReference w:type="default" r:id="rId22"/>
          <w:footerReference w:type="default" r:id="rId23"/>
          <w:pgSz w:w="11900" w:h="16840"/>
          <w:pgMar w:top="1440" w:right="1440" w:bottom="1440" w:left="1440" w:header="708" w:footer="708" w:gutter="0"/>
          <w:pgNumType w:start="1"/>
          <w:cols w:space="720"/>
        </w:sectPr>
      </w:pPr>
    </w:p>
    <w:p w14:paraId="272623CA" w14:textId="77777777" w:rsidR="00DC4459" w:rsidRDefault="00077D4E">
      <w:pPr>
        <w:pStyle w:val="Heading"/>
        <w:rPr>
          <w:rStyle w:val="None"/>
        </w:rPr>
      </w:pPr>
      <w:bookmarkStart w:id="114" w:name="_Toc73739056"/>
      <w:r>
        <w:rPr>
          <w:rStyle w:val="None"/>
          <w:rFonts w:eastAsia="Arial Unicode MS" w:cs="Arial Unicode MS"/>
          <w:lang w:val="da-DK"/>
        </w:rPr>
        <w:lastRenderedPageBreak/>
        <w:t>Appendix A: Consent Form</w:t>
      </w:r>
      <w:bookmarkEnd w:id="114"/>
    </w:p>
    <w:p w14:paraId="7D37D086" w14:textId="77777777" w:rsidR="00DC4459" w:rsidRDefault="00DC4459">
      <w:pPr>
        <w:pStyle w:val="Body"/>
        <w:jc w:val="both"/>
        <w:rPr>
          <w:rStyle w:val="None"/>
          <w:rFonts w:ascii="Times New Roman" w:eastAsia="Times New Roman" w:hAnsi="Times New Roman" w:cs="Times New Roman"/>
          <w:sz w:val="24"/>
          <w:szCs w:val="24"/>
        </w:rPr>
      </w:pPr>
    </w:p>
    <w:p w14:paraId="6147A435" w14:textId="77777777" w:rsidR="00DC4459" w:rsidRDefault="00077D4E">
      <w:pPr>
        <w:pStyle w:val="Body"/>
        <w:jc w:val="both"/>
        <w:rPr>
          <w:rStyle w:val="None"/>
          <w:rFonts w:ascii="Times New Roman" w:eastAsia="Times New Roman" w:hAnsi="Times New Roman" w:cs="Times New Roman"/>
          <w:sz w:val="24"/>
          <w:szCs w:val="24"/>
        </w:rPr>
      </w:pPr>
      <w:r>
        <w:rPr>
          <w:rStyle w:val="None"/>
          <w:noProof/>
        </w:rPr>
        <w:drawing>
          <wp:inline distT="0" distB="0" distL="0" distR="0" wp14:anchorId="38BA128E" wp14:editId="55669672">
            <wp:extent cx="5731510" cy="6668135"/>
            <wp:effectExtent l="0" t="0" r="0" b="0"/>
            <wp:docPr id="1073741827" name="officeArt object" descr="Picture 3"/>
            <wp:cNvGraphicFramePr/>
            <a:graphic xmlns:a="http://schemas.openxmlformats.org/drawingml/2006/main">
              <a:graphicData uri="http://schemas.openxmlformats.org/drawingml/2006/picture">
                <pic:pic xmlns:pic="http://schemas.openxmlformats.org/drawingml/2006/picture">
                  <pic:nvPicPr>
                    <pic:cNvPr id="1073741827" name="Picture 3" descr="Picture 3"/>
                    <pic:cNvPicPr>
                      <a:picLocks noChangeAspect="1"/>
                    </pic:cNvPicPr>
                  </pic:nvPicPr>
                  <pic:blipFill>
                    <a:blip r:embed="rId24"/>
                    <a:stretch>
                      <a:fillRect/>
                    </a:stretch>
                  </pic:blipFill>
                  <pic:spPr>
                    <a:xfrm>
                      <a:off x="0" y="0"/>
                      <a:ext cx="5731510" cy="6668135"/>
                    </a:xfrm>
                    <a:prstGeom prst="rect">
                      <a:avLst/>
                    </a:prstGeom>
                    <a:ln w="12700" cap="flat">
                      <a:noFill/>
                      <a:miter lim="400000"/>
                    </a:ln>
                    <a:effectLst/>
                  </pic:spPr>
                </pic:pic>
              </a:graphicData>
            </a:graphic>
          </wp:inline>
        </w:drawing>
      </w:r>
    </w:p>
    <w:p w14:paraId="14736517" w14:textId="77777777" w:rsidR="00DC4459" w:rsidRDefault="00DC4459">
      <w:pPr>
        <w:pStyle w:val="Body"/>
        <w:spacing w:before="240" w:line="360" w:lineRule="auto"/>
        <w:jc w:val="both"/>
        <w:rPr>
          <w:rStyle w:val="None"/>
          <w:rFonts w:ascii="Times New Roman" w:eastAsia="Times New Roman" w:hAnsi="Times New Roman" w:cs="Times New Roman"/>
          <w:sz w:val="24"/>
          <w:szCs w:val="24"/>
        </w:rPr>
      </w:pPr>
    </w:p>
    <w:p w14:paraId="29F9E30C" w14:textId="77777777" w:rsidR="00DC4459" w:rsidRDefault="00DC4459">
      <w:pPr>
        <w:pStyle w:val="Body"/>
        <w:spacing w:before="240" w:line="360" w:lineRule="auto"/>
        <w:jc w:val="both"/>
        <w:rPr>
          <w:rStyle w:val="None"/>
          <w:rFonts w:ascii="Times New Roman" w:eastAsia="Times New Roman" w:hAnsi="Times New Roman" w:cs="Times New Roman"/>
          <w:sz w:val="24"/>
          <w:szCs w:val="24"/>
        </w:rPr>
      </w:pPr>
    </w:p>
    <w:p w14:paraId="728805F8" w14:textId="77777777" w:rsidR="00DC4459" w:rsidRDefault="00DC4459">
      <w:pPr>
        <w:pStyle w:val="Body"/>
        <w:spacing w:before="240" w:line="360" w:lineRule="auto"/>
        <w:jc w:val="both"/>
        <w:rPr>
          <w:rStyle w:val="None"/>
          <w:rFonts w:ascii="Times New Roman" w:eastAsia="Times New Roman" w:hAnsi="Times New Roman" w:cs="Times New Roman"/>
          <w:sz w:val="24"/>
          <w:szCs w:val="24"/>
        </w:rPr>
      </w:pPr>
    </w:p>
    <w:p w14:paraId="6759E74A" w14:textId="77777777" w:rsidR="00DC4459" w:rsidRDefault="00077D4E">
      <w:pPr>
        <w:pStyle w:val="Heading"/>
      </w:pPr>
      <w:bookmarkStart w:id="115" w:name="_Toc73739057"/>
      <w:r>
        <w:rPr>
          <w:rStyle w:val="None"/>
          <w:rFonts w:eastAsia="Arial Unicode MS" w:cs="Arial Unicode MS"/>
          <w:lang w:val="en-US"/>
        </w:rPr>
        <w:lastRenderedPageBreak/>
        <w:t>Appendix B: Interview Schedule</w:t>
      </w:r>
      <w:bookmarkEnd w:id="115"/>
      <w:r>
        <w:rPr>
          <w:rStyle w:val="None"/>
          <w:rFonts w:eastAsia="Arial Unicode MS" w:cs="Arial Unicode MS"/>
          <w:lang w:val="en-US"/>
        </w:rPr>
        <w:t xml:space="preserve"> </w:t>
      </w:r>
    </w:p>
    <w:p w14:paraId="7F0AE6CF"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color w:val="222222"/>
          <w:u w:color="222222"/>
        </w:rPr>
      </w:pPr>
      <w:r>
        <w:rPr>
          <w:rStyle w:val="None"/>
          <w:rFonts w:ascii="Times New Roman" w:hAnsi="Times New Roman"/>
          <w:color w:val="313131"/>
          <w:u w:color="313131"/>
          <w:lang w:val="en-US"/>
        </w:rPr>
        <w:t> </w:t>
      </w:r>
      <w:r>
        <w:rPr>
          <w:rStyle w:val="None"/>
          <w:noProof/>
        </w:rPr>
        <w:drawing>
          <wp:inline distT="0" distB="0" distL="0" distR="0" wp14:anchorId="5BA66A7B" wp14:editId="1A4FCD13">
            <wp:extent cx="5731510" cy="8263891"/>
            <wp:effectExtent l="0" t="0" r="0" b="0"/>
            <wp:docPr id="1073741828" name="officeArt object" descr="Picture 5"/>
            <wp:cNvGraphicFramePr/>
            <a:graphic xmlns:a="http://schemas.openxmlformats.org/drawingml/2006/main">
              <a:graphicData uri="http://schemas.openxmlformats.org/drawingml/2006/picture">
                <pic:pic xmlns:pic="http://schemas.openxmlformats.org/drawingml/2006/picture">
                  <pic:nvPicPr>
                    <pic:cNvPr id="1073741828" name="Picture 5" descr="Picture 5"/>
                    <pic:cNvPicPr>
                      <a:picLocks noChangeAspect="1"/>
                    </pic:cNvPicPr>
                  </pic:nvPicPr>
                  <pic:blipFill>
                    <a:blip r:embed="rId25"/>
                    <a:stretch>
                      <a:fillRect/>
                    </a:stretch>
                  </pic:blipFill>
                  <pic:spPr>
                    <a:xfrm>
                      <a:off x="0" y="0"/>
                      <a:ext cx="5731510" cy="8263891"/>
                    </a:xfrm>
                    <a:prstGeom prst="rect">
                      <a:avLst/>
                    </a:prstGeom>
                    <a:ln w="12700" cap="flat">
                      <a:noFill/>
                      <a:miter lim="400000"/>
                    </a:ln>
                    <a:effectLst/>
                  </pic:spPr>
                </pic:pic>
              </a:graphicData>
            </a:graphic>
          </wp:inline>
        </w:drawing>
      </w:r>
    </w:p>
    <w:p w14:paraId="604586BD" w14:textId="77777777" w:rsidR="00DC4459" w:rsidRDefault="00077D4E">
      <w:pPr>
        <w:pStyle w:val="Heading"/>
        <w:rPr>
          <w:rStyle w:val="None"/>
        </w:rPr>
      </w:pPr>
      <w:bookmarkStart w:id="116" w:name="_Toc73739058"/>
      <w:r>
        <w:rPr>
          <w:rStyle w:val="None"/>
          <w:rFonts w:eastAsia="Arial Unicode MS" w:cs="Arial Unicode MS"/>
          <w:lang w:val="en-US"/>
        </w:rPr>
        <w:lastRenderedPageBreak/>
        <w:t>Appendix C: Transcribed Interview for AN</w:t>
      </w:r>
      <w:bookmarkEnd w:id="116"/>
      <w:r>
        <w:rPr>
          <w:rStyle w:val="None"/>
          <w:rFonts w:eastAsia="Arial Unicode MS" w:cs="Arial Unicode MS"/>
          <w:lang w:val="en-US"/>
        </w:rPr>
        <w:t xml:space="preserve"> </w:t>
      </w:r>
    </w:p>
    <w:p w14:paraId="664EDE18"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color w:val="222222"/>
          <w:u w:color="222222"/>
        </w:rPr>
      </w:pPr>
      <w:r>
        <w:rPr>
          <w:rStyle w:val="None"/>
          <w:noProof/>
        </w:rPr>
        <w:drawing>
          <wp:anchor distT="57150" distB="57150" distL="57150" distR="57150" simplePos="0" relativeHeight="251660288" behindDoc="0" locked="0" layoutInCell="1" allowOverlap="1" wp14:anchorId="027B03F5" wp14:editId="44538E5E">
            <wp:simplePos x="0" y="0"/>
            <wp:positionH relativeFrom="column">
              <wp:posOffset>0</wp:posOffset>
            </wp:positionH>
            <wp:positionV relativeFrom="line">
              <wp:posOffset>287020</wp:posOffset>
            </wp:positionV>
            <wp:extent cx="6181725" cy="7642225"/>
            <wp:effectExtent l="0" t="0" r="0" b="0"/>
            <wp:wrapSquare wrapText="bothSides" distT="57150" distB="57150" distL="57150" distR="57150"/>
            <wp:docPr id="1073741829" name="officeArt object" descr="Picture 6"/>
            <wp:cNvGraphicFramePr/>
            <a:graphic xmlns:a="http://schemas.openxmlformats.org/drawingml/2006/main">
              <a:graphicData uri="http://schemas.openxmlformats.org/drawingml/2006/picture">
                <pic:pic xmlns:pic="http://schemas.openxmlformats.org/drawingml/2006/picture">
                  <pic:nvPicPr>
                    <pic:cNvPr id="1073741829" name="Picture 6" descr="Picture 6"/>
                    <pic:cNvPicPr>
                      <a:picLocks noChangeAspect="1"/>
                    </pic:cNvPicPr>
                  </pic:nvPicPr>
                  <pic:blipFill>
                    <a:blip r:embed="rId26"/>
                    <a:stretch>
                      <a:fillRect/>
                    </a:stretch>
                  </pic:blipFill>
                  <pic:spPr>
                    <a:xfrm>
                      <a:off x="0" y="0"/>
                      <a:ext cx="6181725" cy="7642225"/>
                    </a:xfrm>
                    <a:prstGeom prst="rect">
                      <a:avLst/>
                    </a:prstGeom>
                    <a:ln w="12700" cap="flat">
                      <a:noFill/>
                      <a:miter lim="400000"/>
                    </a:ln>
                    <a:effectLst/>
                  </pic:spPr>
                </pic:pic>
              </a:graphicData>
            </a:graphic>
          </wp:anchor>
        </w:drawing>
      </w:r>
    </w:p>
    <w:p w14:paraId="7AAB2BF6" w14:textId="77777777" w:rsidR="00DC4459" w:rsidRDefault="00DC4459">
      <w:pPr>
        <w:pStyle w:val="Body"/>
        <w:shd w:val="clear" w:color="auto" w:fill="FFFFFF"/>
        <w:spacing w:after="0" w:line="240" w:lineRule="auto"/>
        <w:jc w:val="both"/>
        <w:rPr>
          <w:rStyle w:val="None"/>
          <w:rFonts w:ascii="Times New Roman" w:eastAsia="Times New Roman" w:hAnsi="Times New Roman" w:cs="Times New Roman"/>
          <w:color w:val="222222"/>
          <w:u w:color="222222"/>
          <w:lang w:val="en-US"/>
        </w:rPr>
      </w:pPr>
    </w:p>
    <w:p w14:paraId="13C27621" w14:textId="77777777" w:rsidR="00DC4459" w:rsidRDefault="00DC4459">
      <w:pPr>
        <w:pStyle w:val="Body"/>
        <w:rPr>
          <w:rStyle w:val="None"/>
          <w:rFonts w:ascii="Times New Roman" w:eastAsia="Times New Roman" w:hAnsi="Times New Roman" w:cs="Times New Roman"/>
          <w:lang w:val="en-US"/>
        </w:rPr>
      </w:pPr>
    </w:p>
    <w:p w14:paraId="263A89E9" w14:textId="77777777" w:rsidR="00DC4459" w:rsidRDefault="00077D4E">
      <w:pPr>
        <w:pStyle w:val="Body"/>
        <w:rPr>
          <w:rStyle w:val="None"/>
          <w:rFonts w:ascii="Times New Roman" w:eastAsia="Times New Roman" w:hAnsi="Times New Roman" w:cs="Times New Roman"/>
        </w:rPr>
      </w:pPr>
      <w:r>
        <w:rPr>
          <w:rStyle w:val="None"/>
          <w:noProof/>
        </w:rPr>
        <w:lastRenderedPageBreak/>
        <w:drawing>
          <wp:inline distT="0" distB="0" distL="0" distR="0" wp14:anchorId="5489871D" wp14:editId="3B1141A5">
            <wp:extent cx="5731510" cy="8759191"/>
            <wp:effectExtent l="0" t="0" r="0" b="0"/>
            <wp:docPr id="1073741830" name="officeArt object" descr="Picture 7"/>
            <wp:cNvGraphicFramePr/>
            <a:graphic xmlns:a="http://schemas.openxmlformats.org/drawingml/2006/main">
              <a:graphicData uri="http://schemas.openxmlformats.org/drawingml/2006/picture">
                <pic:pic xmlns:pic="http://schemas.openxmlformats.org/drawingml/2006/picture">
                  <pic:nvPicPr>
                    <pic:cNvPr id="1073741830" name="Picture 7" descr="Picture 7"/>
                    <pic:cNvPicPr>
                      <a:picLocks noChangeAspect="1"/>
                    </pic:cNvPicPr>
                  </pic:nvPicPr>
                  <pic:blipFill>
                    <a:blip r:embed="rId27"/>
                    <a:stretch>
                      <a:fillRect/>
                    </a:stretch>
                  </pic:blipFill>
                  <pic:spPr>
                    <a:xfrm>
                      <a:off x="0" y="0"/>
                      <a:ext cx="5731510" cy="8759191"/>
                    </a:xfrm>
                    <a:prstGeom prst="rect">
                      <a:avLst/>
                    </a:prstGeom>
                    <a:ln w="12700" cap="flat">
                      <a:noFill/>
                      <a:miter lim="400000"/>
                    </a:ln>
                    <a:effectLst/>
                  </pic:spPr>
                </pic:pic>
              </a:graphicData>
            </a:graphic>
          </wp:inline>
        </w:drawing>
      </w:r>
    </w:p>
    <w:p w14:paraId="2EC972C8" w14:textId="77777777" w:rsidR="00DC4459" w:rsidRDefault="00DC4459">
      <w:pPr>
        <w:pStyle w:val="Body"/>
        <w:rPr>
          <w:rStyle w:val="None"/>
          <w:rFonts w:ascii="Times New Roman" w:eastAsia="Times New Roman" w:hAnsi="Times New Roman" w:cs="Times New Roman"/>
          <w:lang w:val="en-US"/>
        </w:rPr>
      </w:pPr>
    </w:p>
    <w:p w14:paraId="014532E9" w14:textId="77777777" w:rsidR="00DC4459" w:rsidRDefault="00077D4E">
      <w:pPr>
        <w:pStyle w:val="Body"/>
        <w:rPr>
          <w:rStyle w:val="None"/>
          <w:rFonts w:ascii="Times New Roman" w:eastAsia="Times New Roman" w:hAnsi="Times New Roman" w:cs="Times New Roman"/>
        </w:rPr>
      </w:pPr>
      <w:r>
        <w:rPr>
          <w:rStyle w:val="None"/>
          <w:noProof/>
        </w:rPr>
        <w:drawing>
          <wp:inline distT="0" distB="0" distL="0" distR="0" wp14:anchorId="2010362D" wp14:editId="28FB3105">
            <wp:extent cx="5731510" cy="2551430"/>
            <wp:effectExtent l="0" t="0" r="0" b="0"/>
            <wp:docPr id="1073741831" name="officeArt object" descr="Picture 8"/>
            <wp:cNvGraphicFramePr/>
            <a:graphic xmlns:a="http://schemas.openxmlformats.org/drawingml/2006/main">
              <a:graphicData uri="http://schemas.openxmlformats.org/drawingml/2006/picture">
                <pic:pic xmlns:pic="http://schemas.openxmlformats.org/drawingml/2006/picture">
                  <pic:nvPicPr>
                    <pic:cNvPr id="1073741831" name="Picture 8" descr="Picture 8"/>
                    <pic:cNvPicPr>
                      <a:picLocks noChangeAspect="1"/>
                    </pic:cNvPicPr>
                  </pic:nvPicPr>
                  <pic:blipFill>
                    <a:blip r:embed="rId28"/>
                    <a:stretch>
                      <a:fillRect/>
                    </a:stretch>
                  </pic:blipFill>
                  <pic:spPr>
                    <a:xfrm>
                      <a:off x="0" y="0"/>
                      <a:ext cx="5731510" cy="2551430"/>
                    </a:xfrm>
                    <a:prstGeom prst="rect">
                      <a:avLst/>
                    </a:prstGeom>
                    <a:ln w="12700" cap="flat">
                      <a:noFill/>
                      <a:miter lim="400000"/>
                    </a:ln>
                    <a:effectLst/>
                  </pic:spPr>
                </pic:pic>
              </a:graphicData>
            </a:graphic>
          </wp:inline>
        </w:drawing>
      </w:r>
    </w:p>
    <w:p w14:paraId="56BEB65C" w14:textId="77777777" w:rsidR="00DC4459" w:rsidRDefault="00DC4459">
      <w:pPr>
        <w:pStyle w:val="Body"/>
        <w:rPr>
          <w:rStyle w:val="None"/>
          <w:rFonts w:ascii="Times New Roman" w:eastAsia="Times New Roman" w:hAnsi="Times New Roman" w:cs="Times New Roman"/>
          <w:lang w:val="en-US"/>
        </w:rPr>
      </w:pPr>
    </w:p>
    <w:p w14:paraId="6D66DD95" w14:textId="77777777" w:rsidR="00DC4459" w:rsidRDefault="00DC4459">
      <w:pPr>
        <w:pStyle w:val="Body"/>
        <w:rPr>
          <w:rStyle w:val="None"/>
          <w:rFonts w:ascii="Times New Roman" w:eastAsia="Times New Roman" w:hAnsi="Times New Roman" w:cs="Times New Roman"/>
          <w:lang w:val="en-US"/>
        </w:rPr>
      </w:pPr>
    </w:p>
    <w:p w14:paraId="1E4F9398" w14:textId="77777777" w:rsidR="00DC4459" w:rsidRDefault="00DC4459">
      <w:pPr>
        <w:pStyle w:val="Body"/>
        <w:rPr>
          <w:rStyle w:val="None"/>
          <w:rFonts w:ascii="Times New Roman" w:eastAsia="Times New Roman" w:hAnsi="Times New Roman" w:cs="Times New Roman"/>
          <w:lang w:val="en-US"/>
        </w:rPr>
      </w:pPr>
    </w:p>
    <w:p w14:paraId="6DDDE870" w14:textId="77777777" w:rsidR="00DC4459" w:rsidRDefault="00DC4459">
      <w:pPr>
        <w:pStyle w:val="Body"/>
        <w:rPr>
          <w:rStyle w:val="None"/>
          <w:rFonts w:ascii="Times New Roman" w:eastAsia="Times New Roman" w:hAnsi="Times New Roman" w:cs="Times New Roman"/>
          <w:lang w:val="en-US"/>
        </w:rPr>
      </w:pPr>
    </w:p>
    <w:p w14:paraId="752AEFB2" w14:textId="77777777" w:rsidR="00DC4459" w:rsidRDefault="00DC4459">
      <w:pPr>
        <w:pStyle w:val="Body"/>
        <w:rPr>
          <w:rStyle w:val="None"/>
          <w:rFonts w:ascii="Times New Roman" w:eastAsia="Times New Roman" w:hAnsi="Times New Roman" w:cs="Times New Roman"/>
          <w:lang w:val="en-US"/>
        </w:rPr>
      </w:pPr>
    </w:p>
    <w:p w14:paraId="0B3A65CB" w14:textId="77777777" w:rsidR="00DC4459" w:rsidRDefault="00DC4459">
      <w:pPr>
        <w:pStyle w:val="Body"/>
        <w:rPr>
          <w:rStyle w:val="None"/>
          <w:rFonts w:ascii="Times New Roman" w:eastAsia="Times New Roman" w:hAnsi="Times New Roman" w:cs="Times New Roman"/>
          <w:lang w:val="en-US"/>
        </w:rPr>
      </w:pPr>
    </w:p>
    <w:p w14:paraId="5A5FE666" w14:textId="77777777" w:rsidR="00DC4459" w:rsidRDefault="00DC4459">
      <w:pPr>
        <w:pStyle w:val="Body"/>
        <w:rPr>
          <w:rStyle w:val="None"/>
          <w:rFonts w:ascii="Times New Roman" w:eastAsia="Times New Roman" w:hAnsi="Times New Roman" w:cs="Times New Roman"/>
          <w:lang w:val="en-US"/>
        </w:rPr>
      </w:pPr>
    </w:p>
    <w:p w14:paraId="2C16C61A" w14:textId="77777777" w:rsidR="00DC4459" w:rsidRDefault="00DC4459">
      <w:pPr>
        <w:pStyle w:val="Body"/>
        <w:rPr>
          <w:rStyle w:val="None"/>
          <w:rFonts w:ascii="Times New Roman" w:eastAsia="Times New Roman" w:hAnsi="Times New Roman" w:cs="Times New Roman"/>
          <w:lang w:val="en-US"/>
        </w:rPr>
      </w:pPr>
    </w:p>
    <w:p w14:paraId="00BA8E45" w14:textId="77777777" w:rsidR="00DC4459" w:rsidRDefault="00DC4459">
      <w:pPr>
        <w:pStyle w:val="Body"/>
        <w:rPr>
          <w:rStyle w:val="None"/>
          <w:rFonts w:ascii="Times New Roman" w:eastAsia="Times New Roman" w:hAnsi="Times New Roman" w:cs="Times New Roman"/>
          <w:lang w:val="en-US"/>
        </w:rPr>
      </w:pPr>
    </w:p>
    <w:p w14:paraId="0FF090BC" w14:textId="77777777" w:rsidR="00DC4459" w:rsidRDefault="00DC4459">
      <w:pPr>
        <w:pStyle w:val="Body"/>
        <w:rPr>
          <w:rStyle w:val="None"/>
          <w:rFonts w:ascii="Times New Roman" w:eastAsia="Times New Roman" w:hAnsi="Times New Roman" w:cs="Times New Roman"/>
          <w:lang w:val="en-US"/>
        </w:rPr>
      </w:pPr>
    </w:p>
    <w:p w14:paraId="1AED4176" w14:textId="77777777" w:rsidR="00DC4459" w:rsidRDefault="00DC4459">
      <w:pPr>
        <w:pStyle w:val="Body"/>
        <w:rPr>
          <w:rStyle w:val="None"/>
          <w:rFonts w:ascii="Times New Roman" w:eastAsia="Times New Roman" w:hAnsi="Times New Roman" w:cs="Times New Roman"/>
          <w:lang w:val="en-US"/>
        </w:rPr>
      </w:pPr>
    </w:p>
    <w:p w14:paraId="1AF4FD96" w14:textId="77777777" w:rsidR="00DC4459" w:rsidRDefault="00DC4459">
      <w:pPr>
        <w:pStyle w:val="Body"/>
        <w:rPr>
          <w:rStyle w:val="None"/>
          <w:rFonts w:ascii="Times New Roman" w:eastAsia="Times New Roman" w:hAnsi="Times New Roman" w:cs="Times New Roman"/>
          <w:lang w:val="en-US"/>
        </w:rPr>
      </w:pPr>
    </w:p>
    <w:p w14:paraId="43B117AE" w14:textId="77777777" w:rsidR="00DC4459" w:rsidRDefault="00DC4459">
      <w:pPr>
        <w:pStyle w:val="Body"/>
        <w:rPr>
          <w:rStyle w:val="None"/>
          <w:rFonts w:ascii="Times New Roman" w:eastAsia="Times New Roman" w:hAnsi="Times New Roman" w:cs="Times New Roman"/>
          <w:lang w:val="en-US"/>
        </w:rPr>
      </w:pPr>
    </w:p>
    <w:p w14:paraId="7BE64889" w14:textId="77777777" w:rsidR="00DC4459" w:rsidRDefault="00DC4459">
      <w:pPr>
        <w:pStyle w:val="Body"/>
        <w:rPr>
          <w:rStyle w:val="None"/>
          <w:rFonts w:ascii="Times New Roman" w:eastAsia="Times New Roman" w:hAnsi="Times New Roman" w:cs="Times New Roman"/>
          <w:lang w:val="en-US"/>
        </w:rPr>
      </w:pPr>
    </w:p>
    <w:p w14:paraId="4C799B84" w14:textId="77777777" w:rsidR="00DC4459" w:rsidRDefault="00DC4459">
      <w:pPr>
        <w:pStyle w:val="Body"/>
        <w:rPr>
          <w:rStyle w:val="None"/>
          <w:rFonts w:ascii="Times New Roman" w:eastAsia="Times New Roman" w:hAnsi="Times New Roman" w:cs="Times New Roman"/>
          <w:lang w:val="en-US"/>
        </w:rPr>
      </w:pPr>
    </w:p>
    <w:p w14:paraId="704FF895" w14:textId="77777777" w:rsidR="00DC4459" w:rsidRDefault="00DC4459">
      <w:pPr>
        <w:pStyle w:val="Body"/>
        <w:rPr>
          <w:rStyle w:val="None"/>
          <w:rFonts w:ascii="Times New Roman" w:eastAsia="Times New Roman" w:hAnsi="Times New Roman" w:cs="Times New Roman"/>
          <w:lang w:val="en-US"/>
        </w:rPr>
      </w:pPr>
    </w:p>
    <w:p w14:paraId="47005FF8" w14:textId="77777777" w:rsidR="00DC4459" w:rsidRDefault="00DC4459">
      <w:pPr>
        <w:pStyle w:val="Body"/>
        <w:rPr>
          <w:rStyle w:val="None"/>
          <w:rFonts w:ascii="Times New Roman" w:eastAsia="Times New Roman" w:hAnsi="Times New Roman" w:cs="Times New Roman"/>
          <w:lang w:val="en-US"/>
        </w:rPr>
      </w:pPr>
    </w:p>
    <w:p w14:paraId="746E8009" w14:textId="77777777" w:rsidR="00DC4459" w:rsidRDefault="00DC4459">
      <w:pPr>
        <w:pStyle w:val="Body"/>
        <w:rPr>
          <w:rStyle w:val="None"/>
          <w:rFonts w:ascii="Times New Roman" w:eastAsia="Times New Roman" w:hAnsi="Times New Roman" w:cs="Times New Roman"/>
          <w:lang w:val="en-US"/>
        </w:rPr>
      </w:pPr>
    </w:p>
    <w:p w14:paraId="4E32DC65" w14:textId="77777777" w:rsidR="00DC4459" w:rsidRDefault="00DC4459">
      <w:pPr>
        <w:pStyle w:val="Body"/>
        <w:rPr>
          <w:rStyle w:val="None"/>
          <w:rFonts w:ascii="Times New Roman" w:eastAsia="Times New Roman" w:hAnsi="Times New Roman" w:cs="Times New Roman"/>
          <w:lang w:val="en-US"/>
        </w:rPr>
      </w:pPr>
    </w:p>
    <w:p w14:paraId="103DE3BD" w14:textId="77777777" w:rsidR="00DC4459" w:rsidRDefault="00DC4459">
      <w:pPr>
        <w:pStyle w:val="Body"/>
        <w:rPr>
          <w:rStyle w:val="None"/>
          <w:rFonts w:ascii="Times New Roman" w:eastAsia="Times New Roman" w:hAnsi="Times New Roman" w:cs="Times New Roman"/>
          <w:lang w:val="en-US"/>
        </w:rPr>
      </w:pPr>
    </w:p>
    <w:p w14:paraId="3156835B" w14:textId="77777777" w:rsidR="00DC4459" w:rsidRDefault="00DC4459">
      <w:pPr>
        <w:pStyle w:val="Body"/>
        <w:spacing w:before="240" w:line="360" w:lineRule="auto"/>
        <w:jc w:val="both"/>
        <w:rPr>
          <w:rStyle w:val="None"/>
          <w:rFonts w:ascii="Times New Roman" w:eastAsia="Times New Roman" w:hAnsi="Times New Roman" w:cs="Times New Roman"/>
          <w:sz w:val="24"/>
          <w:szCs w:val="24"/>
        </w:rPr>
      </w:pPr>
    </w:p>
    <w:p w14:paraId="5EFA0EA7" w14:textId="77777777" w:rsidR="00DC4459" w:rsidRDefault="00077D4E">
      <w:pPr>
        <w:pStyle w:val="Heading"/>
      </w:pPr>
      <w:bookmarkStart w:id="117" w:name="_Toc73739059"/>
      <w:r>
        <w:rPr>
          <w:rStyle w:val="None"/>
          <w:rFonts w:eastAsia="Arial Unicode MS" w:cs="Arial Unicode MS"/>
          <w:lang w:val="da-DK"/>
        </w:rPr>
        <w:lastRenderedPageBreak/>
        <w:t>Appendix D: Coding Format</w:t>
      </w:r>
      <w:bookmarkEnd w:id="117"/>
    </w:p>
    <w:p w14:paraId="3A10F948"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sz w:val="24"/>
          <w:szCs w:val="24"/>
        </w:rPr>
      </w:pPr>
      <w:r>
        <w:rPr>
          <w:rStyle w:val="None"/>
          <w:rFonts w:ascii="Times New Roman" w:hAnsi="Times New Roman"/>
          <w:b/>
          <w:bCs/>
          <w:sz w:val="24"/>
          <w:szCs w:val="24"/>
          <w:lang w:val="en-US"/>
        </w:rPr>
        <w:t>Codes</w:t>
      </w:r>
      <w:r>
        <w:rPr>
          <w:rStyle w:val="None"/>
          <w:rFonts w:ascii="Times New Roman" w:hAnsi="Times New Roman"/>
          <w:sz w:val="24"/>
          <w:szCs w:val="24"/>
          <w:lang w:val="en-US"/>
        </w:rPr>
        <w:t xml:space="preserve">: </w:t>
      </w:r>
    </w:p>
    <w:p w14:paraId="3838061D"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FFFF00"/>
          <w:lang w:val="en-US"/>
        </w:rPr>
        <w:t>CG codes</w:t>
      </w:r>
    </w:p>
    <w:p w14:paraId="584F60E6"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800080"/>
          <w:lang w:val="en-US"/>
        </w:rPr>
        <w:t>Role of CBI</w:t>
      </w:r>
    </w:p>
    <w:p w14:paraId="784533A3"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808000"/>
          <w:lang w:val="en-US"/>
        </w:rPr>
        <w:t>Reasons for Adherence</w:t>
      </w:r>
    </w:p>
    <w:p w14:paraId="11DAFD7D"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008080"/>
          <w:lang w:val="en-US"/>
        </w:rPr>
        <w:t>Adherence level to CG codes</w:t>
      </w:r>
    </w:p>
    <w:p w14:paraId="193B4EE6"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00FF00"/>
          <w:lang w:val="en-US"/>
        </w:rPr>
        <w:t>Non-Adherence to CG codes</w:t>
      </w:r>
    </w:p>
    <w:p w14:paraId="134E80A9"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C0C0C0"/>
          <w:lang w:val="en-US"/>
        </w:rPr>
        <w:t>Bank size and Adherence to CG codes</w:t>
      </w:r>
    </w:p>
    <w:p w14:paraId="45AA823A"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FF00FF"/>
          <w:lang w:val="en-US"/>
        </w:rPr>
        <w:t>Non-EDS and Adherence to CG codes</w:t>
      </w:r>
    </w:p>
    <w:p w14:paraId="3952B2B4"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sz w:val="24"/>
          <w:szCs w:val="24"/>
          <w:shd w:val="clear" w:color="auto" w:fill="800000"/>
          <w:lang w:val="en-US"/>
        </w:rPr>
        <w:t>Challenges of Adherence to CG codes</w:t>
      </w:r>
    </w:p>
    <w:p w14:paraId="349E6FBE" w14:textId="77777777" w:rsidR="00DC4459" w:rsidRDefault="00DC4459">
      <w:pPr>
        <w:pStyle w:val="Body"/>
        <w:shd w:val="clear" w:color="auto" w:fill="FFFFFF"/>
        <w:spacing w:after="0" w:line="240" w:lineRule="auto"/>
        <w:jc w:val="both"/>
        <w:rPr>
          <w:rStyle w:val="None"/>
          <w:rFonts w:ascii="Times New Roman" w:eastAsia="Times New Roman" w:hAnsi="Times New Roman" w:cs="Times New Roman"/>
          <w:b/>
          <w:bCs/>
          <w:sz w:val="24"/>
          <w:szCs w:val="24"/>
          <w:lang w:val="en-US"/>
        </w:rPr>
      </w:pPr>
    </w:p>
    <w:p w14:paraId="3D31A962"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800080"/>
          <w:lang w:val="en-US"/>
        </w:rPr>
        <w:t>In Ireland, the key corporate governance requirements for banks derive from the Central Bank of Ireland’s Corporate Governance Requirements for Credit Institutions 2015.</w:t>
      </w:r>
      <w:r>
        <w:rPr>
          <w:rStyle w:val="None"/>
          <w:rFonts w:ascii="Times New Roman" w:hAnsi="Times New Roman"/>
          <w:b/>
          <w:bCs/>
          <w:sz w:val="24"/>
          <w:szCs w:val="24"/>
          <w:shd w:val="clear" w:color="auto" w:fill="800080"/>
          <w:lang w:val="en-US"/>
        </w:rPr>
        <w:t xml:space="preserve"> </w:t>
      </w:r>
      <w:r>
        <w:rPr>
          <w:rStyle w:val="None"/>
          <w:rFonts w:ascii="Times New Roman" w:hAnsi="Times New Roman"/>
          <w:b/>
          <w:bCs/>
          <w:i/>
          <w:iCs/>
          <w:sz w:val="24"/>
          <w:szCs w:val="24"/>
          <w:shd w:val="clear" w:color="auto" w:fill="FFFF00"/>
          <w:lang w:val="en-US"/>
        </w:rPr>
        <w:t>AIB’s corporate governance practices meet the many statutory and regulatory obligations that apply to the Group including various corporate governance codes, regulations and best practice standards and guidelines, Irish company law, the Listing Rules of Euronext Dublin and the London Stock Exchange, the UK Corporate Governance Code 2018, the Irish Corporate Governance Annex to the Euronext Dublin Listing Rules, and, for UK businesses, UK company law</w:t>
      </w:r>
      <w:r>
        <w:rPr>
          <w:rStyle w:val="None"/>
          <w:rFonts w:ascii="Times New Roman" w:hAnsi="Times New Roman"/>
          <w:b/>
          <w:bCs/>
          <w:i/>
          <w:iCs/>
          <w:sz w:val="24"/>
          <w:szCs w:val="24"/>
          <w:lang w:val="en-US"/>
        </w:rPr>
        <w:t>.</w:t>
      </w:r>
    </w:p>
    <w:p w14:paraId="353BFAE1"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FFFF00"/>
          <w:lang w:val="en-US"/>
        </w:rPr>
        <w:t>As a credit institution, AIB is subject to the requirements of the Central Bank of Ireland’s Corporate Governance Requirements for Credit Institutions, including requirements which specifically relate to ‘high impact institutions’. Additional corporate governance obligations for significant credit institutions are met for the purposes of the European Union (Capital Requirements) Regulations 2014 (CRD) (which transposed the EU Capital Requirements Directive into domestic law).</w:t>
      </w:r>
    </w:p>
    <w:p w14:paraId="59146141"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800080"/>
          <w:lang w:val="en-US"/>
        </w:rPr>
        <w:t>There are certain remuneration-related provisions of the UK Corporate Governance Code which AIB has explained in its public reporting. Full details are available on page 179 of the Annual Financial Report: </w:t>
      </w:r>
      <w:hyperlink r:id="rId29" w:history="1">
        <w:r>
          <w:rPr>
            <w:rStyle w:val="Hyperlink3"/>
            <w:rFonts w:eastAsia="Calibri"/>
          </w:rPr>
          <w:t>https://aib.ie/content/dam/frontdoor/investorrelations/docs/resultscentre/annualreport/aib-group-plc-2020-annual-financial-report.pdf</w:t>
        </w:r>
      </w:hyperlink>
    </w:p>
    <w:p w14:paraId="7DE3DA71"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808000"/>
          <w:lang w:val="en-US"/>
        </w:rPr>
        <w:t>I believe this question should say in relation to responses in 5 &amp; 6. Statements of compliance with AIB’s key corporate governance requirements and full details on AIB’s corporate governance practices are available in the Corporate Governance Report within the Annual Financial Report on pages 178-187 (link above</w:t>
      </w:r>
      <w:r>
        <w:rPr>
          <w:rStyle w:val="None"/>
          <w:rFonts w:ascii="Times New Roman" w:hAnsi="Times New Roman"/>
          <w:b/>
          <w:bCs/>
          <w:i/>
          <w:iCs/>
          <w:sz w:val="24"/>
          <w:szCs w:val="24"/>
          <w:lang w:val="en-US"/>
        </w:rPr>
        <w:t>).</w:t>
      </w:r>
      <w:r>
        <w:rPr>
          <w:rStyle w:val="None"/>
          <w:rFonts w:ascii="Times New Roman" w:hAnsi="Times New Roman"/>
          <w:b/>
          <w:bCs/>
          <w:sz w:val="24"/>
          <w:szCs w:val="24"/>
          <w:lang w:val="en-US"/>
        </w:rPr>
        <w:t xml:space="preserve">     </w:t>
      </w:r>
    </w:p>
    <w:p w14:paraId="29402D78"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shd w:val="clear" w:color="auto" w:fill="808000"/>
        </w:rPr>
      </w:pPr>
      <w:r>
        <w:rPr>
          <w:rStyle w:val="None"/>
          <w:rFonts w:ascii="Times New Roman" w:hAnsi="Times New Roman"/>
          <w:b/>
          <w:bCs/>
          <w:i/>
          <w:iCs/>
          <w:sz w:val="24"/>
          <w:szCs w:val="24"/>
          <w:shd w:val="clear" w:color="auto" w:fill="808000"/>
          <w:lang w:val="en-US"/>
        </w:rPr>
        <w:t>Outside of the instances noted as ‘explains’ under the UK Corporate Governance Code and as detailed on page 179 of the Annual Financial Report (link above), the Group continually seeks to adhere to the various applicable requirements as well as the underlying principles and ways of working recommended by those requirements to enhance accountability and transparency and ensure the Group’s stakeholders are at the fore of the Board’s decision making.</w:t>
      </w:r>
    </w:p>
    <w:p w14:paraId="1E1D175B"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808000"/>
          <w:lang w:val="en-US"/>
        </w:rPr>
        <w:t xml:space="preserve">I cannot comment on the specific corporate governance practices of competitors but you will be able to compare statements of compliance provided in the corporate governance reports within the annual financial reports of other Irish banks which are publicly available on their websites in order to assess their adherence to corporate governance </w:t>
      </w:r>
      <w:proofErr w:type="spellStart"/>
      <w:r>
        <w:rPr>
          <w:rStyle w:val="None"/>
          <w:rFonts w:ascii="Times New Roman" w:hAnsi="Times New Roman"/>
          <w:b/>
          <w:bCs/>
          <w:i/>
          <w:iCs/>
          <w:sz w:val="24"/>
          <w:szCs w:val="24"/>
          <w:shd w:val="clear" w:color="auto" w:fill="808000"/>
          <w:lang w:val="en-US"/>
        </w:rPr>
        <w:t>requirements</w:t>
      </w:r>
      <w:r>
        <w:rPr>
          <w:rStyle w:val="None"/>
          <w:rFonts w:ascii="Times New Roman" w:hAnsi="Times New Roman"/>
          <w:b/>
          <w:bCs/>
          <w:i/>
          <w:iCs/>
          <w:sz w:val="24"/>
          <w:szCs w:val="24"/>
          <w:lang w:val="en-US"/>
        </w:rPr>
        <w:t>.</w:t>
      </w:r>
      <w:r>
        <w:rPr>
          <w:rStyle w:val="None"/>
          <w:rFonts w:ascii="Times New Roman" w:hAnsi="Times New Roman"/>
          <w:b/>
          <w:bCs/>
          <w:i/>
          <w:iCs/>
          <w:sz w:val="24"/>
          <w:szCs w:val="24"/>
          <w:shd w:val="clear" w:color="auto" w:fill="808000"/>
          <w:lang w:val="en-US"/>
        </w:rPr>
        <w:t>Sustainability</w:t>
      </w:r>
      <w:proofErr w:type="spellEnd"/>
      <w:r>
        <w:rPr>
          <w:rStyle w:val="None"/>
          <w:rFonts w:ascii="Times New Roman" w:hAnsi="Times New Roman"/>
          <w:b/>
          <w:bCs/>
          <w:i/>
          <w:iCs/>
          <w:sz w:val="24"/>
          <w:szCs w:val="24"/>
          <w:shd w:val="clear" w:color="auto" w:fill="808000"/>
          <w:lang w:val="en-US"/>
        </w:rPr>
        <w:t xml:space="preserve"> is at the heart of AIB’s overall business strategy and Sustainable Communities is one of AIB’s five strategic pillars. You can find more information on Sustainability in AIB here: </w:t>
      </w:r>
      <w:hyperlink r:id="rId30" w:history="1">
        <w:r>
          <w:rPr>
            <w:rStyle w:val="Hyperlink4"/>
            <w:rFonts w:eastAsia="Calibri"/>
          </w:rPr>
          <w:t>https://aib.ie/sustainability</w:t>
        </w:r>
      </w:hyperlink>
      <w:r>
        <w:rPr>
          <w:rStyle w:val="None"/>
          <w:rFonts w:ascii="Times New Roman" w:hAnsi="Times New Roman"/>
          <w:b/>
          <w:bCs/>
          <w:sz w:val="24"/>
          <w:szCs w:val="24"/>
          <w:lang w:val="en-US"/>
        </w:rPr>
        <w:t xml:space="preserve">     </w:t>
      </w:r>
    </w:p>
    <w:p w14:paraId="5D15D1D4"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808000"/>
          <w:lang w:val="en-US"/>
        </w:rPr>
        <w:t xml:space="preserve">At present, the Board is composed of 11 Directors: 10 Independent Non-Executive Directors and one Executive Director (the CEO). The Central Bank’s Requirements for credit </w:t>
      </w:r>
      <w:r>
        <w:rPr>
          <w:rStyle w:val="None"/>
          <w:rFonts w:ascii="Times New Roman" w:hAnsi="Times New Roman"/>
          <w:b/>
          <w:bCs/>
          <w:i/>
          <w:iCs/>
          <w:sz w:val="24"/>
          <w:szCs w:val="24"/>
          <w:shd w:val="clear" w:color="auto" w:fill="808000"/>
          <w:lang w:val="en-US"/>
        </w:rPr>
        <w:lastRenderedPageBreak/>
        <w:t>institutions require that a majority of the Board should be independent Non-Executive Directors.</w:t>
      </w:r>
    </w:p>
    <w:p w14:paraId="291F8EB4"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808000"/>
          <w:lang w:val="en-US"/>
        </w:rPr>
        <w:t>The Board ensures a clear division of responsibilities between the Chair, who is responsible for the overall leadership of the Board and for ensuring its effectiveness, and the CEO, who manages and leads the business. No one individual has unfettered powers of decision. Key roles and responsibilities are clearly defined, documented and communicated to key stakeholders via the Group’s website. It is a principle of corporate governance that the roles of Chair and CEO should not be held by the same individual and AIB adheres to the corporate governance requirements regarding division of responsibilities.</w:t>
      </w:r>
    </w:p>
    <w:p w14:paraId="3AB25D51"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C0C0C0"/>
          <w:lang w:val="en-US"/>
        </w:rPr>
        <w:t>As set out in its most recent Annual Financial Report, AIB is the leading retail banking franchise in Ireland.</w:t>
      </w:r>
      <w:r>
        <w:rPr>
          <w:rStyle w:val="None"/>
          <w:rFonts w:ascii="Times New Roman" w:hAnsi="Times New Roman"/>
          <w:b/>
          <w:bCs/>
          <w:sz w:val="24"/>
          <w:szCs w:val="24"/>
          <w:shd w:val="clear" w:color="auto" w:fill="C0C0C0"/>
          <w:lang w:val="en-US"/>
        </w:rPr>
        <w:t> </w:t>
      </w:r>
      <w:r>
        <w:rPr>
          <w:rStyle w:val="None"/>
          <w:rFonts w:ascii="Times New Roman" w:hAnsi="Times New Roman"/>
          <w:b/>
          <w:bCs/>
          <w:i/>
          <w:iCs/>
          <w:sz w:val="24"/>
          <w:szCs w:val="24"/>
          <w:shd w:val="clear" w:color="auto" w:fill="C0C0C0"/>
          <w:lang w:val="en-US"/>
        </w:rPr>
        <w:t xml:space="preserve">The bank has 2.8 million customers and over 9,000 employees. Further details on the </w:t>
      </w:r>
      <w:proofErr w:type="spellStart"/>
      <w:r>
        <w:rPr>
          <w:rStyle w:val="None"/>
          <w:rFonts w:ascii="Times New Roman" w:hAnsi="Times New Roman"/>
          <w:b/>
          <w:bCs/>
          <w:i/>
          <w:iCs/>
          <w:sz w:val="24"/>
          <w:szCs w:val="24"/>
          <w:shd w:val="clear" w:color="auto" w:fill="C0C0C0"/>
          <w:lang w:val="en-US"/>
        </w:rPr>
        <w:t>organisational</w:t>
      </w:r>
      <w:proofErr w:type="spellEnd"/>
      <w:r>
        <w:rPr>
          <w:rStyle w:val="None"/>
          <w:rFonts w:ascii="Times New Roman" w:hAnsi="Times New Roman"/>
          <w:b/>
          <w:bCs/>
          <w:i/>
          <w:iCs/>
          <w:sz w:val="24"/>
          <w:szCs w:val="24"/>
          <w:shd w:val="clear" w:color="auto" w:fill="C0C0C0"/>
          <w:lang w:val="en-US"/>
        </w:rPr>
        <w:t xml:space="preserve"> structure is available on pages 4-6 of the Annual Financial Report (link above). The Board governance structure is shown on page 44 of the Annual Financial Report (link above).</w:t>
      </w:r>
    </w:p>
    <w:p w14:paraId="67B2C2AB"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FF00FF"/>
          <w:lang w:val="en-US"/>
        </w:rPr>
        <w:t xml:space="preserve">The Board conducts an annual evaluation of its effectiveness, and is required to have an external evaluation conducted once every three years. Full details on the Board’s effectiveness are detailed on page 186 of the Annual Financial Report (link above). Overall, the final report was positive and demonstrated the strength of the Board and its Committees. The Non-Executive Directors are an integral component of the Board and represent a key layer of oversight of the activities of the Group. In their role, Independent Non-Executive Directors </w:t>
      </w:r>
      <w:proofErr w:type="spellStart"/>
      <w:r>
        <w:rPr>
          <w:rStyle w:val="None"/>
          <w:rFonts w:ascii="Times New Roman" w:hAnsi="Times New Roman"/>
          <w:b/>
          <w:bCs/>
          <w:i/>
          <w:iCs/>
          <w:sz w:val="24"/>
          <w:szCs w:val="24"/>
          <w:shd w:val="clear" w:color="auto" w:fill="FF00FF"/>
          <w:lang w:val="en-US"/>
        </w:rPr>
        <w:t>scrutinise</w:t>
      </w:r>
      <w:proofErr w:type="spellEnd"/>
      <w:r>
        <w:rPr>
          <w:rStyle w:val="None"/>
          <w:rFonts w:ascii="Times New Roman" w:hAnsi="Times New Roman"/>
          <w:b/>
          <w:bCs/>
          <w:i/>
          <w:iCs/>
          <w:sz w:val="24"/>
          <w:szCs w:val="24"/>
          <w:shd w:val="clear" w:color="auto" w:fill="FF00FF"/>
          <w:lang w:val="en-US"/>
        </w:rPr>
        <w:t xml:space="preserve"> the performance of management in their objectives and monitor their reporting on performance. They bring an independent viewpoint to the deliberations of the Board that is objective and independent of the activities of the management and of the Group. They constructively challenge and help develop proposals on strategy and other key matters, including corporate governance.</w:t>
      </w:r>
    </w:p>
    <w:p w14:paraId="4FE2F695" w14:textId="77777777" w:rsidR="00DC4459" w:rsidRDefault="00077D4E">
      <w:pPr>
        <w:pStyle w:val="Body"/>
        <w:shd w:val="clear" w:color="auto" w:fill="FFFFFF"/>
        <w:spacing w:after="0" w:line="240" w:lineRule="auto"/>
        <w:jc w:val="both"/>
        <w:rPr>
          <w:rStyle w:val="None"/>
          <w:rFonts w:ascii="Times New Roman" w:eastAsia="Times New Roman" w:hAnsi="Times New Roman" w:cs="Times New Roman"/>
          <w:b/>
          <w:bCs/>
          <w:sz w:val="24"/>
          <w:szCs w:val="24"/>
        </w:rPr>
      </w:pPr>
      <w:r>
        <w:rPr>
          <w:rStyle w:val="None"/>
          <w:rFonts w:ascii="Times New Roman" w:hAnsi="Times New Roman"/>
          <w:b/>
          <w:bCs/>
          <w:i/>
          <w:iCs/>
          <w:sz w:val="24"/>
          <w:szCs w:val="24"/>
          <w:shd w:val="clear" w:color="auto" w:fill="00FF00"/>
          <w:lang w:val="en-US"/>
        </w:rPr>
        <w:t xml:space="preserve">No, the comply or explain approach enables </w:t>
      </w:r>
      <w:proofErr w:type="spellStart"/>
      <w:r>
        <w:rPr>
          <w:rStyle w:val="None"/>
          <w:rFonts w:ascii="Times New Roman" w:hAnsi="Times New Roman"/>
          <w:b/>
          <w:bCs/>
          <w:i/>
          <w:iCs/>
          <w:sz w:val="24"/>
          <w:szCs w:val="24"/>
          <w:shd w:val="clear" w:color="auto" w:fill="00FF00"/>
          <w:lang w:val="en-US"/>
        </w:rPr>
        <w:t>organisations</w:t>
      </w:r>
      <w:proofErr w:type="spellEnd"/>
      <w:r>
        <w:rPr>
          <w:rStyle w:val="None"/>
          <w:rFonts w:ascii="Times New Roman" w:hAnsi="Times New Roman"/>
          <w:b/>
          <w:bCs/>
          <w:i/>
          <w:iCs/>
          <w:sz w:val="24"/>
          <w:szCs w:val="24"/>
          <w:shd w:val="clear" w:color="auto" w:fill="00FF00"/>
          <w:lang w:val="en-US"/>
        </w:rPr>
        <w:t xml:space="preserve"> to provide an explanation to investors and the market where its practices might diverge from the standards and why such practices are considered to be the most appropriate for the </w:t>
      </w:r>
      <w:proofErr w:type="spellStart"/>
      <w:r>
        <w:rPr>
          <w:rStyle w:val="None"/>
          <w:rFonts w:ascii="Times New Roman" w:hAnsi="Times New Roman"/>
          <w:b/>
          <w:bCs/>
          <w:i/>
          <w:iCs/>
          <w:sz w:val="24"/>
          <w:szCs w:val="24"/>
          <w:shd w:val="clear" w:color="auto" w:fill="00FF00"/>
          <w:lang w:val="en-US"/>
        </w:rPr>
        <w:t>organisation</w:t>
      </w:r>
      <w:proofErr w:type="spellEnd"/>
      <w:r>
        <w:rPr>
          <w:rStyle w:val="None"/>
          <w:rFonts w:ascii="Times New Roman" w:hAnsi="Times New Roman"/>
          <w:b/>
          <w:bCs/>
          <w:i/>
          <w:iCs/>
          <w:sz w:val="24"/>
          <w:szCs w:val="24"/>
          <w:shd w:val="clear" w:color="auto" w:fill="00FF00"/>
          <w:lang w:val="en-US"/>
        </w:rPr>
        <w:t xml:space="preserve"> in </w:t>
      </w:r>
      <w:proofErr w:type="spellStart"/>
      <w:r>
        <w:rPr>
          <w:rStyle w:val="None"/>
          <w:rFonts w:ascii="Times New Roman" w:hAnsi="Times New Roman"/>
          <w:b/>
          <w:bCs/>
          <w:i/>
          <w:iCs/>
          <w:sz w:val="24"/>
          <w:szCs w:val="24"/>
          <w:shd w:val="clear" w:color="auto" w:fill="00FF00"/>
          <w:lang w:val="en-US"/>
        </w:rPr>
        <w:t>question.AIB’s</w:t>
      </w:r>
      <w:proofErr w:type="spellEnd"/>
      <w:r>
        <w:rPr>
          <w:rStyle w:val="None"/>
          <w:rFonts w:ascii="Times New Roman" w:hAnsi="Times New Roman"/>
          <w:b/>
          <w:bCs/>
          <w:i/>
          <w:iCs/>
          <w:sz w:val="24"/>
          <w:szCs w:val="24"/>
          <w:shd w:val="clear" w:color="auto" w:fill="00FF00"/>
          <w:lang w:val="en-US"/>
        </w:rPr>
        <w:t xml:space="preserve"> investors are one of our five stakeholder groups. Our Board’s approach to stakeholder engagement aligns with the UK Corporate Governance Code 2018. Additional details on stakeholder engagement can be found on pages 46-47 and page 180 of the Annual Financial Report (link above)</w:t>
      </w:r>
      <w:r>
        <w:rPr>
          <w:rStyle w:val="None"/>
          <w:rFonts w:ascii="Times New Roman" w:hAnsi="Times New Roman"/>
          <w:b/>
          <w:bCs/>
          <w:i/>
          <w:iCs/>
          <w:sz w:val="24"/>
          <w:szCs w:val="24"/>
          <w:shd w:val="clear" w:color="auto" w:fill="800000"/>
          <w:lang w:val="en-US"/>
        </w:rPr>
        <w:t>AIB is committed to upholding high governance standards and seeking continual enhancements. The key challenges arise when new requirements are published and we must ensure that any enhancements to existing processes or practices are implemented and approved by the appropriate governance forum in advance of the effective date of the new requirements to ensure that AIB remains compliant with all relevant corporate governance codes and requirements.</w:t>
      </w:r>
    </w:p>
    <w:p w14:paraId="511A9183" w14:textId="77777777" w:rsidR="00DC4459" w:rsidRDefault="00DC4459">
      <w:pPr>
        <w:pStyle w:val="Body"/>
        <w:jc w:val="both"/>
        <w:rPr>
          <w:rStyle w:val="None"/>
          <w:rFonts w:ascii="Times New Roman" w:eastAsia="Times New Roman" w:hAnsi="Times New Roman" w:cs="Times New Roman"/>
          <w:b/>
          <w:bCs/>
        </w:rPr>
      </w:pPr>
    </w:p>
    <w:p w14:paraId="034D3133"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43652680"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1A82E674"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2ACFB47A"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7D4B78F8"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536CBB54"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0D5B5B76" w14:textId="77777777" w:rsidR="00DC4459" w:rsidRDefault="00077D4E">
      <w:pPr>
        <w:pStyle w:val="Heading"/>
      </w:pPr>
      <w:bookmarkStart w:id="118" w:name="_Toc73739060"/>
      <w:r>
        <w:rPr>
          <w:rStyle w:val="None"/>
          <w:noProof/>
          <w:color w:val="000000"/>
          <w:u w:color="000000"/>
        </w:rPr>
        <w:lastRenderedPageBreak/>
        <w:drawing>
          <wp:anchor distT="57150" distB="57150" distL="57150" distR="57150" simplePos="0" relativeHeight="251661312" behindDoc="0" locked="0" layoutInCell="1" allowOverlap="1" wp14:anchorId="47944A08" wp14:editId="1EE8FE1C">
            <wp:simplePos x="0" y="0"/>
            <wp:positionH relativeFrom="column">
              <wp:posOffset>-542925</wp:posOffset>
            </wp:positionH>
            <wp:positionV relativeFrom="line">
              <wp:posOffset>361950</wp:posOffset>
            </wp:positionV>
            <wp:extent cx="6953250" cy="6076950"/>
            <wp:effectExtent l="0" t="0" r="0" b="0"/>
            <wp:wrapSquare wrapText="bothSides" distT="57150" distB="57150" distL="57150" distR="57150"/>
            <wp:docPr id="1073741832" name="officeArt object" descr="Picture 9"/>
            <wp:cNvGraphicFramePr/>
            <a:graphic xmlns:a="http://schemas.openxmlformats.org/drawingml/2006/main">
              <a:graphicData uri="http://schemas.openxmlformats.org/drawingml/2006/picture">
                <pic:pic xmlns:pic="http://schemas.openxmlformats.org/drawingml/2006/picture">
                  <pic:nvPicPr>
                    <pic:cNvPr id="1073741832" name="Picture 9" descr="Picture 9"/>
                    <pic:cNvPicPr>
                      <a:picLocks noChangeAspect="1"/>
                    </pic:cNvPicPr>
                  </pic:nvPicPr>
                  <pic:blipFill>
                    <a:blip r:embed="rId31"/>
                    <a:stretch>
                      <a:fillRect/>
                    </a:stretch>
                  </pic:blipFill>
                  <pic:spPr>
                    <a:xfrm>
                      <a:off x="0" y="0"/>
                      <a:ext cx="6953250" cy="6076950"/>
                    </a:xfrm>
                    <a:prstGeom prst="rect">
                      <a:avLst/>
                    </a:prstGeom>
                    <a:ln w="12700" cap="flat">
                      <a:noFill/>
                      <a:miter lim="400000"/>
                    </a:ln>
                    <a:effectLst/>
                  </pic:spPr>
                </pic:pic>
              </a:graphicData>
            </a:graphic>
          </wp:anchor>
        </w:drawing>
      </w:r>
      <w:r>
        <w:rPr>
          <w:rStyle w:val="None"/>
          <w:rFonts w:eastAsia="Arial Unicode MS" w:cs="Arial Unicode MS"/>
          <w:lang w:val="en-US"/>
        </w:rPr>
        <w:t>Appendix E: Summary of Corporate Governance Codes in Ireland</w:t>
      </w:r>
      <w:bookmarkEnd w:id="118"/>
    </w:p>
    <w:p w14:paraId="04D07E76"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4D901802"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2BF5E5D6"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137F05CE"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0B0E791F"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4549401A"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262CF4DF" w14:textId="77777777" w:rsidR="00DC4459" w:rsidRDefault="00DC4459">
      <w:pPr>
        <w:pStyle w:val="Body"/>
        <w:spacing w:line="360" w:lineRule="auto"/>
        <w:jc w:val="both"/>
        <w:rPr>
          <w:rStyle w:val="None"/>
          <w:rFonts w:ascii="Times New Roman" w:eastAsia="Times New Roman" w:hAnsi="Times New Roman" w:cs="Times New Roman"/>
          <w:sz w:val="24"/>
          <w:szCs w:val="24"/>
        </w:rPr>
      </w:pPr>
    </w:p>
    <w:p w14:paraId="25BAD72B" w14:textId="77777777" w:rsidR="00DC4459" w:rsidRDefault="00077D4E">
      <w:pPr>
        <w:pStyle w:val="Body"/>
        <w:spacing w:line="360" w:lineRule="auto"/>
        <w:jc w:val="both"/>
        <w:rPr>
          <w:rStyle w:val="None"/>
          <w:rFonts w:ascii="Times New Roman" w:eastAsia="Times New Roman" w:hAnsi="Times New Roman" w:cs="Times New Roman"/>
          <w:sz w:val="24"/>
          <w:szCs w:val="24"/>
        </w:rPr>
      </w:pPr>
      <w:r>
        <w:rPr>
          <w:rStyle w:val="None"/>
          <w:noProof/>
        </w:rPr>
        <w:lastRenderedPageBreak/>
        <w:drawing>
          <wp:anchor distT="57150" distB="57150" distL="57150" distR="57150" simplePos="0" relativeHeight="251662336" behindDoc="0" locked="0" layoutInCell="1" allowOverlap="1" wp14:anchorId="6B692C8B" wp14:editId="3CDECF6D">
            <wp:simplePos x="0" y="0"/>
            <wp:positionH relativeFrom="column">
              <wp:posOffset>-542925</wp:posOffset>
            </wp:positionH>
            <wp:positionV relativeFrom="line">
              <wp:posOffset>229235</wp:posOffset>
            </wp:positionV>
            <wp:extent cx="7096125" cy="5829300"/>
            <wp:effectExtent l="0" t="0" r="0" b="0"/>
            <wp:wrapSquare wrapText="bothSides" distT="57150" distB="57150" distL="57150" distR="57150"/>
            <wp:docPr id="1073741833" name="officeArt object" descr="Picture 10"/>
            <wp:cNvGraphicFramePr/>
            <a:graphic xmlns:a="http://schemas.openxmlformats.org/drawingml/2006/main">
              <a:graphicData uri="http://schemas.openxmlformats.org/drawingml/2006/picture">
                <pic:pic xmlns:pic="http://schemas.openxmlformats.org/drawingml/2006/picture">
                  <pic:nvPicPr>
                    <pic:cNvPr id="1073741833" name="Picture 10" descr="Picture 10"/>
                    <pic:cNvPicPr>
                      <a:picLocks noChangeAspect="1"/>
                    </pic:cNvPicPr>
                  </pic:nvPicPr>
                  <pic:blipFill>
                    <a:blip r:embed="rId32"/>
                    <a:stretch>
                      <a:fillRect/>
                    </a:stretch>
                  </pic:blipFill>
                  <pic:spPr>
                    <a:xfrm>
                      <a:off x="0" y="0"/>
                      <a:ext cx="7096125" cy="5829300"/>
                    </a:xfrm>
                    <a:prstGeom prst="rect">
                      <a:avLst/>
                    </a:prstGeom>
                    <a:ln w="12700" cap="flat">
                      <a:noFill/>
                      <a:miter lim="400000"/>
                    </a:ln>
                    <a:effectLst/>
                  </pic:spPr>
                </pic:pic>
              </a:graphicData>
            </a:graphic>
          </wp:anchor>
        </w:drawing>
      </w:r>
    </w:p>
    <w:p w14:paraId="0BDD6364" w14:textId="09223304" w:rsidR="00DC4459" w:rsidRDefault="00DC4459">
      <w:pPr>
        <w:pStyle w:val="Body"/>
        <w:spacing w:line="360" w:lineRule="auto"/>
        <w:jc w:val="both"/>
        <w:rPr>
          <w:rStyle w:val="None"/>
          <w:rFonts w:ascii="Times New Roman" w:eastAsia="Times New Roman" w:hAnsi="Times New Roman" w:cs="Times New Roman"/>
          <w:sz w:val="24"/>
          <w:szCs w:val="24"/>
        </w:rPr>
      </w:pPr>
    </w:p>
    <w:p w14:paraId="000BE6D1" w14:textId="63A29989" w:rsidR="006D270E" w:rsidRDefault="006D270E">
      <w:pPr>
        <w:pStyle w:val="Body"/>
        <w:spacing w:line="360" w:lineRule="auto"/>
        <w:jc w:val="both"/>
        <w:rPr>
          <w:rStyle w:val="None"/>
          <w:rFonts w:ascii="Times New Roman" w:eastAsia="Times New Roman" w:hAnsi="Times New Roman" w:cs="Times New Roman"/>
          <w:sz w:val="24"/>
          <w:szCs w:val="24"/>
        </w:rPr>
      </w:pPr>
    </w:p>
    <w:p w14:paraId="6FE90180" w14:textId="58EB7F30" w:rsidR="006D270E" w:rsidRDefault="006D270E">
      <w:pPr>
        <w:pStyle w:val="Body"/>
        <w:spacing w:line="360" w:lineRule="auto"/>
        <w:jc w:val="both"/>
        <w:rPr>
          <w:rStyle w:val="None"/>
          <w:rFonts w:ascii="Times New Roman" w:eastAsia="Times New Roman" w:hAnsi="Times New Roman" w:cs="Times New Roman"/>
          <w:sz w:val="24"/>
          <w:szCs w:val="24"/>
        </w:rPr>
      </w:pPr>
    </w:p>
    <w:p w14:paraId="5D7B3FA9" w14:textId="5C460D76" w:rsidR="006D270E" w:rsidRDefault="006D270E">
      <w:pPr>
        <w:pStyle w:val="Body"/>
        <w:spacing w:line="360" w:lineRule="auto"/>
        <w:jc w:val="both"/>
        <w:rPr>
          <w:rStyle w:val="None"/>
          <w:rFonts w:ascii="Times New Roman" w:eastAsia="Times New Roman" w:hAnsi="Times New Roman" w:cs="Times New Roman"/>
          <w:sz w:val="24"/>
          <w:szCs w:val="24"/>
        </w:rPr>
      </w:pPr>
    </w:p>
    <w:p w14:paraId="067F4442" w14:textId="5B6A4A07" w:rsidR="006D270E" w:rsidRDefault="006D270E">
      <w:pPr>
        <w:pStyle w:val="Body"/>
        <w:spacing w:line="360" w:lineRule="auto"/>
        <w:jc w:val="both"/>
        <w:rPr>
          <w:rStyle w:val="None"/>
          <w:rFonts w:ascii="Times New Roman" w:eastAsia="Times New Roman" w:hAnsi="Times New Roman" w:cs="Times New Roman"/>
          <w:sz w:val="24"/>
          <w:szCs w:val="24"/>
        </w:rPr>
      </w:pPr>
    </w:p>
    <w:p w14:paraId="17A6D546" w14:textId="76509307" w:rsidR="006D270E" w:rsidRDefault="006D270E">
      <w:pPr>
        <w:pStyle w:val="Body"/>
        <w:spacing w:line="360" w:lineRule="auto"/>
        <w:jc w:val="both"/>
        <w:rPr>
          <w:rStyle w:val="None"/>
          <w:rFonts w:ascii="Times New Roman" w:eastAsia="Times New Roman" w:hAnsi="Times New Roman" w:cs="Times New Roman"/>
          <w:sz w:val="24"/>
          <w:szCs w:val="24"/>
        </w:rPr>
      </w:pPr>
    </w:p>
    <w:p w14:paraId="0C256104" w14:textId="11079878" w:rsidR="006D270E" w:rsidRDefault="006D270E">
      <w:pPr>
        <w:pStyle w:val="Body"/>
        <w:spacing w:line="360" w:lineRule="auto"/>
        <w:jc w:val="both"/>
        <w:rPr>
          <w:rStyle w:val="None"/>
          <w:rFonts w:ascii="Times New Roman" w:eastAsia="Times New Roman" w:hAnsi="Times New Roman" w:cs="Times New Roman"/>
          <w:sz w:val="24"/>
          <w:szCs w:val="24"/>
        </w:rPr>
      </w:pPr>
    </w:p>
    <w:p w14:paraId="6697DE81" w14:textId="0E13B33B" w:rsidR="004421DB" w:rsidRPr="00C20C73" w:rsidRDefault="009A5B79" w:rsidP="00C20C73">
      <w:pPr>
        <w:pStyle w:val="Heading2"/>
      </w:pPr>
      <w:bookmarkStart w:id="119" w:name="_Toc73739061"/>
      <w:r>
        <w:rPr>
          <w:rStyle w:val="None"/>
        </w:rPr>
        <w:lastRenderedPageBreak/>
        <w:t xml:space="preserve">APPENDIX </w:t>
      </w:r>
      <w:r w:rsidR="004D57A8">
        <w:rPr>
          <w:rStyle w:val="None"/>
        </w:rPr>
        <w:t>F</w:t>
      </w:r>
      <w:r w:rsidR="00E726F5">
        <w:rPr>
          <w:rStyle w:val="None"/>
        </w:rPr>
        <w:t>:</w:t>
      </w:r>
      <w:r w:rsidR="00C20C73">
        <w:rPr>
          <w:rStyle w:val="None"/>
        </w:rPr>
        <w:t xml:space="preserve"> </w:t>
      </w:r>
      <w:r w:rsidR="004421DB" w:rsidRPr="001171A3">
        <w:t>PLAIN LANGUAGE STATEMENT</w:t>
      </w:r>
      <w:bookmarkEnd w:id="119"/>
      <w:r w:rsidR="004421DB" w:rsidRPr="001171A3">
        <w:t xml:space="preserve"> </w:t>
      </w:r>
    </w:p>
    <w:p w14:paraId="6B3FE3C3" w14:textId="77777777" w:rsidR="004421DB" w:rsidRPr="00A552F8" w:rsidRDefault="004421DB" w:rsidP="00AC7373">
      <w:pPr>
        <w:pStyle w:val="List"/>
        <w:spacing w:before="480"/>
        <w:jc w:val="both"/>
        <w:rPr>
          <w:b/>
          <w:sz w:val="18"/>
          <w:szCs w:val="18"/>
        </w:rPr>
      </w:pPr>
      <w:r w:rsidRPr="00A552F8">
        <w:rPr>
          <w:b/>
          <w:sz w:val="18"/>
          <w:szCs w:val="18"/>
        </w:rPr>
        <w:tab/>
        <w:t>Introduction to the Research Study</w:t>
      </w:r>
    </w:p>
    <w:p w14:paraId="0D119512" w14:textId="77777777" w:rsidR="004421DB" w:rsidRPr="00A552F8" w:rsidRDefault="004421DB" w:rsidP="00AC7373">
      <w:pPr>
        <w:pStyle w:val="List"/>
        <w:spacing w:before="200"/>
        <w:ind w:left="357" w:firstLine="0"/>
        <w:jc w:val="both"/>
        <w:rPr>
          <w:bCs/>
          <w:iCs/>
          <w:sz w:val="18"/>
          <w:szCs w:val="18"/>
        </w:rPr>
      </w:pPr>
      <w:r w:rsidRPr="00A552F8">
        <w:rPr>
          <w:bCs/>
          <w:iCs/>
          <w:sz w:val="18"/>
          <w:szCs w:val="18"/>
        </w:rPr>
        <w:t xml:space="preserve">Research Study Title:  </w:t>
      </w:r>
      <w:r w:rsidRPr="00A552F8">
        <w:rPr>
          <w:sz w:val="18"/>
          <w:szCs w:val="18"/>
        </w:rPr>
        <w:t>Factors Determining the Adherence to Corporate Governance Codes: Case study of the Banking Sector in Ireland.</w:t>
      </w:r>
    </w:p>
    <w:p w14:paraId="7690964C" w14:textId="77777777" w:rsidR="004421DB" w:rsidRPr="00A552F8" w:rsidRDefault="004421DB" w:rsidP="00AC7373">
      <w:pPr>
        <w:pStyle w:val="List"/>
        <w:spacing w:before="200"/>
        <w:ind w:left="357" w:firstLine="0"/>
        <w:jc w:val="both"/>
        <w:rPr>
          <w:bCs/>
          <w:iCs/>
          <w:sz w:val="18"/>
          <w:szCs w:val="18"/>
        </w:rPr>
      </w:pPr>
      <w:r w:rsidRPr="00A552F8">
        <w:rPr>
          <w:bCs/>
          <w:iCs/>
          <w:sz w:val="18"/>
          <w:szCs w:val="18"/>
        </w:rPr>
        <w:t>University: Griffith College, Graduate Business School.</w:t>
      </w:r>
    </w:p>
    <w:p w14:paraId="23E2DBBF" w14:textId="77777777" w:rsidR="004421DB" w:rsidRPr="00A552F8" w:rsidRDefault="004421DB" w:rsidP="00AC7373">
      <w:pPr>
        <w:pStyle w:val="List"/>
        <w:spacing w:before="200"/>
        <w:ind w:left="357" w:firstLine="0"/>
        <w:jc w:val="both"/>
        <w:rPr>
          <w:bCs/>
          <w:iCs/>
          <w:sz w:val="18"/>
          <w:szCs w:val="18"/>
        </w:rPr>
      </w:pPr>
      <w:r w:rsidRPr="00A552F8">
        <w:rPr>
          <w:bCs/>
          <w:iCs/>
          <w:sz w:val="18"/>
          <w:szCs w:val="18"/>
        </w:rPr>
        <w:t xml:space="preserve">Principal Investigator: </w:t>
      </w:r>
      <w:r w:rsidRPr="00A552F8">
        <w:rPr>
          <w:bCs/>
          <w:iCs/>
          <w:sz w:val="18"/>
          <w:szCs w:val="18"/>
          <w:lang w:val="en-AU"/>
        </w:rPr>
        <w:t>Dr Garrett Ryan</w:t>
      </w:r>
      <w:r w:rsidRPr="00A552F8">
        <w:rPr>
          <w:bCs/>
          <w:iCs/>
          <w:sz w:val="18"/>
          <w:szCs w:val="18"/>
        </w:rPr>
        <w:t xml:space="preserve">. </w:t>
      </w:r>
    </w:p>
    <w:p w14:paraId="5114E4DC" w14:textId="77777777" w:rsidR="004421DB" w:rsidRPr="00A552F8" w:rsidRDefault="004421DB" w:rsidP="00AC7373">
      <w:pPr>
        <w:pStyle w:val="List"/>
        <w:spacing w:before="200"/>
        <w:ind w:left="357" w:firstLine="0"/>
        <w:jc w:val="both"/>
        <w:rPr>
          <w:bCs/>
          <w:iCs/>
          <w:sz w:val="18"/>
          <w:szCs w:val="18"/>
        </w:rPr>
      </w:pPr>
      <w:r w:rsidRPr="00A552F8">
        <w:rPr>
          <w:bCs/>
          <w:iCs/>
          <w:sz w:val="18"/>
          <w:szCs w:val="18"/>
        </w:rPr>
        <w:t xml:space="preserve">Researcher Name: Nnamdi Elvis </w:t>
      </w:r>
      <w:proofErr w:type="spellStart"/>
      <w:r w:rsidRPr="00A552F8">
        <w:rPr>
          <w:bCs/>
          <w:iCs/>
          <w:sz w:val="18"/>
          <w:szCs w:val="18"/>
        </w:rPr>
        <w:t>Aroh</w:t>
      </w:r>
      <w:proofErr w:type="spellEnd"/>
    </w:p>
    <w:p w14:paraId="299CA7C9" w14:textId="77777777" w:rsidR="004421DB" w:rsidRPr="00A552F8" w:rsidRDefault="004421DB" w:rsidP="00AC7373">
      <w:pPr>
        <w:pStyle w:val="List"/>
        <w:spacing w:before="200"/>
        <w:ind w:left="357" w:firstLine="0"/>
        <w:jc w:val="both"/>
        <w:rPr>
          <w:bCs/>
          <w:iCs/>
          <w:sz w:val="18"/>
          <w:szCs w:val="18"/>
        </w:rPr>
      </w:pPr>
      <w:r w:rsidRPr="00A552F8">
        <w:rPr>
          <w:bCs/>
          <w:iCs/>
          <w:sz w:val="18"/>
          <w:szCs w:val="18"/>
        </w:rPr>
        <w:t>Email: elvisnnamdi1@gmail.com</w:t>
      </w:r>
    </w:p>
    <w:p w14:paraId="79DD9804" w14:textId="77777777" w:rsidR="004421DB" w:rsidRPr="00A552F8" w:rsidRDefault="004421DB" w:rsidP="00AC7373">
      <w:pPr>
        <w:pStyle w:val="List"/>
        <w:spacing w:before="200"/>
        <w:ind w:left="357" w:firstLine="0"/>
        <w:jc w:val="both"/>
        <w:rPr>
          <w:b/>
          <w:bCs/>
          <w:sz w:val="18"/>
          <w:szCs w:val="18"/>
        </w:rPr>
      </w:pPr>
      <w:r w:rsidRPr="00A552F8">
        <w:rPr>
          <w:b/>
          <w:sz w:val="18"/>
          <w:szCs w:val="18"/>
        </w:rPr>
        <w:t>II.</w:t>
      </w:r>
      <w:r w:rsidRPr="00A552F8">
        <w:rPr>
          <w:b/>
          <w:sz w:val="18"/>
          <w:szCs w:val="18"/>
        </w:rPr>
        <w:tab/>
      </w:r>
      <w:r w:rsidRPr="00A552F8">
        <w:rPr>
          <w:b/>
          <w:bCs/>
          <w:sz w:val="18"/>
          <w:szCs w:val="18"/>
        </w:rPr>
        <w:t>Details of what involvement in the Research Study will require</w:t>
      </w:r>
    </w:p>
    <w:p w14:paraId="451DD507" w14:textId="77777777" w:rsidR="004421DB" w:rsidRPr="00A552F8" w:rsidRDefault="004421DB" w:rsidP="00AC7373">
      <w:pPr>
        <w:pStyle w:val="List"/>
        <w:ind w:left="357" w:firstLine="0"/>
        <w:jc w:val="both"/>
        <w:rPr>
          <w:b/>
          <w:sz w:val="18"/>
          <w:szCs w:val="18"/>
        </w:rPr>
      </w:pPr>
    </w:p>
    <w:p w14:paraId="248245E3" w14:textId="77777777" w:rsidR="004421DB" w:rsidRPr="00A552F8" w:rsidRDefault="004421DB" w:rsidP="00AC7373">
      <w:pPr>
        <w:pStyle w:val="List"/>
        <w:ind w:left="357" w:firstLine="0"/>
        <w:jc w:val="both"/>
        <w:rPr>
          <w:iCs/>
          <w:sz w:val="18"/>
          <w:szCs w:val="18"/>
        </w:rPr>
      </w:pPr>
      <w:bookmarkStart w:id="120" w:name="_Hlk59191664"/>
      <w:r w:rsidRPr="00A552F8">
        <w:rPr>
          <w:iCs/>
          <w:sz w:val="18"/>
          <w:szCs w:val="18"/>
        </w:rPr>
        <w:t xml:space="preserve">This project involves taking part in an interview.  The interview responses will be recorded, and seek to gather information on your experience of </w:t>
      </w:r>
      <w:r w:rsidRPr="00A552F8">
        <w:rPr>
          <w:sz w:val="18"/>
          <w:szCs w:val="18"/>
        </w:rPr>
        <w:t>adherence to Corporate Governance Codes</w:t>
      </w:r>
      <w:r w:rsidRPr="00A552F8">
        <w:rPr>
          <w:iCs/>
          <w:sz w:val="18"/>
          <w:szCs w:val="18"/>
        </w:rPr>
        <w:t xml:space="preserve">. Questions are directed towards your thoughts on levels and extent of corporate governance </w:t>
      </w:r>
      <w:proofErr w:type="spellStart"/>
      <w:r w:rsidRPr="00A552F8">
        <w:rPr>
          <w:iCs/>
          <w:sz w:val="18"/>
          <w:szCs w:val="18"/>
        </w:rPr>
        <w:t>disclosue</w:t>
      </w:r>
      <w:proofErr w:type="spellEnd"/>
      <w:r w:rsidRPr="00A552F8">
        <w:rPr>
          <w:iCs/>
          <w:sz w:val="18"/>
          <w:szCs w:val="18"/>
        </w:rPr>
        <w:t xml:space="preserve">. I estimate the interview will take no longer than 10 minutes to complete. </w:t>
      </w:r>
    </w:p>
    <w:bookmarkEnd w:id="120"/>
    <w:p w14:paraId="34BFCEDC" w14:textId="77777777" w:rsidR="004421DB" w:rsidRPr="00A552F8" w:rsidRDefault="004421DB" w:rsidP="00AC7373">
      <w:pPr>
        <w:pStyle w:val="List"/>
        <w:spacing w:before="240"/>
        <w:jc w:val="both"/>
        <w:rPr>
          <w:bCs/>
          <w:sz w:val="18"/>
          <w:szCs w:val="18"/>
        </w:rPr>
      </w:pPr>
      <w:r w:rsidRPr="00A552F8">
        <w:rPr>
          <w:b/>
          <w:bCs/>
          <w:sz w:val="18"/>
          <w:szCs w:val="18"/>
        </w:rPr>
        <w:t>III.</w:t>
      </w:r>
      <w:r w:rsidRPr="00A552F8">
        <w:rPr>
          <w:b/>
          <w:bCs/>
          <w:sz w:val="18"/>
          <w:szCs w:val="18"/>
        </w:rPr>
        <w:tab/>
        <w:t xml:space="preserve">Potential risks to participants from involvement in the Research Study (if greater than that encountered in everyday life) </w:t>
      </w:r>
      <w:r w:rsidRPr="00A552F8">
        <w:rPr>
          <w:bCs/>
          <w:sz w:val="18"/>
          <w:szCs w:val="18"/>
        </w:rPr>
        <w:t>I do not anticipate any risk to participants as a result of participation in this Research Study.</w:t>
      </w:r>
    </w:p>
    <w:p w14:paraId="3D6FAD02" w14:textId="77777777" w:rsidR="004421DB" w:rsidRPr="00A552F8" w:rsidRDefault="004421DB" w:rsidP="00AC7373">
      <w:pPr>
        <w:pStyle w:val="List"/>
        <w:spacing w:before="240"/>
        <w:jc w:val="both"/>
        <w:rPr>
          <w:b/>
          <w:bCs/>
          <w:sz w:val="18"/>
          <w:szCs w:val="18"/>
        </w:rPr>
      </w:pPr>
      <w:r w:rsidRPr="00A552F8">
        <w:rPr>
          <w:b/>
          <w:bCs/>
          <w:sz w:val="18"/>
          <w:szCs w:val="18"/>
        </w:rPr>
        <w:t>IV.</w:t>
      </w:r>
      <w:r w:rsidRPr="00A552F8">
        <w:rPr>
          <w:b/>
          <w:bCs/>
          <w:sz w:val="18"/>
          <w:szCs w:val="18"/>
        </w:rPr>
        <w:tab/>
        <w:t>Benefits (direct or indirect) to participants from involvement in the Research Study</w:t>
      </w:r>
    </w:p>
    <w:p w14:paraId="004CEC77" w14:textId="77777777" w:rsidR="004421DB" w:rsidRPr="00A552F8" w:rsidRDefault="004421DB" w:rsidP="00AC7373">
      <w:pPr>
        <w:pStyle w:val="List"/>
        <w:spacing w:before="240"/>
        <w:ind w:firstLine="0"/>
        <w:jc w:val="both"/>
        <w:rPr>
          <w:bCs/>
          <w:sz w:val="18"/>
          <w:szCs w:val="18"/>
        </w:rPr>
      </w:pPr>
      <w:r w:rsidRPr="00A552F8">
        <w:rPr>
          <w:bCs/>
          <w:sz w:val="18"/>
          <w:szCs w:val="18"/>
        </w:rPr>
        <w:t xml:space="preserve">The objective of this Research Study is to gain new knowledge that will enable company management and key stakeholders improve on the level of voluntary corporate governance disclosure in the bank sector. This study may, therefore, be of benefit to you by providing you with the opportunity to contribute to body of knowledge on </w:t>
      </w:r>
      <w:r w:rsidRPr="00A552F8">
        <w:rPr>
          <w:sz w:val="18"/>
          <w:szCs w:val="18"/>
        </w:rPr>
        <w:t>Factors Determining the Adherence to Corporate Governance Codes: Case study of the Banking Sector in Ireland</w:t>
      </w:r>
      <w:r w:rsidRPr="00A552F8">
        <w:rPr>
          <w:bCs/>
          <w:sz w:val="18"/>
          <w:szCs w:val="18"/>
        </w:rPr>
        <w:t>.</w:t>
      </w:r>
    </w:p>
    <w:p w14:paraId="22183054" w14:textId="77777777" w:rsidR="004421DB" w:rsidRPr="00A552F8" w:rsidRDefault="004421DB" w:rsidP="00AC7373">
      <w:pPr>
        <w:pStyle w:val="BodyTextIndent"/>
        <w:spacing w:before="120"/>
        <w:ind w:hanging="360"/>
        <w:jc w:val="both"/>
        <w:rPr>
          <w:b/>
          <w:sz w:val="18"/>
          <w:szCs w:val="18"/>
        </w:rPr>
      </w:pPr>
      <w:r w:rsidRPr="00A552F8">
        <w:rPr>
          <w:b/>
          <w:sz w:val="18"/>
          <w:szCs w:val="18"/>
        </w:rPr>
        <w:t>V.</w:t>
      </w:r>
      <w:r w:rsidRPr="00A552F8">
        <w:rPr>
          <w:b/>
          <w:sz w:val="18"/>
          <w:szCs w:val="18"/>
        </w:rPr>
        <w:tab/>
        <w:t xml:space="preserve">Advice as to arrangements to be made to protect the confidentiality of data, including that confidentiality of information provided is subject to legal limitations </w:t>
      </w:r>
    </w:p>
    <w:p w14:paraId="1502C89B" w14:textId="77777777" w:rsidR="004421DB" w:rsidRPr="00A552F8" w:rsidRDefault="004421DB" w:rsidP="00AC7373">
      <w:pPr>
        <w:pStyle w:val="BodyTextIndent"/>
        <w:spacing w:before="120"/>
        <w:jc w:val="both"/>
        <w:rPr>
          <w:sz w:val="18"/>
          <w:szCs w:val="18"/>
        </w:rPr>
      </w:pPr>
      <w:bookmarkStart w:id="121" w:name="_Hlk59191807"/>
      <w:r w:rsidRPr="00A552F8">
        <w:rPr>
          <w:sz w:val="18"/>
          <w:szCs w:val="18"/>
        </w:rPr>
        <w:t xml:space="preserve">The most significant level of moral compliances would be kept up all through this examination as any data gotten from members will be kept classified as any break of member individual information would bring about punishments as per the Data Protections Regulation. To guarantee straightforwardness and responsibility, an analyst should attempt to secure individuals' very own information as this connotes a significant degree of ensuring their respectability.   </w:t>
      </w:r>
    </w:p>
    <w:bookmarkEnd w:id="121"/>
    <w:p w14:paraId="26D6AC1D" w14:textId="77777777" w:rsidR="004421DB" w:rsidRPr="00A552F8" w:rsidRDefault="004421DB" w:rsidP="00AC7373">
      <w:pPr>
        <w:pStyle w:val="List"/>
        <w:spacing w:before="240"/>
        <w:jc w:val="both"/>
        <w:rPr>
          <w:b/>
          <w:sz w:val="18"/>
          <w:szCs w:val="18"/>
        </w:rPr>
      </w:pPr>
      <w:r w:rsidRPr="00A552F8">
        <w:rPr>
          <w:b/>
          <w:sz w:val="18"/>
          <w:szCs w:val="18"/>
        </w:rPr>
        <w:t>VI.</w:t>
      </w:r>
      <w:r w:rsidRPr="00A552F8">
        <w:rPr>
          <w:b/>
          <w:sz w:val="18"/>
          <w:szCs w:val="18"/>
        </w:rPr>
        <w:tab/>
      </w:r>
      <w:r w:rsidRPr="00A552F8">
        <w:rPr>
          <w:b/>
          <w:bCs/>
          <w:sz w:val="18"/>
          <w:szCs w:val="18"/>
        </w:rPr>
        <w:t>Advice as to whether or not data is to be destroyed after a minimum period</w:t>
      </w:r>
      <w:r w:rsidRPr="00A552F8">
        <w:rPr>
          <w:b/>
          <w:sz w:val="18"/>
          <w:szCs w:val="18"/>
        </w:rPr>
        <w:t xml:space="preserve"> </w:t>
      </w:r>
    </w:p>
    <w:p w14:paraId="1495AB28" w14:textId="77777777" w:rsidR="004421DB" w:rsidRPr="00A552F8" w:rsidRDefault="004421DB" w:rsidP="00AC7373">
      <w:pPr>
        <w:pStyle w:val="BodyTextIndent"/>
        <w:ind w:left="357"/>
        <w:jc w:val="both"/>
        <w:rPr>
          <w:b/>
          <w:sz w:val="18"/>
          <w:szCs w:val="18"/>
        </w:rPr>
      </w:pPr>
      <w:r w:rsidRPr="00A552F8">
        <w:rPr>
          <w:sz w:val="18"/>
          <w:szCs w:val="18"/>
        </w:rPr>
        <w:t xml:space="preserve">Audio tapes will be destroyed on the successful completion of this master’s degree in full compliance with GDPR regulations.  </w:t>
      </w:r>
    </w:p>
    <w:p w14:paraId="4CD3D01B" w14:textId="77777777" w:rsidR="004421DB" w:rsidRPr="00A552F8" w:rsidRDefault="004421DB" w:rsidP="00AC7373">
      <w:pPr>
        <w:pStyle w:val="List"/>
        <w:spacing w:before="240"/>
        <w:jc w:val="both"/>
        <w:rPr>
          <w:b/>
          <w:sz w:val="18"/>
          <w:szCs w:val="18"/>
        </w:rPr>
      </w:pPr>
      <w:r w:rsidRPr="00A552F8">
        <w:rPr>
          <w:b/>
          <w:sz w:val="18"/>
          <w:szCs w:val="18"/>
        </w:rPr>
        <w:t>VII.</w:t>
      </w:r>
      <w:r w:rsidRPr="00A552F8">
        <w:rPr>
          <w:b/>
          <w:sz w:val="18"/>
          <w:szCs w:val="18"/>
        </w:rPr>
        <w:tab/>
        <w:t>Statement that involvement in the Research Study is voluntary</w:t>
      </w:r>
    </w:p>
    <w:p w14:paraId="06AC1E49" w14:textId="3380AE5A" w:rsidR="004421DB" w:rsidRPr="00A552F8" w:rsidRDefault="004421DB" w:rsidP="002808A1">
      <w:pPr>
        <w:pStyle w:val="List"/>
        <w:spacing w:before="240"/>
        <w:ind w:firstLine="0"/>
        <w:jc w:val="both"/>
        <w:rPr>
          <w:bCs/>
          <w:iCs/>
          <w:sz w:val="18"/>
          <w:szCs w:val="18"/>
        </w:rPr>
      </w:pPr>
      <w:bookmarkStart w:id="122" w:name="_Hlk59191762"/>
      <w:r w:rsidRPr="00A552F8">
        <w:rPr>
          <w:bCs/>
          <w:iCs/>
          <w:sz w:val="18"/>
          <w:szCs w:val="18"/>
        </w:rPr>
        <w:t xml:space="preserve">Involvement in this Research Study is voluntary.  Participants who decide to take part may withdraw from the Research Study at any point.  There will be no penalty for withdrawing before all stages of the Research Study are complete..  </w:t>
      </w:r>
      <w:bookmarkEnd w:id="122"/>
    </w:p>
    <w:p w14:paraId="141286C7" w14:textId="77777777" w:rsidR="004421DB" w:rsidRPr="00A552F8" w:rsidRDefault="004421DB" w:rsidP="00AC7373">
      <w:pPr>
        <w:pStyle w:val="BodyText"/>
        <w:ind w:left="360" w:hanging="360"/>
        <w:jc w:val="both"/>
        <w:rPr>
          <w:rFonts w:ascii="Times New Roman" w:hAnsi="Times New Roman"/>
          <w:sz w:val="18"/>
          <w:szCs w:val="18"/>
        </w:rPr>
      </w:pPr>
      <w:r w:rsidRPr="00A552F8">
        <w:rPr>
          <w:rFonts w:ascii="Times New Roman" w:hAnsi="Times New Roman"/>
          <w:sz w:val="18"/>
          <w:szCs w:val="18"/>
        </w:rPr>
        <w:tab/>
      </w:r>
    </w:p>
    <w:p w14:paraId="25C932DF" w14:textId="77777777" w:rsidR="004421DB" w:rsidRPr="00A552F8" w:rsidRDefault="004421DB" w:rsidP="00AC7373">
      <w:pPr>
        <w:pStyle w:val="BodyText"/>
        <w:ind w:left="360" w:hanging="360"/>
        <w:jc w:val="both"/>
        <w:rPr>
          <w:rFonts w:ascii="Times New Roman" w:hAnsi="Times New Roman"/>
          <w:sz w:val="18"/>
          <w:szCs w:val="18"/>
        </w:rPr>
      </w:pPr>
      <w:r w:rsidRPr="00A552F8">
        <w:rPr>
          <w:rFonts w:ascii="Times New Roman" w:hAnsi="Times New Roman"/>
          <w:sz w:val="18"/>
          <w:szCs w:val="18"/>
        </w:rPr>
        <w:t xml:space="preserve">If participants have concerns about this study and wish to contact an independent </w:t>
      </w:r>
    </w:p>
    <w:p w14:paraId="32B15FCB" w14:textId="77777777" w:rsidR="004421DB" w:rsidRPr="00A552F8" w:rsidRDefault="004421DB" w:rsidP="00AC7373">
      <w:pPr>
        <w:pStyle w:val="BodyText"/>
        <w:ind w:left="360" w:hanging="360"/>
        <w:jc w:val="both"/>
        <w:rPr>
          <w:rFonts w:ascii="Times New Roman" w:hAnsi="Times New Roman"/>
          <w:sz w:val="18"/>
          <w:szCs w:val="18"/>
        </w:rPr>
      </w:pPr>
      <w:r w:rsidRPr="00A552F8">
        <w:rPr>
          <w:rFonts w:ascii="Times New Roman" w:hAnsi="Times New Roman"/>
          <w:sz w:val="18"/>
          <w:szCs w:val="18"/>
        </w:rPr>
        <w:t xml:space="preserve">person, please contact: </w:t>
      </w:r>
    </w:p>
    <w:p w14:paraId="59B4ACDC" w14:textId="77777777" w:rsidR="004421DB" w:rsidRPr="00A552F8" w:rsidRDefault="004421DB" w:rsidP="00AC7373">
      <w:pPr>
        <w:pStyle w:val="BodyText"/>
        <w:ind w:left="360" w:hanging="360"/>
        <w:jc w:val="both"/>
        <w:rPr>
          <w:rFonts w:ascii="Times New Roman" w:hAnsi="Times New Roman"/>
          <w:sz w:val="18"/>
          <w:szCs w:val="18"/>
        </w:rPr>
      </w:pPr>
    </w:p>
    <w:p w14:paraId="03586405" w14:textId="77777777" w:rsidR="004421DB" w:rsidRPr="00A552F8" w:rsidRDefault="004421DB" w:rsidP="00AC7373">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Dr. Garrett Ryan</w:t>
      </w:r>
    </w:p>
    <w:p w14:paraId="7101BD19" w14:textId="77777777" w:rsidR="004421DB" w:rsidRPr="00A552F8" w:rsidRDefault="004421DB" w:rsidP="00AC7373">
      <w:pPr>
        <w:pStyle w:val="BodyText"/>
        <w:ind w:left="360" w:hanging="360"/>
        <w:jc w:val="both"/>
        <w:rPr>
          <w:rFonts w:ascii="Times New Roman" w:hAnsi="Times New Roman"/>
          <w:b w:val="0"/>
          <w:bCs/>
          <w:sz w:val="18"/>
          <w:szCs w:val="18"/>
        </w:rPr>
      </w:pPr>
    </w:p>
    <w:p w14:paraId="6AC06B81" w14:textId="77777777" w:rsidR="004421DB" w:rsidRPr="00A552F8" w:rsidRDefault="004421DB" w:rsidP="00AC7373">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 xml:space="preserve">MSCIB </w:t>
      </w:r>
      <w:proofErr w:type="spellStart"/>
      <w:r w:rsidRPr="00A552F8">
        <w:rPr>
          <w:rFonts w:ascii="Times New Roman" w:hAnsi="Times New Roman"/>
          <w:b w:val="0"/>
          <w:bCs/>
          <w:sz w:val="18"/>
          <w:szCs w:val="18"/>
        </w:rPr>
        <w:t>Programme</w:t>
      </w:r>
      <w:proofErr w:type="spellEnd"/>
      <w:r w:rsidRPr="00A552F8">
        <w:rPr>
          <w:rFonts w:ascii="Times New Roman" w:hAnsi="Times New Roman"/>
          <w:b w:val="0"/>
          <w:bCs/>
          <w:sz w:val="18"/>
          <w:szCs w:val="18"/>
        </w:rPr>
        <w:t xml:space="preserve"> director</w:t>
      </w:r>
    </w:p>
    <w:p w14:paraId="72E924C7" w14:textId="77777777" w:rsidR="004421DB" w:rsidRPr="00A552F8" w:rsidRDefault="004421DB" w:rsidP="00AC7373">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Graduate Business School</w:t>
      </w:r>
    </w:p>
    <w:p w14:paraId="7534DC3A" w14:textId="77777777" w:rsidR="004421DB" w:rsidRPr="00A552F8" w:rsidRDefault="004421DB" w:rsidP="00AC7373">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Office: A109</w:t>
      </w:r>
    </w:p>
    <w:p w14:paraId="07F199AE" w14:textId="77777777" w:rsidR="004421DB" w:rsidRPr="00A552F8" w:rsidRDefault="004421DB" w:rsidP="00AC7373">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 </w:t>
      </w:r>
    </w:p>
    <w:p w14:paraId="5AA15E62" w14:textId="77777777" w:rsidR="004421DB" w:rsidRPr="00A552F8" w:rsidRDefault="004421DB" w:rsidP="00AC7373">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Griffith College</w:t>
      </w:r>
    </w:p>
    <w:p w14:paraId="7BAEBBF3" w14:textId="77777777" w:rsidR="004421DB" w:rsidRPr="00A552F8" w:rsidRDefault="004421DB" w:rsidP="00AC7373">
      <w:pPr>
        <w:pStyle w:val="BodyText"/>
        <w:ind w:left="360" w:hanging="360"/>
        <w:jc w:val="both"/>
        <w:rPr>
          <w:rFonts w:ascii="Times New Roman" w:hAnsi="Times New Roman"/>
          <w:b w:val="0"/>
          <w:bCs/>
          <w:sz w:val="28"/>
          <w:szCs w:val="28"/>
        </w:rPr>
      </w:pPr>
      <w:r w:rsidRPr="00A552F8">
        <w:rPr>
          <w:rFonts w:ascii="Times New Roman" w:hAnsi="Times New Roman"/>
          <w:b w:val="0"/>
          <w:bCs/>
          <w:sz w:val="18"/>
          <w:szCs w:val="18"/>
        </w:rPr>
        <w:t>South Circular Road, Dublin 8, Ireland</w:t>
      </w:r>
    </w:p>
    <w:p w14:paraId="796D5E1F" w14:textId="77777777" w:rsidR="004421DB" w:rsidRPr="00A552F8" w:rsidRDefault="004421DB" w:rsidP="004421DB">
      <w:pPr>
        <w:pStyle w:val="BodyText"/>
        <w:ind w:left="360" w:hanging="360"/>
        <w:jc w:val="both"/>
        <w:rPr>
          <w:rFonts w:ascii="Times New Roman" w:hAnsi="Times New Roman"/>
          <w:b w:val="0"/>
          <w:bCs/>
          <w:sz w:val="28"/>
          <w:szCs w:val="28"/>
        </w:rPr>
      </w:pPr>
      <w:r w:rsidRPr="00A552F8">
        <w:rPr>
          <w:rFonts w:ascii="Times New Roman" w:hAnsi="Times New Roman"/>
          <w:b w:val="0"/>
          <w:bCs/>
          <w:sz w:val="28"/>
          <w:szCs w:val="28"/>
        </w:rPr>
        <w:t> </w:t>
      </w:r>
    </w:p>
    <w:p w14:paraId="73C0CD69" w14:textId="77777777" w:rsidR="004421DB" w:rsidRPr="00A552F8" w:rsidRDefault="004421DB" w:rsidP="004421DB">
      <w:pPr>
        <w:pStyle w:val="BodyText"/>
        <w:ind w:left="360" w:hanging="360"/>
        <w:jc w:val="both"/>
        <w:rPr>
          <w:rFonts w:ascii="Times New Roman" w:hAnsi="Times New Roman"/>
          <w:b w:val="0"/>
          <w:bCs/>
          <w:sz w:val="18"/>
          <w:szCs w:val="18"/>
        </w:rPr>
      </w:pPr>
      <w:r w:rsidRPr="00A552F8">
        <w:rPr>
          <w:rFonts w:ascii="Times New Roman" w:hAnsi="Times New Roman"/>
          <w:b w:val="0"/>
          <w:bCs/>
          <w:sz w:val="18"/>
          <w:szCs w:val="18"/>
        </w:rPr>
        <w:t>Phone:  + 353 1 416 3324</w:t>
      </w:r>
    </w:p>
    <w:p w14:paraId="4695229D" w14:textId="77777777" w:rsidR="004421DB" w:rsidRPr="00A552F8" w:rsidRDefault="004421DB" w:rsidP="004421DB">
      <w:pPr>
        <w:jc w:val="both"/>
        <w:rPr>
          <w:color w:val="000000"/>
          <w:sz w:val="18"/>
          <w:szCs w:val="18"/>
        </w:rPr>
      </w:pPr>
      <w:r w:rsidRPr="00A552F8">
        <w:rPr>
          <w:color w:val="000000"/>
          <w:sz w:val="18"/>
          <w:szCs w:val="18"/>
        </w:rPr>
        <w:t xml:space="preserve">Email: </w:t>
      </w:r>
      <w:hyperlink r:id="rId33" w:history="1">
        <w:r w:rsidRPr="00A552F8">
          <w:rPr>
            <w:rStyle w:val="Hyperlink"/>
            <w:sz w:val="18"/>
            <w:szCs w:val="18"/>
          </w:rPr>
          <w:t>garrett.ryan@griffith.ie</w:t>
        </w:r>
      </w:hyperlink>
    </w:p>
    <w:p w14:paraId="625DC969" w14:textId="77777777" w:rsidR="004421DB" w:rsidRPr="006C0231" w:rsidRDefault="004421DB" w:rsidP="004421DB">
      <w:pPr>
        <w:jc w:val="both"/>
        <w:rPr>
          <w:color w:val="000000"/>
          <w:lang w:val="en-IE"/>
        </w:rPr>
      </w:pPr>
      <w:r w:rsidRPr="00A552F8">
        <w:rPr>
          <w:color w:val="000000"/>
          <w:sz w:val="18"/>
          <w:szCs w:val="18"/>
        </w:rPr>
        <w:t>Website: </w:t>
      </w:r>
      <w:hyperlink r:id="rId34" w:history="1">
        <w:r w:rsidRPr="00A552F8">
          <w:rPr>
            <w:rStyle w:val="Hyperlink"/>
            <w:sz w:val="18"/>
            <w:szCs w:val="18"/>
          </w:rPr>
          <w:t>www.griffith.ie</w:t>
        </w:r>
      </w:hyperlink>
      <w:r w:rsidRPr="006C0231">
        <w:rPr>
          <w:color w:val="000000"/>
        </w:rPr>
        <w:t xml:space="preserve">  </w:t>
      </w:r>
    </w:p>
    <w:p w14:paraId="438A75BC" w14:textId="77777777" w:rsidR="004421DB" w:rsidRDefault="004421DB">
      <w:pPr>
        <w:pStyle w:val="Body"/>
        <w:spacing w:line="360" w:lineRule="auto"/>
        <w:jc w:val="both"/>
        <w:rPr>
          <w:rStyle w:val="None"/>
          <w:rFonts w:ascii="Times New Roman" w:eastAsia="Times New Roman" w:hAnsi="Times New Roman" w:cs="Times New Roman"/>
          <w:sz w:val="24"/>
          <w:szCs w:val="24"/>
        </w:rPr>
      </w:pPr>
    </w:p>
    <w:p w14:paraId="29C2E118" w14:textId="7AED0D2E" w:rsidR="00DC4459" w:rsidRDefault="00077D4E">
      <w:pPr>
        <w:pStyle w:val="Heading"/>
      </w:pPr>
      <w:bookmarkStart w:id="123" w:name="_Toc73739062"/>
      <w:r>
        <w:rPr>
          <w:rStyle w:val="None"/>
          <w:rFonts w:eastAsia="Arial Unicode MS" w:cs="Arial Unicode MS"/>
          <w:lang w:val="en-US"/>
        </w:rPr>
        <w:lastRenderedPageBreak/>
        <w:t xml:space="preserve">Appendix </w:t>
      </w:r>
      <w:r w:rsidR="004421DB">
        <w:rPr>
          <w:rStyle w:val="None"/>
          <w:rFonts w:eastAsia="Arial Unicode MS" w:cs="Arial Unicode MS"/>
          <w:lang w:val="en-US"/>
        </w:rPr>
        <w:t>G</w:t>
      </w:r>
      <w:r>
        <w:rPr>
          <w:rStyle w:val="None"/>
          <w:rFonts w:eastAsia="Arial Unicode MS" w:cs="Arial Unicode MS"/>
          <w:lang w:val="en-US"/>
        </w:rPr>
        <w:t>: Reasons for Non-Adherence of CG Codes in AIB</w:t>
      </w:r>
      <w:bookmarkEnd w:id="123"/>
    </w:p>
    <w:p w14:paraId="344215A2" w14:textId="77777777" w:rsidR="00DC4459" w:rsidRDefault="00077D4E">
      <w:pPr>
        <w:pStyle w:val="Body"/>
        <w:spacing w:line="360" w:lineRule="auto"/>
        <w:jc w:val="both"/>
        <w:rPr>
          <w:rStyle w:val="None"/>
          <w:rFonts w:ascii="Times New Roman" w:eastAsia="Times New Roman" w:hAnsi="Times New Roman" w:cs="Times New Roman"/>
          <w:sz w:val="24"/>
          <w:szCs w:val="24"/>
        </w:rPr>
      </w:pPr>
      <w:r>
        <w:rPr>
          <w:rStyle w:val="None"/>
          <w:rFonts w:ascii="Times New Roman" w:hAnsi="Times New Roman"/>
          <w:sz w:val="24"/>
          <w:szCs w:val="24"/>
          <w:lang w:val="fr-FR"/>
        </w:rPr>
        <w:t xml:space="preserve">Source: AIB </w:t>
      </w:r>
      <w:r>
        <w:rPr>
          <w:rStyle w:val="None"/>
          <w:lang w:val="en-US"/>
        </w:rPr>
        <w:t>Annual Financial Report for The Financial Year Ended 31 December 2020 (page 179)</w:t>
      </w:r>
    </w:p>
    <w:p w14:paraId="6644BF5E" w14:textId="77777777" w:rsidR="00DC4459" w:rsidRDefault="00077D4E">
      <w:pPr>
        <w:pStyle w:val="Body"/>
        <w:spacing w:line="360" w:lineRule="auto"/>
        <w:jc w:val="both"/>
      </w:pPr>
      <w:r>
        <w:rPr>
          <w:rStyle w:val="None"/>
          <w:noProof/>
        </w:rPr>
        <w:drawing>
          <wp:inline distT="0" distB="0" distL="0" distR="0" wp14:anchorId="4AC8570C" wp14:editId="02C04805">
            <wp:extent cx="5731510" cy="4940935"/>
            <wp:effectExtent l="0" t="0" r="0" b="0"/>
            <wp:docPr id="1073741834" name="officeArt object" descr="Picture 11"/>
            <wp:cNvGraphicFramePr/>
            <a:graphic xmlns:a="http://schemas.openxmlformats.org/drawingml/2006/main">
              <a:graphicData uri="http://schemas.openxmlformats.org/drawingml/2006/picture">
                <pic:pic xmlns:pic="http://schemas.openxmlformats.org/drawingml/2006/picture">
                  <pic:nvPicPr>
                    <pic:cNvPr id="1073741834" name="Picture 11" descr="Picture 11"/>
                    <pic:cNvPicPr>
                      <a:picLocks noChangeAspect="1"/>
                    </pic:cNvPicPr>
                  </pic:nvPicPr>
                  <pic:blipFill>
                    <a:blip r:embed="rId35"/>
                    <a:stretch>
                      <a:fillRect/>
                    </a:stretch>
                  </pic:blipFill>
                  <pic:spPr>
                    <a:xfrm>
                      <a:off x="0" y="0"/>
                      <a:ext cx="5731510" cy="4940935"/>
                    </a:xfrm>
                    <a:prstGeom prst="rect">
                      <a:avLst/>
                    </a:prstGeom>
                    <a:ln w="12700" cap="flat">
                      <a:noFill/>
                      <a:miter lim="400000"/>
                    </a:ln>
                    <a:effectLst/>
                  </pic:spPr>
                </pic:pic>
              </a:graphicData>
            </a:graphic>
          </wp:inline>
        </w:drawing>
      </w:r>
    </w:p>
    <w:sectPr w:rsidR="00DC4459">
      <w:headerReference w:type="default" r:id="rId36"/>
      <w:footerReference w:type="default" r:id="rId37"/>
      <w:pgSz w:w="11900" w:h="16840"/>
      <w:pgMar w:top="1440" w:right="1440" w:bottom="1440" w:left="144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A65C6B" w14:textId="77777777" w:rsidR="00077D4E" w:rsidRDefault="00077D4E">
      <w:r>
        <w:separator/>
      </w:r>
    </w:p>
  </w:endnote>
  <w:endnote w:type="continuationSeparator" w:id="0">
    <w:p w14:paraId="635A86AD" w14:textId="77777777" w:rsidR="00077D4E" w:rsidRDefault="00077D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Helvetica Neue">
    <w:altName w:val="Arial"/>
    <w:charset w:val="00"/>
    <w:family w:val="roman"/>
    <w:pitch w:val="default"/>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A81488" w14:textId="77777777" w:rsidR="00DC4459" w:rsidRDefault="00077D4E">
    <w:pPr>
      <w:pStyle w:val="Footer"/>
      <w:pBdr>
        <w:top w:val="single" w:sz="4" w:space="0" w:color="D9D9D9"/>
      </w:pBdr>
      <w:tabs>
        <w:tab w:val="clear" w:pos="9360"/>
        <w:tab w:val="right" w:pos="9000"/>
      </w:tabs>
      <w:jc w:val="right"/>
    </w:pPr>
    <w:r>
      <w:fldChar w:fldCharType="begin"/>
    </w:r>
    <w:r>
      <w:instrText xml:space="preserve"> PAGE </w:instrText>
    </w:r>
    <w:r>
      <w:fldChar w:fldCharType="separate"/>
    </w:r>
    <w:r w:rsidR="002E0492">
      <w:rPr>
        <w:noProof/>
      </w:rPr>
      <w:t>1</w:t>
    </w:r>
    <w:r>
      <w:fldChar w:fldCharType="end"/>
    </w:r>
    <w:r>
      <w:t xml:space="preserve"> | </w:t>
    </w:r>
    <w:r>
      <w:rPr>
        <w:color w:val="7F7F7F"/>
        <w:u w:color="7F7F7F"/>
      </w:rPr>
      <w:t>Page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10354374"/>
      <w:docPartObj>
        <w:docPartGallery w:val="Page Numbers (Bottom of Page)"/>
        <w:docPartUnique/>
      </w:docPartObj>
    </w:sdtPr>
    <w:sdtEndPr>
      <w:rPr>
        <w:color w:val="7F7F7F" w:themeColor="background1" w:themeShade="7F"/>
        <w:spacing w:val="60"/>
      </w:rPr>
    </w:sdtEndPr>
    <w:sdtContent>
      <w:p w14:paraId="1D47103B" w14:textId="09735ECD" w:rsidR="00C85373" w:rsidRDefault="00C8537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74D6D837" w14:textId="0BCFA3AA" w:rsidR="00C85373" w:rsidRDefault="00C8537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6D425" w14:textId="7B1AD60E" w:rsidR="00DC4459" w:rsidRDefault="00077D4E">
    <w:pPr>
      <w:pStyle w:val="Footer"/>
      <w:pBdr>
        <w:top w:val="single" w:sz="4" w:space="0" w:color="D9D9D9"/>
      </w:pBdr>
      <w:tabs>
        <w:tab w:val="clear" w:pos="9360"/>
        <w:tab w:val="right" w:pos="9000"/>
      </w:tabs>
      <w:jc w:val="right"/>
    </w:pPr>
    <w:r>
      <w:fldChar w:fldCharType="begin"/>
    </w:r>
    <w:r>
      <w:instrText xml:space="preserve"> PAGE </w:instrText>
    </w:r>
    <w:r>
      <w:fldChar w:fldCharType="separate"/>
    </w:r>
    <w:r w:rsidR="002E0492">
      <w:rPr>
        <w:noProof/>
      </w:rPr>
      <w:t>1</w:t>
    </w:r>
    <w:r>
      <w:fldChar w:fldCharType="end"/>
    </w:r>
    <w:r>
      <w:t xml:space="preserve"> | </w:t>
    </w:r>
    <w:r>
      <w:rPr>
        <w:color w:val="7F7F7F"/>
        <w:u w:color="7F7F7F"/>
      </w:rPr>
      <w:t>Page</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D037B" w14:textId="4F92BFD6" w:rsidR="00DC4459" w:rsidRDefault="00077D4E">
    <w:pPr>
      <w:pStyle w:val="Footer"/>
      <w:pBdr>
        <w:top w:val="single" w:sz="4" w:space="0" w:color="D9D9D9"/>
      </w:pBdr>
      <w:tabs>
        <w:tab w:val="clear" w:pos="9360"/>
        <w:tab w:val="right" w:pos="9000"/>
      </w:tabs>
      <w:jc w:val="right"/>
    </w:pPr>
    <w:r>
      <w:rPr>
        <w:rStyle w:val="None"/>
      </w:rPr>
      <w:fldChar w:fldCharType="begin"/>
    </w:r>
    <w:r>
      <w:rPr>
        <w:rStyle w:val="None"/>
      </w:rPr>
      <w:instrText xml:space="preserve"> PAGE </w:instrText>
    </w:r>
    <w:r>
      <w:rPr>
        <w:rStyle w:val="None"/>
      </w:rPr>
      <w:fldChar w:fldCharType="separate"/>
    </w:r>
    <w:r w:rsidR="002E0492">
      <w:rPr>
        <w:rStyle w:val="None"/>
        <w:noProof/>
      </w:rPr>
      <w:t>1</w:t>
    </w:r>
    <w:r>
      <w:rPr>
        <w:rStyle w:val="None"/>
      </w:rPr>
      <w:fldChar w:fldCharType="end"/>
    </w:r>
    <w:r>
      <w:rPr>
        <w:rStyle w:val="None"/>
      </w:rPr>
      <w:t xml:space="preserve"> | </w:t>
    </w:r>
    <w:r>
      <w:rPr>
        <w:rStyle w:val="None"/>
        <w:color w:val="7F7F7F"/>
        <w:u w:color="7F7F7F"/>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A73392" w14:textId="77777777" w:rsidR="00077D4E" w:rsidRDefault="00077D4E">
      <w:r>
        <w:separator/>
      </w:r>
    </w:p>
  </w:footnote>
  <w:footnote w:type="continuationSeparator" w:id="0">
    <w:p w14:paraId="70F365D2" w14:textId="77777777" w:rsidR="00077D4E" w:rsidRDefault="00077D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CCF472" w14:textId="77777777" w:rsidR="00DC4459" w:rsidRDefault="00DC4459">
    <w:pPr>
      <w:pStyle w:val="HeaderFooter"/>
      <w:rPr>
        <w:rFonts w:hint="eastAsia"/>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29966" w14:textId="77777777" w:rsidR="00DC4459" w:rsidRDefault="00DC4459">
    <w:pPr>
      <w:pStyle w:val="HeaderFooter"/>
      <w:rPr>
        <w:rFonts w:hint="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4B096F"/>
    <w:multiLevelType w:val="hybridMultilevel"/>
    <w:tmpl w:val="F9A827A2"/>
    <w:numStyleLink w:val="ImportedStyle1"/>
  </w:abstractNum>
  <w:abstractNum w:abstractNumId="1" w15:restartNumberingAfterBreak="0">
    <w:nsid w:val="5D1F441F"/>
    <w:multiLevelType w:val="hybridMultilevel"/>
    <w:tmpl w:val="3E3A9146"/>
    <w:numStyleLink w:val="ImportedStyle3"/>
  </w:abstractNum>
  <w:abstractNum w:abstractNumId="2" w15:restartNumberingAfterBreak="0">
    <w:nsid w:val="5F5B799F"/>
    <w:multiLevelType w:val="hybridMultilevel"/>
    <w:tmpl w:val="3E3A9146"/>
    <w:styleLink w:val="ImportedStyle3"/>
    <w:lvl w:ilvl="0" w:tplc="8DE6219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892F7F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2254318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DD84B0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48A2D212">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BCA0B69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566E3C8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41A7F0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8C80A6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630920C7"/>
    <w:multiLevelType w:val="hybridMultilevel"/>
    <w:tmpl w:val="EA9E4C2C"/>
    <w:numStyleLink w:val="ImportedStyle2"/>
  </w:abstractNum>
  <w:abstractNum w:abstractNumId="4" w15:restartNumberingAfterBreak="0">
    <w:nsid w:val="73D62C0C"/>
    <w:multiLevelType w:val="hybridMultilevel"/>
    <w:tmpl w:val="F9A827A2"/>
    <w:styleLink w:val="ImportedStyle1"/>
    <w:lvl w:ilvl="0" w:tplc="BCE2D648">
      <w:start w:val="1"/>
      <w:numFmt w:val="lowerRoman"/>
      <w:lvlText w:val="%1."/>
      <w:lvlJc w:val="left"/>
      <w:pPr>
        <w:ind w:left="108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0C22E744">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3847972">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816CA41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20468AE2">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E3E3AAC">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4976CC38">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0BC560A">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8C0471E">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778B74B1"/>
    <w:multiLevelType w:val="hybridMultilevel"/>
    <w:tmpl w:val="EA9E4C2C"/>
    <w:styleLink w:val="ImportedStyle2"/>
    <w:lvl w:ilvl="0" w:tplc="A44EDC16">
      <w:start w:val="1"/>
      <w:numFmt w:val="bullet"/>
      <w:lvlText w:val="·"/>
      <w:lvlJc w:val="left"/>
      <w:pPr>
        <w:ind w:left="993" w:hanging="42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81AA050">
      <w:start w:val="1"/>
      <w:numFmt w:val="bullet"/>
      <w:lvlText w:val="o"/>
      <w:lvlJc w:val="left"/>
      <w:pPr>
        <w:ind w:left="1713" w:hanging="4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8990CF48">
      <w:start w:val="1"/>
      <w:numFmt w:val="bullet"/>
      <w:lvlText w:val="▪"/>
      <w:lvlJc w:val="left"/>
      <w:pPr>
        <w:ind w:left="2433" w:hanging="4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9892AAF8">
      <w:start w:val="1"/>
      <w:numFmt w:val="bullet"/>
      <w:lvlText w:val="·"/>
      <w:lvlJc w:val="left"/>
      <w:pPr>
        <w:ind w:left="3153" w:hanging="42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2A0EBF0">
      <w:start w:val="1"/>
      <w:numFmt w:val="bullet"/>
      <w:lvlText w:val="o"/>
      <w:lvlJc w:val="left"/>
      <w:pPr>
        <w:ind w:left="3873" w:hanging="4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F1A2599A">
      <w:start w:val="1"/>
      <w:numFmt w:val="bullet"/>
      <w:lvlText w:val="▪"/>
      <w:lvlJc w:val="left"/>
      <w:pPr>
        <w:ind w:left="4593" w:hanging="4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586EE2A">
      <w:start w:val="1"/>
      <w:numFmt w:val="bullet"/>
      <w:lvlText w:val="·"/>
      <w:lvlJc w:val="left"/>
      <w:pPr>
        <w:ind w:left="5313" w:hanging="426"/>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5792EED6">
      <w:start w:val="1"/>
      <w:numFmt w:val="bullet"/>
      <w:lvlText w:val="o"/>
      <w:lvlJc w:val="left"/>
      <w:pPr>
        <w:ind w:left="6033" w:hanging="4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4CF259FE">
      <w:start w:val="1"/>
      <w:numFmt w:val="bullet"/>
      <w:lvlText w:val="▪"/>
      <w:lvlJc w:val="left"/>
      <w:pPr>
        <w:ind w:left="6753" w:hanging="42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4"/>
  </w:num>
  <w:num w:numId="2">
    <w:abstractNumId w:val="0"/>
  </w:num>
  <w:num w:numId="3">
    <w:abstractNumId w:val="5"/>
  </w:num>
  <w:num w:numId="4">
    <w:abstractNumId w:val="3"/>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C4459"/>
    <w:rsid w:val="00077D4E"/>
    <w:rsid w:val="001171A3"/>
    <w:rsid w:val="00265B23"/>
    <w:rsid w:val="002808A1"/>
    <w:rsid w:val="002E0492"/>
    <w:rsid w:val="002F2D35"/>
    <w:rsid w:val="004421DB"/>
    <w:rsid w:val="0045077D"/>
    <w:rsid w:val="004D57A8"/>
    <w:rsid w:val="00532651"/>
    <w:rsid w:val="006D270E"/>
    <w:rsid w:val="007A7B45"/>
    <w:rsid w:val="007C1276"/>
    <w:rsid w:val="009A5B79"/>
    <w:rsid w:val="00A552F8"/>
    <w:rsid w:val="00A8548B"/>
    <w:rsid w:val="00AC7373"/>
    <w:rsid w:val="00C20C73"/>
    <w:rsid w:val="00C85373"/>
    <w:rsid w:val="00CB16F0"/>
    <w:rsid w:val="00CE7827"/>
    <w:rsid w:val="00DC4459"/>
    <w:rsid w:val="00E726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8ACB0EC"/>
  <w15:docId w15:val="{D117DD78-EA56-4F39-9780-9FE40CAA9C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paragraph" w:styleId="Heading2">
    <w:name w:val="heading 2"/>
    <w:next w:val="Body"/>
    <w:uiPriority w:val="9"/>
    <w:unhideWhenUsed/>
    <w:qFormat/>
    <w:pPr>
      <w:keepNext/>
      <w:keepLines/>
      <w:spacing w:before="280" w:after="240" w:line="259" w:lineRule="auto"/>
      <w:outlineLvl w:val="1"/>
    </w:pPr>
    <w:rPr>
      <w:rFonts w:eastAsia="Times New Roman"/>
      <w:b/>
      <w:bCs/>
      <w:color w:val="2F5496"/>
      <w:sz w:val="24"/>
      <w:szCs w:val="24"/>
      <w:u w:color="2F5496"/>
      <w14:textOutline w14:w="0" w14:cap="flat" w14:cmpd="sng" w14:algn="ctr">
        <w14:noFill/>
        <w14:prstDash w14:val="solid"/>
        <w14:bevel/>
      </w14:textOutline>
    </w:rPr>
  </w:style>
  <w:style w:type="paragraph" w:styleId="Heading3">
    <w:name w:val="heading 3"/>
    <w:next w:val="Body"/>
    <w:uiPriority w:val="9"/>
    <w:unhideWhenUsed/>
    <w:qFormat/>
    <w:pPr>
      <w:keepNext/>
      <w:keepLines/>
      <w:spacing w:before="280" w:after="240" w:line="259" w:lineRule="auto"/>
      <w:outlineLvl w:val="2"/>
    </w:pPr>
    <w:rPr>
      <w:rFonts w:eastAsia="Times New Roman"/>
      <w:b/>
      <w:bCs/>
      <w:color w:val="1F3763"/>
      <w:sz w:val="24"/>
      <w:szCs w:val="24"/>
      <w:u w:color="1F3763"/>
      <w14:textOutline w14:w="0" w14:cap="flat" w14:cmpd="sng" w14:algn="ctr">
        <w14:noFill/>
        <w14:prstDash w14:val="solid"/>
        <w14:bevel/>
      </w14:textOutli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Footer">
    <w:name w:val="footer"/>
    <w:link w:val="FooterChar"/>
    <w:uiPriority w:val="99"/>
    <w:pPr>
      <w:tabs>
        <w:tab w:val="center" w:pos="4680"/>
        <w:tab w:val="right" w:pos="9360"/>
      </w:tabs>
    </w:pPr>
    <w:rPr>
      <w:rFonts w:ascii="Calibri" w:hAnsi="Calibri" w:cs="Arial Unicode MS"/>
      <w:color w:val="000000"/>
      <w:sz w:val="22"/>
      <w:szCs w:val="22"/>
      <w:u w:color="000000"/>
      <w:lang w:val="en-US"/>
    </w:rPr>
  </w:style>
  <w:style w:type="paragraph" w:customStyle="1" w:styleId="Heading">
    <w:name w:val="Heading"/>
    <w:next w:val="Body"/>
    <w:pPr>
      <w:keepNext/>
      <w:keepLines/>
      <w:spacing w:before="480" w:after="240" w:line="259" w:lineRule="auto"/>
      <w:outlineLvl w:val="0"/>
    </w:pPr>
    <w:rPr>
      <w:rFonts w:eastAsia="Times New Roman"/>
      <w:b/>
      <w:bCs/>
      <w:color w:val="2F5496"/>
      <w:sz w:val="24"/>
      <w:szCs w:val="24"/>
      <w:u w:color="2F5496"/>
      <w14:textOutline w14:w="0" w14:cap="flat" w14:cmpd="sng" w14:algn="ctr">
        <w14:noFill/>
        <w14:prstDash w14:val="solid"/>
        <w14:bevel/>
      </w14:textOutline>
    </w:rPr>
  </w:style>
  <w:style w:type="paragraph" w:customStyle="1" w:styleId="Body">
    <w:name w:val="Body"/>
    <w:pPr>
      <w:spacing w:after="160" w:line="259" w:lineRule="auto"/>
    </w:pPr>
    <w:rPr>
      <w:rFonts w:ascii="Calibri" w:eastAsia="Calibri" w:hAnsi="Calibri" w:cs="Calibri"/>
      <w:color w:val="000000"/>
      <w:sz w:val="22"/>
      <w:szCs w:val="22"/>
      <w:u w:color="000000"/>
      <w14:textOutline w14:w="0" w14:cap="flat" w14:cmpd="sng" w14:algn="ctr">
        <w14:noFill/>
        <w14:prstDash w14:val="solid"/>
        <w14:bevel/>
      </w14:textOutline>
    </w:rPr>
  </w:style>
  <w:style w:type="paragraph" w:styleId="TOCHeading">
    <w:name w:val="TOC Heading"/>
    <w:next w:val="Body"/>
    <w:pPr>
      <w:keepNext/>
      <w:keepLines/>
      <w:spacing w:before="240" w:line="259" w:lineRule="auto"/>
    </w:pPr>
    <w:rPr>
      <w:rFonts w:ascii="Calibri Light" w:eastAsia="Calibri Light" w:hAnsi="Calibri Light" w:cs="Calibri Light"/>
      <w:color w:val="2F5496"/>
      <w:sz w:val="32"/>
      <w:szCs w:val="32"/>
      <w:u w:color="2F5496"/>
      <w:lang w:val="en-US"/>
    </w:rPr>
  </w:style>
  <w:style w:type="paragraph" w:styleId="TOC1">
    <w:name w:val="toc 1"/>
    <w:uiPriority w:val="39"/>
    <w:pPr>
      <w:tabs>
        <w:tab w:val="right" w:leader="dot" w:pos="9000"/>
      </w:tabs>
      <w:spacing w:after="100" w:line="259" w:lineRule="auto"/>
    </w:pPr>
    <w:rPr>
      <w:rFonts w:eastAsia="Times New Roman"/>
      <w:color w:val="000000"/>
      <w:sz w:val="22"/>
      <w:szCs w:val="22"/>
      <w:u w:color="000000"/>
    </w:rPr>
  </w:style>
  <w:style w:type="paragraph" w:styleId="TOC2">
    <w:name w:val="toc 2"/>
    <w:uiPriority w:val="39"/>
    <w:pPr>
      <w:tabs>
        <w:tab w:val="right" w:leader="dot" w:pos="9000"/>
      </w:tabs>
      <w:spacing w:after="100" w:line="259" w:lineRule="auto"/>
      <w:ind w:left="220"/>
    </w:pPr>
    <w:rPr>
      <w:rFonts w:ascii="Calibri" w:eastAsia="Calibri" w:hAnsi="Calibri" w:cs="Calibri"/>
      <w:color w:val="000000"/>
      <w:sz w:val="22"/>
      <w:szCs w:val="22"/>
      <w:u w:color="000000"/>
      <w:lang w:val="en-US"/>
    </w:rPr>
  </w:style>
  <w:style w:type="paragraph" w:styleId="TOC3">
    <w:name w:val="toc 3"/>
    <w:uiPriority w:val="39"/>
    <w:pPr>
      <w:tabs>
        <w:tab w:val="right" w:leader="dot" w:pos="9000"/>
      </w:tabs>
      <w:spacing w:after="100" w:line="259" w:lineRule="auto"/>
    </w:pPr>
    <w:rPr>
      <w:rFonts w:eastAsia="Times New Roman"/>
      <w:color w:val="000000"/>
      <w:sz w:val="22"/>
      <w:szCs w:val="22"/>
      <w:u w:color="000000"/>
    </w:rPr>
  </w:style>
  <w:style w:type="character" w:customStyle="1" w:styleId="Link">
    <w:name w:val="Link"/>
    <w:rPr>
      <w:outline w:val="0"/>
      <w:color w:val="0563C1"/>
      <w:u w:val="single" w:color="0563C1"/>
    </w:rPr>
  </w:style>
  <w:style w:type="character" w:customStyle="1" w:styleId="Hyperlink0">
    <w:name w:val="Hyperlink.0"/>
    <w:basedOn w:val="Link"/>
    <w:rPr>
      <w:rFonts w:ascii="Times New Roman" w:eastAsia="Times New Roman" w:hAnsi="Times New Roman" w:cs="Times New Roman"/>
      <w:outline w:val="0"/>
      <w:color w:val="0563C1"/>
      <w:sz w:val="24"/>
      <w:szCs w:val="24"/>
      <w:u w:val="single" w:color="0563C1"/>
    </w:rPr>
  </w:style>
  <w:style w:type="paragraph" w:styleId="TableofFigures">
    <w:name w:val="table of figures"/>
    <w:next w:val="Body"/>
    <w:pPr>
      <w:spacing w:line="259" w:lineRule="auto"/>
    </w:pPr>
    <w:rPr>
      <w:rFonts w:ascii="Calibri" w:eastAsia="Calibri" w:hAnsi="Calibri" w:cs="Calibri"/>
      <w:color w:val="000000"/>
      <w:sz w:val="22"/>
      <w:szCs w:val="22"/>
      <w:u w:color="000000"/>
      <w:lang w:val="en-US"/>
    </w:rPr>
  </w:style>
  <w:style w:type="paragraph" w:styleId="ListParagraph">
    <w:name w:val="List Paragraph"/>
    <w:pPr>
      <w:spacing w:after="160" w:line="259" w:lineRule="auto"/>
      <w:ind w:left="720"/>
    </w:pPr>
    <w:rPr>
      <w:rFonts w:ascii="Calibri" w:hAnsi="Calibri" w:cs="Arial Unicode MS"/>
      <w:color w:val="000000"/>
      <w:sz w:val="22"/>
      <w:szCs w:val="22"/>
      <w:u w:color="000000"/>
      <w:lang w:val="en-US"/>
    </w:rPr>
  </w:style>
  <w:style w:type="numbering" w:customStyle="1" w:styleId="ImportedStyle1">
    <w:name w:val="Imported Style 1"/>
    <w:pPr>
      <w:numPr>
        <w:numId w:val="1"/>
      </w:numPr>
    </w:pPr>
  </w:style>
  <w:style w:type="character" w:customStyle="1" w:styleId="Heading2Char">
    <w:name w:val="Heading 2 Char"/>
    <w:rPr>
      <w:rFonts w:ascii="Times New Roman" w:hAnsi="Times New Roman"/>
      <w:b/>
      <w:bCs/>
      <w:outline w:val="0"/>
      <w:color w:val="2F5496"/>
      <w:sz w:val="24"/>
      <w:szCs w:val="24"/>
      <w:u w:color="2F5496"/>
      <w:lang w:val="en-US"/>
    </w:rPr>
  </w:style>
  <w:style w:type="paragraph" w:styleId="Caption">
    <w:name w:val="caption"/>
    <w:next w:val="Body"/>
    <w:pPr>
      <w:spacing w:after="200"/>
    </w:pPr>
    <w:rPr>
      <w:rFonts w:cs="Arial Unicode MS"/>
      <w:b/>
      <w:bCs/>
      <w:color w:val="44546A"/>
      <w:sz w:val="24"/>
      <w:szCs w:val="24"/>
      <w:u w:color="44546A"/>
      <w:lang w:val="en-US"/>
      <w14:textOutline w14:w="12700" w14:cap="flat" w14:cmpd="sng" w14:algn="ctr">
        <w14:noFill/>
        <w14:prstDash w14:val="solid"/>
        <w14:miter w14:lim="400000"/>
      </w14:textOutline>
    </w:rPr>
  </w:style>
  <w:style w:type="numbering" w:customStyle="1" w:styleId="ImportedStyle2">
    <w:name w:val="Imported Style 2"/>
    <w:pPr>
      <w:numPr>
        <w:numId w:val="3"/>
      </w:numPr>
    </w:pPr>
  </w:style>
  <w:style w:type="numbering" w:customStyle="1" w:styleId="ImportedStyle3">
    <w:name w:val="Imported Style 3"/>
    <w:pPr>
      <w:numPr>
        <w:numId w:val="5"/>
      </w:numPr>
    </w:pPr>
  </w:style>
  <w:style w:type="character" w:customStyle="1" w:styleId="None">
    <w:name w:val="None"/>
  </w:style>
  <w:style w:type="character" w:customStyle="1" w:styleId="Hyperlink1">
    <w:name w:val="Hyperlink.1"/>
    <w:basedOn w:val="None"/>
    <w:rPr>
      <w:rFonts w:ascii="Times New Roman" w:eastAsia="Times New Roman" w:hAnsi="Times New Roman" w:cs="Times New Roman"/>
      <w:outline w:val="0"/>
      <w:color w:val="0563C1"/>
      <w:sz w:val="24"/>
      <w:szCs w:val="24"/>
      <w:u w:val="single" w:color="0563C1"/>
    </w:rPr>
  </w:style>
  <w:style w:type="character" w:customStyle="1" w:styleId="Hyperlink2">
    <w:name w:val="Hyperlink.2"/>
    <w:basedOn w:val="None"/>
    <w:rPr>
      <w:rFonts w:ascii="Times New Roman" w:eastAsia="Times New Roman" w:hAnsi="Times New Roman" w:cs="Times New Roman"/>
      <w:outline w:val="0"/>
      <w:color w:val="000000"/>
      <w:sz w:val="24"/>
      <w:szCs w:val="24"/>
      <w:u w:val="single" w:color="000000"/>
    </w:rPr>
  </w:style>
  <w:style w:type="character" w:customStyle="1" w:styleId="Hyperlink3">
    <w:name w:val="Hyperlink.3"/>
    <w:basedOn w:val="None"/>
    <w:rPr>
      <w:rFonts w:ascii="Times New Roman" w:eastAsia="Times New Roman" w:hAnsi="Times New Roman" w:cs="Times New Roman"/>
      <w:b/>
      <w:bCs/>
      <w:i/>
      <w:iCs/>
      <w:outline w:val="0"/>
      <w:color w:val="000000"/>
      <w:sz w:val="24"/>
      <w:szCs w:val="24"/>
      <w:u w:val="single" w:color="000000"/>
      <w:shd w:val="clear" w:color="auto" w:fill="800080"/>
      <w:lang w:val="en-US"/>
    </w:rPr>
  </w:style>
  <w:style w:type="character" w:customStyle="1" w:styleId="Hyperlink4">
    <w:name w:val="Hyperlink.4"/>
    <w:basedOn w:val="None"/>
    <w:rPr>
      <w:rFonts w:ascii="Times New Roman" w:eastAsia="Times New Roman" w:hAnsi="Times New Roman" w:cs="Times New Roman"/>
      <w:b/>
      <w:bCs/>
      <w:i/>
      <w:iCs/>
      <w:outline w:val="0"/>
      <w:color w:val="000000"/>
      <w:sz w:val="24"/>
      <w:szCs w:val="24"/>
      <w:u w:val="single" w:color="000000"/>
      <w:shd w:val="clear" w:color="auto" w:fill="808000"/>
      <w:lang w:val="en-US"/>
    </w:rPr>
  </w:style>
  <w:style w:type="paragraph" w:styleId="Header">
    <w:name w:val="header"/>
    <w:basedOn w:val="Normal"/>
    <w:link w:val="HeaderChar"/>
    <w:uiPriority w:val="99"/>
    <w:unhideWhenUsed/>
    <w:rsid w:val="0045077D"/>
    <w:pPr>
      <w:tabs>
        <w:tab w:val="center" w:pos="4513"/>
        <w:tab w:val="right" w:pos="9026"/>
      </w:tabs>
    </w:pPr>
  </w:style>
  <w:style w:type="character" w:customStyle="1" w:styleId="HeaderChar">
    <w:name w:val="Header Char"/>
    <w:basedOn w:val="DefaultParagraphFont"/>
    <w:link w:val="Header"/>
    <w:uiPriority w:val="99"/>
    <w:rsid w:val="0045077D"/>
    <w:rPr>
      <w:sz w:val="24"/>
      <w:szCs w:val="24"/>
      <w:lang w:val="en-US" w:eastAsia="en-US"/>
    </w:rPr>
  </w:style>
  <w:style w:type="character" w:customStyle="1" w:styleId="FooterChar">
    <w:name w:val="Footer Char"/>
    <w:basedOn w:val="DefaultParagraphFont"/>
    <w:link w:val="Footer"/>
    <w:uiPriority w:val="99"/>
    <w:rsid w:val="00C85373"/>
    <w:rPr>
      <w:rFonts w:ascii="Calibri" w:hAnsi="Calibri" w:cs="Arial Unicode MS"/>
      <w:color w:val="000000"/>
      <w:sz w:val="22"/>
      <w:szCs w:val="22"/>
      <w:u w:color="000000"/>
      <w:lang w:val="en-US"/>
    </w:rPr>
  </w:style>
  <w:style w:type="paragraph" w:styleId="BodyText">
    <w:name w:val="Body Text"/>
    <w:basedOn w:val="Normal"/>
    <w:link w:val="BodyTextChar"/>
    <w:rsid w:val="004421DB"/>
    <w:pPr>
      <w:pBdr>
        <w:top w:val="none" w:sz="0" w:space="0" w:color="auto"/>
        <w:left w:val="none" w:sz="0" w:space="0" w:color="auto"/>
        <w:bottom w:val="none" w:sz="0" w:space="0" w:color="auto"/>
        <w:right w:val="none" w:sz="0" w:space="0" w:color="auto"/>
        <w:between w:val="none" w:sz="0" w:space="0" w:color="auto"/>
        <w:bar w:val="none" w:sz="0" w:color="auto"/>
      </w:pBdr>
      <w:tabs>
        <w:tab w:val="left" w:pos="6521"/>
      </w:tabs>
      <w:overflowPunct w:val="0"/>
      <w:autoSpaceDE w:val="0"/>
      <w:autoSpaceDN w:val="0"/>
      <w:adjustRightInd w:val="0"/>
      <w:ind w:right="20"/>
      <w:textAlignment w:val="baseline"/>
    </w:pPr>
    <w:rPr>
      <w:rFonts w:ascii="Times" w:eastAsia="Times New Roman" w:hAnsi="Times"/>
      <w:b/>
      <w:sz w:val="36"/>
      <w:szCs w:val="20"/>
      <w:bdr w:val="none" w:sz="0" w:space="0" w:color="auto"/>
      <w:lang w:eastAsia="en-GB"/>
    </w:rPr>
  </w:style>
  <w:style w:type="character" w:customStyle="1" w:styleId="BodyTextChar">
    <w:name w:val="Body Text Char"/>
    <w:basedOn w:val="DefaultParagraphFont"/>
    <w:link w:val="BodyText"/>
    <w:rsid w:val="004421DB"/>
    <w:rPr>
      <w:rFonts w:ascii="Times" w:eastAsia="Times New Roman" w:hAnsi="Times"/>
      <w:b/>
      <w:sz w:val="36"/>
      <w:bdr w:val="none" w:sz="0" w:space="0" w:color="auto"/>
      <w:lang w:val="en-US"/>
    </w:rPr>
  </w:style>
  <w:style w:type="paragraph" w:styleId="BodyTextIndent">
    <w:name w:val="Body Text Indent"/>
    <w:basedOn w:val="Normal"/>
    <w:link w:val="BodyTextIndentChar"/>
    <w:rsid w:val="004421DB"/>
    <w:pPr>
      <w:pBdr>
        <w:top w:val="none" w:sz="0" w:space="0" w:color="auto"/>
        <w:left w:val="none" w:sz="0" w:space="0" w:color="auto"/>
        <w:bottom w:val="none" w:sz="0" w:space="0" w:color="auto"/>
        <w:right w:val="none" w:sz="0" w:space="0" w:color="auto"/>
        <w:between w:val="none" w:sz="0" w:space="0" w:color="auto"/>
        <w:bar w:val="none" w:sz="0" w:color="auto"/>
      </w:pBdr>
      <w:overflowPunct w:val="0"/>
      <w:autoSpaceDE w:val="0"/>
      <w:autoSpaceDN w:val="0"/>
      <w:adjustRightInd w:val="0"/>
      <w:spacing w:after="120"/>
      <w:ind w:left="360"/>
      <w:textAlignment w:val="baseline"/>
    </w:pPr>
    <w:rPr>
      <w:rFonts w:eastAsia="Times New Roman"/>
      <w:sz w:val="20"/>
      <w:szCs w:val="20"/>
      <w:bdr w:val="none" w:sz="0" w:space="0" w:color="auto"/>
      <w:lang w:val="en-AU" w:eastAsia="en-GB"/>
    </w:rPr>
  </w:style>
  <w:style w:type="character" w:customStyle="1" w:styleId="BodyTextIndentChar">
    <w:name w:val="Body Text Indent Char"/>
    <w:basedOn w:val="DefaultParagraphFont"/>
    <w:link w:val="BodyTextIndent"/>
    <w:rsid w:val="004421DB"/>
    <w:rPr>
      <w:rFonts w:eastAsia="Times New Roman"/>
      <w:bdr w:val="none" w:sz="0" w:space="0" w:color="auto"/>
      <w:lang w:val="en-AU"/>
    </w:rPr>
  </w:style>
  <w:style w:type="paragraph" w:styleId="List">
    <w:name w:val="List"/>
    <w:basedOn w:val="Normal"/>
    <w:rsid w:val="004421DB"/>
    <w:pPr>
      <w:pBdr>
        <w:top w:val="none" w:sz="0" w:space="0" w:color="auto"/>
        <w:left w:val="none" w:sz="0" w:space="0" w:color="auto"/>
        <w:bottom w:val="none" w:sz="0" w:space="0" w:color="auto"/>
        <w:right w:val="none" w:sz="0" w:space="0" w:color="auto"/>
        <w:between w:val="none" w:sz="0" w:space="0" w:color="auto"/>
        <w:bar w:val="none" w:sz="0" w:color="auto"/>
      </w:pBdr>
      <w:ind w:left="360" w:hanging="360"/>
    </w:pPr>
    <w:rPr>
      <w:rFonts w:eastAsia="Times New Roman"/>
      <w:szCs w:val="20"/>
      <w:bdr w:val="none" w:sz="0" w:space="0" w:color="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349723288_Consistency_of_corporate_governance_statements_with_the_Corporate_Governance_Code_provisions_The_case_of_Romanian_oil_market/citation/download1" TargetMode="External"/><Relationship Id="rId18" Type="http://schemas.openxmlformats.org/officeDocument/2006/relationships/hyperlink" Target="https://www.researchgate.net/publication/37694533_A_History_of_Corporate_Governance_around_the_World_Family_Business_Groups_to_Professional_Managers/citation/download" TargetMode="External"/><Relationship Id="rId26" Type="http://schemas.openxmlformats.org/officeDocument/2006/relationships/image" Target="media/image6.png"/><Relationship Id="rId39" Type="http://schemas.openxmlformats.org/officeDocument/2006/relationships/theme" Target="theme/theme1.xml"/><Relationship Id="rId21" Type="http://schemas.openxmlformats.org/officeDocument/2006/relationships/hyperlink" Target="https://doi.org/10.1111/1467-8683.00079" TargetMode="External"/><Relationship Id="rId34" Type="http://schemas.openxmlformats.org/officeDocument/2006/relationships/hyperlink" Target="http://www.griffith.ie/" TargetMode="External"/><Relationship Id="rId7" Type="http://schemas.openxmlformats.org/officeDocument/2006/relationships/image" Target="media/image1.jpeg"/><Relationship Id="rId12" Type="http://schemas.openxmlformats.org/officeDocument/2006/relationships/hyperlink" Target="https://www.researchgate.net/publication/343765849_Corporate_governance_in_India_A_systematic_review_and_synthesis_for_future_research/citation/download" TargetMode="External"/><Relationship Id="rId17" Type="http://schemas.openxmlformats.org/officeDocument/2006/relationships/hyperlink" Target="https://doi.org/10.1177/0256090920120203" TargetMode="External"/><Relationship Id="rId25" Type="http://schemas.openxmlformats.org/officeDocument/2006/relationships/image" Target="media/image5.png"/><Relationship Id="rId33" Type="http://schemas.openxmlformats.org/officeDocument/2006/relationships/hyperlink" Target="file:///C:\Users\ryang\OneDrive\Documents\Camtasia%20Studio\OneDrive\Documents\DCU%20GR\PHD%20DOCS\Final%20Doctorate%20Thesis%20documents%202014\Appendix\garrett.ryan@griffith.ie"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researchgate.net/publication/326973075_Corporate_governance_and_cost_of_capital_evidence_from_Pakistani_listed_firms/citation/download" TargetMode="External"/><Relationship Id="rId20" Type="http://schemas.openxmlformats.org/officeDocument/2006/relationships/hyperlink" Target="https://doi.org/10.1111/j.1467-8683.2006.00520.x" TargetMode="External"/><Relationship Id="rId29" Type="http://schemas.openxmlformats.org/officeDocument/2006/relationships/hyperlink" Target="https://aib.ie/content/dam/frontdoor/investorrelations/docs/resultscentre/annualreport/aib-group-plc-2020-annual-financial-report.pd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4.png"/><Relationship Id="rId32" Type="http://schemas.openxmlformats.org/officeDocument/2006/relationships/image" Target="media/image10.png"/><Relationship Id="rId37" Type="http://schemas.openxmlformats.org/officeDocument/2006/relationships/footer" Target="footer4.xml"/><Relationship Id="rId5" Type="http://schemas.openxmlformats.org/officeDocument/2006/relationships/footnotes" Target="footnotes.xml"/><Relationship Id="rId15" Type="http://schemas.openxmlformats.org/officeDocument/2006/relationships/hyperlink" Target="https://doi.org/10.1177/2158244017719112" TargetMode="External"/><Relationship Id="rId23" Type="http://schemas.openxmlformats.org/officeDocument/2006/relationships/footer" Target="footer3.xml"/><Relationship Id="rId28" Type="http://schemas.openxmlformats.org/officeDocument/2006/relationships/image" Target="media/image8.png"/><Relationship Id="rId36" Type="http://schemas.openxmlformats.org/officeDocument/2006/relationships/header" Target="header2.xml"/><Relationship Id="rId10" Type="http://schemas.openxmlformats.org/officeDocument/2006/relationships/footer" Target="footer2.xml"/><Relationship Id="rId19" Type="http://schemas.openxmlformats.org/officeDocument/2006/relationships/hyperlink" Target="https://doi.org/10.1111/j.1467-8683.2007.00618.x" TargetMode="External"/><Relationship Id="rId31" Type="http://schemas.openxmlformats.org/officeDocument/2006/relationships/image" Target="media/image9.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doi.org/10.1111/j.1467-9957.2007.01003.x" TargetMode="Externa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hyperlink" Target="https://aib.ie/sustainability" TargetMode="External"/><Relationship Id="rId35" Type="http://schemas.openxmlformats.org/officeDocument/2006/relationships/image" Target="media/image11.png"/><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457200" rtl="0" fontAlgn="auto" latinLnBrk="0" hangingPunct="0">
          <a:lnSpc>
            <a:spcPct val="100000"/>
          </a:lnSpc>
          <a:spcBef>
            <a:spcPts val="1000"/>
          </a:spcBef>
          <a:spcAft>
            <a:spcPts val="0"/>
          </a:spcAft>
          <a:buClrTx/>
          <a:buSzTx/>
          <a:buFontTx/>
          <a:buNone/>
          <a:tabLst/>
          <a:defRPr kumimoji="0" sz="1200" b="1" i="0" u="none" strike="noStrike" cap="none" spc="0" normalizeH="0" baseline="0">
            <a:ln>
              <a:noFill/>
            </a:ln>
            <a:solidFill>
              <a:srgbClr val="44546A"/>
            </a:solidFill>
            <a:effectLst/>
            <a:uFill>
              <a:solidFill>
                <a:srgbClr val="44546A"/>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78</Pages>
  <Words>23520</Words>
  <Characters>134067</Characters>
  <Application>Microsoft Office Word</Application>
  <DocSecurity>0</DocSecurity>
  <Lines>1117</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Elvis Nnamdi</dc:creator>
  <cp:lastModifiedBy>Elvis Nnamdi</cp:lastModifiedBy>
  <cp:revision>21</cp:revision>
  <dcterms:created xsi:type="dcterms:W3CDTF">2021-06-03T11:43:00Z</dcterms:created>
  <dcterms:modified xsi:type="dcterms:W3CDTF">2021-06-04T21:42:00Z</dcterms:modified>
</cp:coreProperties>
</file>