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F1703A" w14:textId="77777777" w:rsidR="00674DC5" w:rsidRDefault="00674DC5" w:rsidP="00481564">
      <w:pPr>
        <w:jc w:val="center"/>
        <w:rPr>
          <w:rFonts w:ascii="Times New Roman" w:hAnsi="Times New Roman" w:cs="Times New Roman"/>
          <w:b/>
          <w:bCs/>
          <w:sz w:val="24"/>
          <w:szCs w:val="24"/>
        </w:rPr>
      </w:pPr>
    </w:p>
    <w:p w14:paraId="02EE428E" w14:textId="1535D9CE" w:rsidR="00481564" w:rsidRPr="00F841EE" w:rsidRDefault="00481564" w:rsidP="00481564">
      <w:pPr>
        <w:jc w:val="center"/>
        <w:rPr>
          <w:rFonts w:ascii="Times New Roman" w:hAnsi="Times New Roman" w:cs="Times New Roman"/>
          <w:b/>
          <w:bCs/>
          <w:sz w:val="24"/>
          <w:szCs w:val="24"/>
        </w:rPr>
      </w:pPr>
      <w:r w:rsidRPr="00F841EE">
        <w:rPr>
          <w:rFonts w:ascii="Times New Roman" w:hAnsi="Times New Roman" w:cs="Times New Roman"/>
          <w:b/>
          <w:bCs/>
          <w:sz w:val="24"/>
          <w:szCs w:val="24"/>
        </w:rPr>
        <w:t>The European Right to be Forgotten in the Context of Search Engines</w:t>
      </w:r>
    </w:p>
    <w:p w14:paraId="7141D1D5" w14:textId="77777777" w:rsidR="00481564" w:rsidRDefault="00481564" w:rsidP="00481564">
      <w:pPr>
        <w:jc w:val="center"/>
        <w:rPr>
          <w:rFonts w:ascii="Times New Roman" w:hAnsi="Times New Roman" w:cs="Times New Roman"/>
          <w:sz w:val="24"/>
          <w:szCs w:val="24"/>
        </w:rPr>
      </w:pPr>
    </w:p>
    <w:p w14:paraId="051BCADD" w14:textId="77777777" w:rsidR="00481564" w:rsidRDefault="00481564" w:rsidP="00481564">
      <w:pPr>
        <w:jc w:val="center"/>
        <w:rPr>
          <w:rFonts w:ascii="Times New Roman" w:hAnsi="Times New Roman" w:cs="Times New Roman"/>
          <w:sz w:val="24"/>
          <w:szCs w:val="24"/>
        </w:rPr>
      </w:pPr>
    </w:p>
    <w:p w14:paraId="1642399C" w14:textId="77777777" w:rsidR="00481564" w:rsidRDefault="00481564" w:rsidP="00481564">
      <w:pPr>
        <w:jc w:val="center"/>
        <w:rPr>
          <w:rFonts w:ascii="Times New Roman" w:hAnsi="Times New Roman" w:cs="Times New Roman"/>
          <w:sz w:val="24"/>
          <w:szCs w:val="24"/>
        </w:rPr>
      </w:pPr>
    </w:p>
    <w:p w14:paraId="05A8C76E" w14:textId="77777777" w:rsidR="00481564" w:rsidRDefault="00481564" w:rsidP="00481564">
      <w:pPr>
        <w:jc w:val="center"/>
        <w:rPr>
          <w:rFonts w:ascii="Times New Roman" w:hAnsi="Times New Roman" w:cs="Times New Roman"/>
          <w:sz w:val="24"/>
          <w:szCs w:val="24"/>
        </w:rPr>
      </w:pPr>
    </w:p>
    <w:p w14:paraId="36F76B74" w14:textId="77777777" w:rsidR="00481564" w:rsidRDefault="00481564" w:rsidP="00481564">
      <w:pPr>
        <w:jc w:val="center"/>
        <w:rPr>
          <w:rFonts w:ascii="Times New Roman" w:hAnsi="Times New Roman" w:cs="Times New Roman"/>
          <w:sz w:val="24"/>
          <w:szCs w:val="24"/>
        </w:rPr>
      </w:pPr>
    </w:p>
    <w:p w14:paraId="4CE20639" w14:textId="77777777" w:rsidR="00481564" w:rsidRDefault="00481564" w:rsidP="00481564">
      <w:pPr>
        <w:jc w:val="center"/>
        <w:rPr>
          <w:rFonts w:ascii="Times New Roman" w:hAnsi="Times New Roman" w:cs="Times New Roman"/>
          <w:sz w:val="24"/>
          <w:szCs w:val="24"/>
        </w:rPr>
      </w:pPr>
    </w:p>
    <w:p w14:paraId="1615A4AE" w14:textId="77777777" w:rsidR="00481564" w:rsidRPr="00AF3636" w:rsidRDefault="00481564" w:rsidP="00481564">
      <w:pPr>
        <w:jc w:val="center"/>
        <w:rPr>
          <w:rFonts w:ascii="Times New Roman" w:hAnsi="Times New Roman" w:cs="Times New Roman"/>
          <w:sz w:val="24"/>
          <w:szCs w:val="24"/>
        </w:rPr>
      </w:pPr>
      <w:r w:rsidRPr="00AF3636">
        <w:rPr>
          <w:rFonts w:ascii="Times New Roman" w:hAnsi="Times New Roman" w:cs="Times New Roman"/>
          <w:sz w:val="24"/>
          <w:szCs w:val="24"/>
        </w:rPr>
        <w:t>Research dissertation presented in partial fulfilment of the requirements for the degree of</w:t>
      </w:r>
    </w:p>
    <w:p w14:paraId="575B773C" w14:textId="77777777" w:rsidR="00481564" w:rsidRPr="00AF3636" w:rsidRDefault="00481564" w:rsidP="00481564">
      <w:pPr>
        <w:jc w:val="center"/>
        <w:rPr>
          <w:rFonts w:ascii="Times New Roman" w:hAnsi="Times New Roman" w:cs="Times New Roman"/>
          <w:sz w:val="24"/>
          <w:szCs w:val="24"/>
        </w:rPr>
      </w:pPr>
      <w:r w:rsidRPr="00AF3636">
        <w:rPr>
          <w:rFonts w:ascii="Times New Roman" w:hAnsi="Times New Roman" w:cs="Times New Roman"/>
          <w:sz w:val="24"/>
          <w:szCs w:val="24"/>
        </w:rPr>
        <w:t>LLM in International Law</w:t>
      </w:r>
    </w:p>
    <w:p w14:paraId="6AFA1255" w14:textId="77777777" w:rsidR="00481564" w:rsidRPr="00AF3636" w:rsidRDefault="00481564" w:rsidP="00481564">
      <w:pPr>
        <w:jc w:val="center"/>
        <w:rPr>
          <w:rFonts w:ascii="Times New Roman" w:hAnsi="Times New Roman" w:cs="Times New Roman"/>
          <w:sz w:val="24"/>
          <w:szCs w:val="24"/>
        </w:rPr>
      </w:pPr>
      <w:r w:rsidRPr="00AF3636">
        <w:rPr>
          <w:rFonts w:ascii="Times New Roman" w:hAnsi="Times New Roman" w:cs="Times New Roman"/>
          <w:sz w:val="24"/>
          <w:szCs w:val="24"/>
        </w:rPr>
        <w:t>(QQI)</w:t>
      </w:r>
    </w:p>
    <w:p w14:paraId="169E4968" w14:textId="77777777" w:rsidR="00481564" w:rsidRPr="00AF3636" w:rsidRDefault="00481564" w:rsidP="00481564">
      <w:pPr>
        <w:jc w:val="center"/>
        <w:rPr>
          <w:rFonts w:ascii="Times New Roman" w:hAnsi="Times New Roman" w:cs="Times New Roman"/>
          <w:sz w:val="24"/>
          <w:szCs w:val="24"/>
        </w:rPr>
      </w:pPr>
    </w:p>
    <w:p w14:paraId="5172DE71" w14:textId="77777777" w:rsidR="00481564" w:rsidRDefault="00481564" w:rsidP="00481564">
      <w:pPr>
        <w:jc w:val="center"/>
        <w:rPr>
          <w:rFonts w:ascii="Times New Roman" w:hAnsi="Times New Roman" w:cs="Times New Roman"/>
          <w:sz w:val="24"/>
          <w:szCs w:val="24"/>
        </w:rPr>
      </w:pPr>
    </w:p>
    <w:p w14:paraId="3ECC6FB7" w14:textId="77777777" w:rsidR="00481564" w:rsidRPr="00AF3636" w:rsidRDefault="00481564" w:rsidP="00481564">
      <w:pPr>
        <w:jc w:val="center"/>
        <w:rPr>
          <w:rFonts w:ascii="Times New Roman" w:hAnsi="Times New Roman" w:cs="Times New Roman"/>
          <w:sz w:val="24"/>
          <w:szCs w:val="24"/>
        </w:rPr>
      </w:pPr>
    </w:p>
    <w:p w14:paraId="43E69114" w14:textId="77777777" w:rsidR="00481564" w:rsidRDefault="00481564" w:rsidP="00481564">
      <w:pPr>
        <w:jc w:val="center"/>
        <w:rPr>
          <w:rFonts w:ascii="Times New Roman" w:hAnsi="Times New Roman" w:cs="Times New Roman"/>
          <w:sz w:val="24"/>
          <w:szCs w:val="24"/>
        </w:rPr>
      </w:pPr>
      <w:r w:rsidRPr="00AF3636">
        <w:rPr>
          <w:rFonts w:ascii="Times New Roman" w:hAnsi="Times New Roman" w:cs="Times New Roman"/>
          <w:sz w:val="24"/>
          <w:szCs w:val="24"/>
        </w:rPr>
        <w:t>Law School, Griffith College Dublin</w:t>
      </w:r>
    </w:p>
    <w:p w14:paraId="7F587EAF" w14:textId="77777777" w:rsidR="00481564" w:rsidRDefault="00481564" w:rsidP="00481564">
      <w:pPr>
        <w:jc w:val="center"/>
        <w:rPr>
          <w:rFonts w:ascii="Times New Roman" w:hAnsi="Times New Roman" w:cs="Times New Roman"/>
          <w:sz w:val="24"/>
          <w:szCs w:val="24"/>
        </w:rPr>
      </w:pPr>
    </w:p>
    <w:p w14:paraId="0100F84A" w14:textId="77777777" w:rsidR="00481564" w:rsidRDefault="00481564" w:rsidP="00481564">
      <w:pPr>
        <w:jc w:val="center"/>
        <w:rPr>
          <w:rFonts w:ascii="Times New Roman" w:hAnsi="Times New Roman" w:cs="Times New Roman"/>
          <w:sz w:val="24"/>
          <w:szCs w:val="24"/>
        </w:rPr>
      </w:pPr>
    </w:p>
    <w:p w14:paraId="1D41D3FA" w14:textId="77777777" w:rsidR="00481564" w:rsidRDefault="00481564" w:rsidP="00481564">
      <w:pPr>
        <w:jc w:val="center"/>
        <w:rPr>
          <w:rFonts w:ascii="Times New Roman" w:hAnsi="Times New Roman" w:cs="Times New Roman"/>
          <w:sz w:val="24"/>
          <w:szCs w:val="24"/>
        </w:rPr>
      </w:pPr>
    </w:p>
    <w:p w14:paraId="016DCDEE" w14:textId="77777777" w:rsidR="00481564" w:rsidRDefault="00481564" w:rsidP="00481564">
      <w:pPr>
        <w:jc w:val="center"/>
        <w:rPr>
          <w:rFonts w:ascii="Times New Roman" w:hAnsi="Times New Roman" w:cs="Times New Roman"/>
          <w:sz w:val="24"/>
          <w:szCs w:val="24"/>
        </w:rPr>
      </w:pPr>
    </w:p>
    <w:p w14:paraId="6C81D39A" w14:textId="77777777" w:rsidR="00481564" w:rsidRDefault="00481564" w:rsidP="00481564">
      <w:pPr>
        <w:jc w:val="center"/>
        <w:rPr>
          <w:rFonts w:ascii="Times New Roman" w:hAnsi="Times New Roman" w:cs="Times New Roman"/>
          <w:sz w:val="24"/>
          <w:szCs w:val="24"/>
        </w:rPr>
      </w:pPr>
    </w:p>
    <w:p w14:paraId="4B9F9C9D" w14:textId="77777777" w:rsidR="00481564" w:rsidRDefault="00481564" w:rsidP="00481564">
      <w:pPr>
        <w:jc w:val="center"/>
        <w:rPr>
          <w:rFonts w:ascii="Times New Roman" w:hAnsi="Times New Roman" w:cs="Times New Roman"/>
          <w:sz w:val="24"/>
          <w:szCs w:val="24"/>
        </w:rPr>
      </w:pPr>
    </w:p>
    <w:p w14:paraId="454822C1" w14:textId="77777777" w:rsidR="00481564" w:rsidRDefault="00481564" w:rsidP="00481564">
      <w:pPr>
        <w:jc w:val="center"/>
        <w:rPr>
          <w:rFonts w:ascii="Times New Roman" w:hAnsi="Times New Roman" w:cs="Times New Roman"/>
          <w:sz w:val="24"/>
          <w:szCs w:val="24"/>
        </w:rPr>
      </w:pPr>
    </w:p>
    <w:p w14:paraId="7B6A1948" w14:textId="77777777" w:rsidR="00481564" w:rsidRDefault="00481564" w:rsidP="00481564">
      <w:pPr>
        <w:jc w:val="center"/>
        <w:rPr>
          <w:rFonts w:ascii="Times New Roman" w:hAnsi="Times New Roman" w:cs="Times New Roman"/>
          <w:sz w:val="24"/>
          <w:szCs w:val="24"/>
        </w:rPr>
      </w:pPr>
    </w:p>
    <w:p w14:paraId="3058D0D3" w14:textId="77777777" w:rsidR="00481564" w:rsidRDefault="00481564" w:rsidP="00481564">
      <w:pPr>
        <w:jc w:val="center"/>
        <w:rPr>
          <w:rFonts w:ascii="Times New Roman" w:hAnsi="Times New Roman" w:cs="Times New Roman"/>
          <w:sz w:val="24"/>
          <w:szCs w:val="24"/>
        </w:rPr>
      </w:pPr>
    </w:p>
    <w:p w14:paraId="5A4FF742" w14:textId="77777777" w:rsidR="00481564" w:rsidRPr="00085285" w:rsidRDefault="00481564" w:rsidP="00481564">
      <w:pPr>
        <w:jc w:val="center"/>
        <w:rPr>
          <w:rFonts w:ascii="Times New Roman" w:hAnsi="Times New Roman" w:cs="Times New Roman"/>
          <w:b/>
          <w:bCs/>
          <w:sz w:val="24"/>
          <w:szCs w:val="24"/>
        </w:rPr>
      </w:pPr>
      <w:r w:rsidRPr="00085285">
        <w:rPr>
          <w:rFonts w:ascii="Times New Roman" w:hAnsi="Times New Roman" w:cs="Times New Roman"/>
          <w:b/>
          <w:bCs/>
          <w:sz w:val="24"/>
          <w:szCs w:val="24"/>
        </w:rPr>
        <w:t>ALANNA MORAIS DA SILVA</w:t>
      </w:r>
    </w:p>
    <w:p w14:paraId="48CD7931" w14:textId="77777777" w:rsidR="00481564" w:rsidRPr="00085285" w:rsidRDefault="00481564" w:rsidP="00481564">
      <w:pPr>
        <w:jc w:val="center"/>
        <w:rPr>
          <w:rFonts w:ascii="Times New Roman" w:hAnsi="Times New Roman" w:cs="Times New Roman"/>
          <w:sz w:val="24"/>
          <w:szCs w:val="24"/>
        </w:rPr>
      </w:pPr>
    </w:p>
    <w:p w14:paraId="0DAF1AF4" w14:textId="77777777" w:rsidR="00481564" w:rsidRPr="00085285" w:rsidRDefault="00481564" w:rsidP="00481564">
      <w:pPr>
        <w:jc w:val="center"/>
        <w:rPr>
          <w:rFonts w:ascii="Times New Roman" w:hAnsi="Times New Roman" w:cs="Times New Roman"/>
          <w:sz w:val="24"/>
          <w:szCs w:val="24"/>
        </w:rPr>
      </w:pPr>
      <w:r w:rsidRPr="00085285">
        <w:rPr>
          <w:rFonts w:ascii="Times New Roman" w:hAnsi="Times New Roman" w:cs="Times New Roman"/>
          <w:sz w:val="24"/>
          <w:szCs w:val="24"/>
        </w:rPr>
        <w:t>2022</w:t>
      </w:r>
    </w:p>
    <w:p w14:paraId="11A9C76E" w14:textId="77777777" w:rsidR="00481564" w:rsidRPr="00085285" w:rsidRDefault="00481564" w:rsidP="00481564">
      <w:pPr>
        <w:jc w:val="center"/>
        <w:rPr>
          <w:rFonts w:ascii="Times New Roman" w:hAnsi="Times New Roman" w:cs="Times New Roman"/>
          <w:sz w:val="24"/>
          <w:szCs w:val="24"/>
        </w:rPr>
      </w:pPr>
    </w:p>
    <w:p w14:paraId="395470B2" w14:textId="77777777" w:rsidR="00481564" w:rsidRDefault="00481564" w:rsidP="00481564">
      <w:pPr>
        <w:jc w:val="center"/>
        <w:rPr>
          <w:b/>
          <w:bCs/>
          <w:sz w:val="24"/>
          <w:szCs w:val="24"/>
        </w:rPr>
      </w:pPr>
    </w:p>
    <w:p w14:paraId="1AD4849C" w14:textId="77777777" w:rsidR="00F41BA6" w:rsidRDefault="00481564" w:rsidP="00F41BA6">
      <w:pPr>
        <w:tabs>
          <w:tab w:val="left" w:pos="5670"/>
        </w:tabs>
        <w:rPr>
          <w:b/>
          <w:bCs/>
          <w:sz w:val="24"/>
          <w:szCs w:val="24"/>
        </w:rPr>
      </w:pPr>
      <w:r>
        <w:rPr>
          <w:b/>
          <w:bCs/>
          <w:sz w:val="24"/>
          <w:szCs w:val="24"/>
        </w:rPr>
        <w:br w:type="page"/>
      </w:r>
      <w:r w:rsidR="00F41BA6">
        <w:rPr>
          <w:b/>
          <w:bCs/>
          <w:noProof/>
          <w:sz w:val="24"/>
          <w:szCs w:val="24"/>
        </w:rPr>
        <w:lastRenderedPageBreak/>
        <w:drawing>
          <wp:inline distT="0" distB="0" distL="0" distR="0" wp14:anchorId="4B53CE94" wp14:editId="28B181BE">
            <wp:extent cx="5626100" cy="8763000"/>
            <wp:effectExtent l="0" t="0" r="0" b="0"/>
            <wp:docPr id="1" name="Imagem 1" descr="Texto preto sobre fundo bran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Texto preto sobre fundo branco&#10;&#10;Descrição gerada automaticamente"/>
                    <pic:cNvPicPr/>
                  </pic:nvPicPr>
                  <pic:blipFill>
                    <a:blip r:embed="rId7">
                      <a:extLst>
                        <a:ext uri="{28A0092B-C50C-407E-A947-70E740481C1C}">
                          <a14:useLocalDpi xmlns:a14="http://schemas.microsoft.com/office/drawing/2010/main" val="0"/>
                        </a:ext>
                      </a:extLst>
                    </a:blip>
                    <a:stretch>
                      <a:fillRect/>
                    </a:stretch>
                  </pic:blipFill>
                  <pic:spPr>
                    <a:xfrm>
                      <a:off x="0" y="0"/>
                      <a:ext cx="5626100" cy="8763000"/>
                    </a:xfrm>
                    <a:prstGeom prst="rect">
                      <a:avLst/>
                    </a:prstGeom>
                  </pic:spPr>
                </pic:pic>
              </a:graphicData>
            </a:graphic>
          </wp:inline>
        </w:drawing>
      </w:r>
      <w:r w:rsidR="007D69B0">
        <w:rPr>
          <w:b/>
          <w:bCs/>
          <w:sz w:val="24"/>
          <w:szCs w:val="24"/>
        </w:rPr>
        <w:lastRenderedPageBreak/>
        <w:tab/>
      </w:r>
    </w:p>
    <w:p w14:paraId="0FAD2F2C" w14:textId="588253C5" w:rsidR="00481564" w:rsidRPr="00F41BA6" w:rsidRDefault="00481564" w:rsidP="00F41BA6">
      <w:pPr>
        <w:tabs>
          <w:tab w:val="left" w:pos="5670"/>
        </w:tabs>
        <w:rPr>
          <w:b/>
          <w:bCs/>
          <w:sz w:val="24"/>
          <w:szCs w:val="24"/>
        </w:rPr>
      </w:pPr>
      <w:r w:rsidRPr="00674DC5">
        <w:rPr>
          <w:rFonts w:ascii="Times New Roman" w:hAnsi="Times New Roman" w:cs="Times New Roman"/>
          <w:b/>
          <w:bCs/>
          <w:sz w:val="24"/>
          <w:szCs w:val="24"/>
        </w:rPr>
        <w:t xml:space="preserve">Acknowledgments </w:t>
      </w:r>
      <w:r w:rsidR="00936DF4">
        <w:rPr>
          <w:rFonts w:ascii="Times New Roman" w:hAnsi="Times New Roman" w:cs="Times New Roman"/>
          <w:b/>
          <w:bCs/>
          <w:sz w:val="24"/>
          <w:szCs w:val="24"/>
        </w:rPr>
        <w:t>and</w:t>
      </w:r>
      <w:r w:rsidRPr="00674DC5">
        <w:rPr>
          <w:rFonts w:ascii="Times New Roman" w:hAnsi="Times New Roman" w:cs="Times New Roman"/>
          <w:b/>
          <w:bCs/>
          <w:sz w:val="24"/>
          <w:szCs w:val="24"/>
        </w:rPr>
        <w:t xml:space="preserve"> Dedication</w:t>
      </w:r>
    </w:p>
    <w:p w14:paraId="5FAF4425" w14:textId="61D624E4" w:rsidR="00481564" w:rsidRDefault="00481564" w:rsidP="00481564">
      <w:pPr>
        <w:spacing w:after="0" w:line="360" w:lineRule="auto"/>
        <w:jc w:val="both"/>
        <w:rPr>
          <w:rFonts w:ascii="Times New Roman" w:hAnsi="Times New Roman" w:cs="Times New Roman"/>
          <w:sz w:val="24"/>
          <w:szCs w:val="24"/>
        </w:rPr>
      </w:pPr>
    </w:p>
    <w:p w14:paraId="77FCBF28" w14:textId="63AC5E4C" w:rsidR="00481564" w:rsidRDefault="00072CC8" w:rsidP="004815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As a recognition of all the support received w</w:t>
      </w:r>
      <w:r w:rsidR="006949B9">
        <w:rPr>
          <w:rFonts w:ascii="Times New Roman" w:hAnsi="Times New Roman" w:cs="Times New Roman"/>
          <w:sz w:val="24"/>
          <w:szCs w:val="24"/>
        </w:rPr>
        <w:t>ithout which the presentation of this paper would not have been possible, my family, my supervisor Denis Healy and my friends</w:t>
      </w:r>
      <w:r w:rsidR="00B3749A">
        <w:rPr>
          <w:rFonts w:ascii="Times New Roman" w:hAnsi="Times New Roman" w:cs="Times New Roman"/>
          <w:sz w:val="24"/>
          <w:szCs w:val="24"/>
        </w:rPr>
        <w:t xml:space="preserve"> </w:t>
      </w:r>
      <w:r w:rsidR="006949B9">
        <w:rPr>
          <w:rFonts w:ascii="Times New Roman" w:hAnsi="Times New Roman" w:cs="Times New Roman"/>
          <w:sz w:val="24"/>
          <w:szCs w:val="24"/>
        </w:rPr>
        <w:t>deserve my gratitude. My family</w:t>
      </w:r>
      <w:r w:rsidR="00C52A5C">
        <w:rPr>
          <w:rFonts w:ascii="Times New Roman" w:hAnsi="Times New Roman" w:cs="Times New Roman"/>
          <w:sz w:val="24"/>
          <w:szCs w:val="24"/>
        </w:rPr>
        <w:t xml:space="preserve"> and</w:t>
      </w:r>
      <w:proofErr w:type="gramStart"/>
      <w:r w:rsidR="006949B9">
        <w:rPr>
          <w:rFonts w:ascii="Times New Roman" w:hAnsi="Times New Roman" w:cs="Times New Roman"/>
          <w:sz w:val="24"/>
          <w:szCs w:val="24"/>
        </w:rPr>
        <w:t>, in particular,</w:t>
      </w:r>
      <w:r w:rsidR="00C52A5C">
        <w:rPr>
          <w:rFonts w:ascii="Times New Roman" w:hAnsi="Times New Roman" w:cs="Times New Roman"/>
          <w:sz w:val="24"/>
          <w:szCs w:val="24"/>
        </w:rPr>
        <w:t xml:space="preserve"> my</w:t>
      </w:r>
      <w:proofErr w:type="gramEnd"/>
      <w:r w:rsidR="00C52A5C">
        <w:rPr>
          <w:rFonts w:ascii="Times New Roman" w:hAnsi="Times New Roman" w:cs="Times New Roman"/>
          <w:sz w:val="24"/>
          <w:szCs w:val="24"/>
        </w:rPr>
        <w:t xml:space="preserve"> mom, for their unconditional love and incentive. Denis Healy, for providing me with much assistance and knowledge</w:t>
      </w:r>
      <w:r w:rsidR="00DE0829">
        <w:rPr>
          <w:rFonts w:ascii="Times New Roman" w:hAnsi="Times New Roman" w:cs="Times New Roman"/>
          <w:sz w:val="24"/>
          <w:szCs w:val="24"/>
        </w:rPr>
        <w:t>, and for being highly cooperative</w:t>
      </w:r>
      <w:r w:rsidR="00C52A5C">
        <w:rPr>
          <w:rFonts w:ascii="Times New Roman" w:hAnsi="Times New Roman" w:cs="Times New Roman"/>
          <w:sz w:val="24"/>
          <w:szCs w:val="24"/>
        </w:rPr>
        <w:t xml:space="preserve">. My friends, for the patience through this process and </w:t>
      </w:r>
      <w:r w:rsidR="00B3749A">
        <w:rPr>
          <w:rFonts w:ascii="Times New Roman" w:hAnsi="Times New Roman" w:cs="Times New Roman"/>
          <w:sz w:val="24"/>
          <w:szCs w:val="24"/>
        </w:rPr>
        <w:t xml:space="preserve">the </w:t>
      </w:r>
      <w:r w:rsidR="00DE0829">
        <w:rPr>
          <w:rFonts w:ascii="Times New Roman" w:hAnsi="Times New Roman" w:cs="Times New Roman"/>
          <w:sz w:val="24"/>
          <w:szCs w:val="24"/>
        </w:rPr>
        <w:t>constant</w:t>
      </w:r>
      <w:r w:rsidR="00C52A5C">
        <w:rPr>
          <w:rFonts w:ascii="Times New Roman" w:hAnsi="Times New Roman" w:cs="Times New Roman"/>
          <w:sz w:val="24"/>
          <w:szCs w:val="24"/>
        </w:rPr>
        <w:t xml:space="preserve"> company to celebrate my achievements.</w:t>
      </w:r>
      <w:r w:rsidR="00B3749A">
        <w:rPr>
          <w:rFonts w:ascii="Times New Roman" w:hAnsi="Times New Roman" w:cs="Times New Roman"/>
          <w:sz w:val="24"/>
          <w:szCs w:val="24"/>
        </w:rPr>
        <w:t xml:space="preserve"> </w:t>
      </w:r>
    </w:p>
    <w:p w14:paraId="10CB2B65" w14:textId="5D4C8D5E" w:rsidR="00481564" w:rsidRDefault="00481564" w:rsidP="00481564">
      <w:pPr>
        <w:spacing w:after="0" w:line="360" w:lineRule="auto"/>
        <w:jc w:val="both"/>
        <w:rPr>
          <w:rFonts w:ascii="Times New Roman" w:hAnsi="Times New Roman" w:cs="Times New Roman"/>
          <w:sz w:val="24"/>
          <w:szCs w:val="24"/>
        </w:rPr>
      </w:pPr>
    </w:p>
    <w:p w14:paraId="5CD83A85" w14:textId="6E49E551" w:rsidR="00481564" w:rsidRDefault="00481564" w:rsidP="00481564">
      <w:pPr>
        <w:spacing w:after="0" w:line="360" w:lineRule="auto"/>
        <w:jc w:val="both"/>
        <w:rPr>
          <w:rFonts w:ascii="Times New Roman" w:hAnsi="Times New Roman" w:cs="Times New Roman"/>
          <w:sz w:val="24"/>
          <w:szCs w:val="24"/>
        </w:rPr>
      </w:pPr>
    </w:p>
    <w:p w14:paraId="23EF4EF0" w14:textId="2EB40011" w:rsidR="00481564" w:rsidRDefault="00481564" w:rsidP="00481564">
      <w:pPr>
        <w:spacing w:after="0" w:line="360" w:lineRule="auto"/>
        <w:jc w:val="both"/>
        <w:rPr>
          <w:rFonts w:ascii="Times New Roman" w:hAnsi="Times New Roman" w:cs="Times New Roman"/>
          <w:sz w:val="24"/>
          <w:szCs w:val="24"/>
        </w:rPr>
      </w:pPr>
    </w:p>
    <w:p w14:paraId="4A734C77" w14:textId="4449453A" w:rsidR="00481564" w:rsidRDefault="00481564" w:rsidP="00481564">
      <w:pPr>
        <w:spacing w:after="0" w:line="360" w:lineRule="auto"/>
        <w:jc w:val="both"/>
        <w:rPr>
          <w:rFonts w:ascii="Times New Roman" w:hAnsi="Times New Roman" w:cs="Times New Roman"/>
          <w:sz w:val="24"/>
          <w:szCs w:val="24"/>
        </w:rPr>
      </w:pPr>
    </w:p>
    <w:p w14:paraId="49F18D4C" w14:textId="52C68489" w:rsidR="00481564" w:rsidRDefault="00481564" w:rsidP="00481564">
      <w:pPr>
        <w:spacing w:after="0" w:line="360" w:lineRule="auto"/>
        <w:jc w:val="both"/>
        <w:rPr>
          <w:rFonts w:ascii="Times New Roman" w:hAnsi="Times New Roman" w:cs="Times New Roman"/>
          <w:sz w:val="24"/>
          <w:szCs w:val="24"/>
        </w:rPr>
      </w:pPr>
    </w:p>
    <w:p w14:paraId="24D75323" w14:textId="739D379C" w:rsidR="00481564" w:rsidRDefault="00481564" w:rsidP="00481564">
      <w:pPr>
        <w:spacing w:after="0" w:line="360" w:lineRule="auto"/>
        <w:jc w:val="both"/>
        <w:rPr>
          <w:rFonts w:ascii="Times New Roman" w:hAnsi="Times New Roman" w:cs="Times New Roman"/>
          <w:sz w:val="24"/>
          <w:szCs w:val="24"/>
        </w:rPr>
      </w:pPr>
    </w:p>
    <w:p w14:paraId="716B49F7" w14:textId="3C0170F5" w:rsidR="00481564" w:rsidRDefault="00481564" w:rsidP="00481564">
      <w:pPr>
        <w:spacing w:after="0" w:line="360" w:lineRule="auto"/>
        <w:jc w:val="both"/>
        <w:rPr>
          <w:rFonts w:ascii="Times New Roman" w:hAnsi="Times New Roman" w:cs="Times New Roman"/>
          <w:sz w:val="24"/>
          <w:szCs w:val="24"/>
        </w:rPr>
      </w:pPr>
    </w:p>
    <w:p w14:paraId="1E5733F5" w14:textId="12710663" w:rsidR="00481564" w:rsidRDefault="00481564" w:rsidP="00481564">
      <w:pPr>
        <w:spacing w:after="0" w:line="360" w:lineRule="auto"/>
        <w:jc w:val="both"/>
        <w:rPr>
          <w:rFonts w:ascii="Times New Roman" w:hAnsi="Times New Roman" w:cs="Times New Roman"/>
          <w:sz w:val="24"/>
          <w:szCs w:val="24"/>
        </w:rPr>
      </w:pPr>
    </w:p>
    <w:p w14:paraId="150EC947" w14:textId="734C5CF1" w:rsidR="00481564" w:rsidRDefault="00481564" w:rsidP="00481564">
      <w:pPr>
        <w:spacing w:after="0" w:line="360" w:lineRule="auto"/>
        <w:jc w:val="both"/>
        <w:rPr>
          <w:rFonts w:ascii="Times New Roman" w:hAnsi="Times New Roman" w:cs="Times New Roman"/>
          <w:sz w:val="24"/>
          <w:szCs w:val="24"/>
        </w:rPr>
      </w:pPr>
    </w:p>
    <w:p w14:paraId="53967393" w14:textId="4DDCA924" w:rsidR="00481564" w:rsidRDefault="00481564" w:rsidP="00481564">
      <w:pPr>
        <w:spacing w:after="0" w:line="360" w:lineRule="auto"/>
        <w:jc w:val="both"/>
        <w:rPr>
          <w:rFonts w:ascii="Times New Roman" w:hAnsi="Times New Roman" w:cs="Times New Roman"/>
          <w:sz w:val="24"/>
          <w:szCs w:val="24"/>
        </w:rPr>
      </w:pPr>
    </w:p>
    <w:p w14:paraId="2551A2A5" w14:textId="47D9623E" w:rsidR="00481564" w:rsidRDefault="00481564" w:rsidP="00481564">
      <w:pPr>
        <w:spacing w:after="0" w:line="360" w:lineRule="auto"/>
        <w:jc w:val="both"/>
        <w:rPr>
          <w:rFonts w:ascii="Times New Roman" w:hAnsi="Times New Roman" w:cs="Times New Roman"/>
          <w:sz w:val="24"/>
          <w:szCs w:val="24"/>
        </w:rPr>
      </w:pPr>
    </w:p>
    <w:p w14:paraId="799AB73E" w14:textId="3F74B3BE" w:rsidR="00481564" w:rsidRDefault="00481564" w:rsidP="00481564">
      <w:pPr>
        <w:spacing w:after="0" w:line="360" w:lineRule="auto"/>
        <w:jc w:val="both"/>
        <w:rPr>
          <w:rFonts w:ascii="Times New Roman" w:hAnsi="Times New Roman" w:cs="Times New Roman"/>
          <w:sz w:val="24"/>
          <w:szCs w:val="24"/>
        </w:rPr>
      </w:pPr>
    </w:p>
    <w:p w14:paraId="7B20615A" w14:textId="2443B807" w:rsidR="00481564" w:rsidRDefault="00481564" w:rsidP="00481564">
      <w:pPr>
        <w:spacing w:after="0" w:line="360" w:lineRule="auto"/>
        <w:jc w:val="both"/>
        <w:rPr>
          <w:rFonts w:ascii="Times New Roman" w:hAnsi="Times New Roman" w:cs="Times New Roman"/>
          <w:sz w:val="24"/>
          <w:szCs w:val="24"/>
        </w:rPr>
      </w:pPr>
    </w:p>
    <w:p w14:paraId="54F7A19C" w14:textId="3AFFB8EF" w:rsidR="00481564" w:rsidRDefault="00481564" w:rsidP="00481564">
      <w:pPr>
        <w:spacing w:after="0" w:line="360" w:lineRule="auto"/>
        <w:jc w:val="both"/>
        <w:rPr>
          <w:rFonts w:ascii="Times New Roman" w:hAnsi="Times New Roman" w:cs="Times New Roman"/>
          <w:sz w:val="24"/>
          <w:szCs w:val="24"/>
        </w:rPr>
      </w:pPr>
    </w:p>
    <w:p w14:paraId="7F668BCD" w14:textId="1C0E35A8" w:rsidR="00481564" w:rsidRDefault="00481564" w:rsidP="00481564">
      <w:pPr>
        <w:spacing w:after="0" w:line="360" w:lineRule="auto"/>
        <w:jc w:val="both"/>
        <w:rPr>
          <w:rFonts w:ascii="Times New Roman" w:hAnsi="Times New Roman" w:cs="Times New Roman"/>
          <w:sz w:val="24"/>
          <w:szCs w:val="24"/>
        </w:rPr>
      </w:pPr>
    </w:p>
    <w:p w14:paraId="682D1D02" w14:textId="25BED1A9" w:rsidR="00481564" w:rsidRDefault="00481564" w:rsidP="00481564">
      <w:pPr>
        <w:spacing w:after="0" w:line="360" w:lineRule="auto"/>
        <w:jc w:val="both"/>
        <w:rPr>
          <w:rFonts w:ascii="Times New Roman" w:hAnsi="Times New Roman" w:cs="Times New Roman"/>
          <w:sz w:val="24"/>
          <w:szCs w:val="24"/>
        </w:rPr>
      </w:pPr>
    </w:p>
    <w:p w14:paraId="247E0482" w14:textId="117FA6FA" w:rsidR="00481564" w:rsidRDefault="00481564" w:rsidP="00481564">
      <w:pPr>
        <w:spacing w:after="0" w:line="360" w:lineRule="auto"/>
        <w:jc w:val="both"/>
        <w:rPr>
          <w:rFonts w:ascii="Times New Roman" w:hAnsi="Times New Roman" w:cs="Times New Roman"/>
          <w:sz w:val="24"/>
          <w:szCs w:val="24"/>
        </w:rPr>
      </w:pPr>
    </w:p>
    <w:p w14:paraId="69357DB0" w14:textId="4423C3F8" w:rsidR="00481564" w:rsidRDefault="00481564" w:rsidP="00481564">
      <w:pPr>
        <w:spacing w:after="0" w:line="360" w:lineRule="auto"/>
        <w:jc w:val="both"/>
        <w:rPr>
          <w:rFonts w:ascii="Times New Roman" w:hAnsi="Times New Roman" w:cs="Times New Roman"/>
          <w:sz w:val="24"/>
          <w:szCs w:val="24"/>
        </w:rPr>
      </w:pPr>
    </w:p>
    <w:p w14:paraId="2B21E4AD" w14:textId="4E4E83AF" w:rsidR="00481564" w:rsidRDefault="00481564" w:rsidP="00481564">
      <w:pPr>
        <w:spacing w:after="0" w:line="360" w:lineRule="auto"/>
        <w:jc w:val="both"/>
        <w:rPr>
          <w:rFonts w:ascii="Times New Roman" w:hAnsi="Times New Roman" w:cs="Times New Roman"/>
          <w:sz w:val="24"/>
          <w:szCs w:val="24"/>
        </w:rPr>
      </w:pPr>
    </w:p>
    <w:p w14:paraId="351EAB50" w14:textId="749EF4A0" w:rsidR="00481564" w:rsidRDefault="00481564" w:rsidP="00481564">
      <w:pPr>
        <w:spacing w:after="0" w:line="360" w:lineRule="auto"/>
        <w:jc w:val="both"/>
        <w:rPr>
          <w:rFonts w:ascii="Times New Roman" w:hAnsi="Times New Roman" w:cs="Times New Roman"/>
          <w:sz w:val="24"/>
          <w:szCs w:val="24"/>
        </w:rPr>
      </w:pPr>
    </w:p>
    <w:p w14:paraId="111B92CB" w14:textId="69DB222D" w:rsidR="00481564" w:rsidRDefault="00481564" w:rsidP="00481564">
      <w:pPr>
        <w:spacing w:after="0" w:line="360" w:lineRule="auto"/>
        <w:jc w:val="both"/>
        <w:rPr>
          <w:rFonts w:ascii="Times New Roman" w:hAnsi="Times New Roman" w:cs="Times New Roman"/>
          <w:sz w:val="24"/>
          <w:szCs w:val="24"/>
        </w:rPr>
      </w:pPr>
    </w:p>
    <w:p w14:paraId="16BB0D8A" w14:textId="21031DE8" w:rsidR="00481564" w:rsidRDefault="00481564" w:rsidP="00481564">
      <w:pPr>
        <w:spacing w:after="0" w:line="360" w:lineRule="auto"/>
        <w:jc w:val="both"/>
        <w:rPr>
          <w:rFonts w:ascii="Times New Roman" w:hAnsi="Times New Roman" w:cs="Times New Roman"/>
          <w:sz w:val="24"/>
          <w:szCs w:val="24"/>
        </w:rPr>
      </w:pPr>
    </w:p>
    <w:p w14:paraId="0F9F1EA8" w14:textId="6667D08C" w:rsidR="00481564" w:rsidRDefault="00481564" w:rsidP="00481564">
      <w:pPr>
        <w:spacing w:after="0" w:line="360" w:lineRule="auto"/>
        <w:jc w:val="both"/>
        <w:rPr>
          <w:rFonts w:ascii="Times New Roman" w:hAnsi="Times New Roman" w:cs="Times New Roman"/>
          <w:sz w:val="24"/>
          <w:szCs w:val="24"/>
        </w:rPr>
      </w:pPr>
    </w:p>
    <w:p w14:paraId="7B2AD761" w14:textId="35959BE6" w:rsidR="00481564" w:rsidRDefault="00481564" w:rsidP="00481564">
      <w:pPr>
        <w:spacing w:after="0" w:line="360" w:lineRule="auto"/>
        <w:jc w:val="both"/>
        <w:rPr>
          <w:rFonts w:ascii="Times New Roman" w:hAnsi="Times New Roman" w:cs="Times New Roman"/>
          <w:sz w:val="24"/>
          <w:szCs w:val="24"/>
        </w:rPr>
      </w:pPr>
    </w:p>
    <w:sdt>
      <w:sdtPr>
        <w:rPr>
          <w:rFonts w:ascii="Times New Roman" w:eastAsiaTheme="minorEastAsia" w:hAnsi="Times New Roman" w:cs="Times New Roman"/>
          <w:color w:val="auto"/>
          <w:sz w:val="24"/>
          <w:szCs w:val="24"/>
        </w:rPr>
        <w:id w:val="-1570419384"/>
        <w:docPartObj>
          <w:docPartGallery w:val="Table of Contents"/>
          <w:docPartUnique/>
        </w:docPartObj>
      </w:sdtPr>
      <w:sdtContent>
        <w:p w14:paraId="637724D9" w14:textId="77777777" w:rsidR="00481564" w:rsidRPr="0078464E" w:rsidRDefault="00481564" w:rsidP="00481564">
          <w:pPr>
            <w:pStyle w:val="CabealhodoSumrio"/>
            <w:rPr>
              <w:rFonts w:ascii="Times New Roman" w:hAnsi="Times New Roman" w:cs="Times New Roman"/>
              <w:b/>
              <w:bCs/>
              <w:color w:val="auto"/>
              <w:sz w:val="24"/>
              <w:szCs w:val="24"/>
              <w:lang w:val="en-GB"/>
            </w:rPr>
          </w:pPr>
          <w:r w:rsidRPr="0078464E">
            <w:rPr>
              <w:rFonts w:ascii="Times New Roman" w:hAnsi="Times New Roman" w:cs="Times New Roman"/>
              <w:b/>
              <w:bCs/>
              <w:color w:val="auto"/>
              <w:sz w:val="24"/>
              <w:szCs w:val="24"/>
              <w:lang w:val="en-GB"/>
            </w:rPr>
            <w:t>Table of Contents</w:t>
          </w:r>
        </w:p>
        <w:p w14:paraId="6CCD918A" w14:textId="77777777" w:rsidR="00481564" w:rsidRPr="0078464E" w:rsidRDefault="00481564" w:rsidP="00481564">
          <w:pPr>
            <w:rPr>
              <w:rFonts w:ascii="Times New Roman" w:hAnsi="Times New Roman" w:cs="Times New Roman"/>
              <w:sz w:val="24"/>
              <w:szCs w:val="24"/>
              <w:lang w:eastAsia="pt-BR"/>
            </w:rPr>
          </w:pPr>
        </w:p>
        <w:p w14:paraId="25554CE0" w14:textId="77777777" w:rsidR="00481564" w:rsidRPr="0078464E" w:rsidRDefault="00481564" w:rsidP="00481564">
          <w:pPr>
            <w:pStyle w:val="Sumrio1"/>
            <w:rPr>
              <w:rFonts w:ascii="Times New Roman" w:hAnsi="Times New Roman"/>
              <w:b/>
              <w:bCs/>
              <w:sz w:val="24"/>
              <w:szCs w:val="24"/>
              <w:lang w:val="en-GB"/>
            </w:rPr>
          </w:pPr>
          <w:r w:rsidRPr="0078464E">
            <w:rPr>
              <w:rFonts w:ascii="Times New Roman" w:hAnsi="Times New Roman"/>
              <w:b/>
              <w:bCs/>
              <w:sz w:val="24"/>
              <w:szCs w:val="24"/>
              <w:lang w:val="en-GB"/>
            </w:rPr>
            <w:t>Title page</w:t>
          </w:r>
          <w:r w:rsidRPr="00BF63E8">
            <w:rPr>
              <w:rFonts w:ascii="Times New Roman" w:hAnsi="Times New Roman"/>
              <w:sz w:val="24"/>
              <w:szCs w:val="24"/>
            </w:rPr>
            <w:ptab w:relativeTo="margin" w:alignment="right" w:leader="dot"/>
          </w:r>
          <w:proofErr w:type="spellStart"/>
          <w:r w:rsidRPr="0078464E">
            <w:rPr>
              <w:rFonts w:ascii="Times New Roman" w:hAnsi="Times New Roman"/>
              <w:b/>
              <w:bCs/>
              <w:sz w:val="24"/>
              <w:szCs w:val="24"/>
              <w:lang w:val="en-GB"/>
            </w:rPr>
            <w:t>i</w:t>
          </w:r>
          <w:proofErr w:type="spellEnd"/>
        </w:p>
        <w:p w14:paraId="5472FD06" w14:textId="77777777" w:rsidR="00481564" w:rsidRPr="0078464E" w:rsidRDefault="00481564" w:rsidP="00481564">
          <w:pPr>
            <w:pStyle w:val="Sumrio1"/>
            <w:rPr>
              <w:rFonts w:ascii="Times New Roman" w:hAnsi="Times New Roman"/>
              <w:b/>
              <w:bCs/>
              <w:sz w:val="24"/>
              <w:szCs w:val="24"/>
              <w:lang w:val="en-GB"/>
            </w:rPr>
          </w:pPr>
          <w:r w:rsidRPr="0078464E">
            <w:rPr>
              <w:rFonts w:ascii="Times New Roman" w:hAnsi="Times New Roman"/>
              <w:b/>
              <w:bCs/>
              <w:sz w:val="24"/>
              <w:szCs w:val="24"/>
              <w:lang w:val="en-GB"/>
            </w:rPr>
            <w:t>Candidate declaration</w:t>
          </w:r>
          <w:r w:rsidRPr="00BF63E8">
            <w:rPr>
              <w:rFonts w:ascii="Times New Roman" w:hAnsi="Times New Roman"/>
              <w:sz w:val="24"/>
              <w:szCs w:val="24"/>
            </w:rPr>
            <w:ptab w:relativeTo="margin" w:alignment="right" w:leader="dot"/>
          </w:r>
          <w:r w:rsidRPr="0078464E">
            <w:rPr>
              <w:rFonts w:ascii="Times New Roman" w:hAnsi="Times New Roman"/>
              <w:b/>
              <w:bCs/>
              <w:sz w:val="24"/>
              <w:szCs w:val="24"/>
              <w:lang w:val="en-GB"/>
            </w:rPr>
            <w:t>ii</w:t>
          </w:r>
        </w:p>
        <w:p w14:paraId="5A61AC3D" w14:textId="6CC34345" w:rsidR="00481564" w:rsidRPr="00674DC5" w:rsidRDefault="00481564" w:rsidP="00481564">
          <w:pPr>
            <w:pStyle w:val="Sumrio1"/>
            <w:rPr>
              <w:rFonts w:ascii="Times New Roman" w:hAnsi="Times New Roman"/>
              <w:b/>
              <w:bCs/>
              <w:sz w:val="24"/>
              <w:szCs w:val="24"/>
              <w:lang w:val="en-GB"/>
            </w:rPr>
          </w:pPr>
          <w:r w:rsidRPr="00674DC5">
            <w:rPr>
              <w:rFonts w:ascii="Times New Roman" w:hAnsi="Times New Roman"/>
              <w:b/>
              <w:bCs/>
              <w:sz w:val="24"/>
              <w:szCs w:val="24"/>
              <w:lang w:val="en-GB"/>
            </w:rPr>
            <w:t>Acknowl</w:t>
          </w:r>
          <w:r w:rsidR="009F4889" w:rsidRPr="00674DC5">
            <w:rPr>
              <w:rFonts w:ascii="Times New Roman" w:hAnsi="Times New Roman"/>
              <w:b/>
              <w:bCs/>
              <w:sz w:val="24"/>
              <w:szCs w:val="24"/>
              <w:lang w:val="en-GB"/>
            </w:rPr>
            <w:t>e</w:t>
          </w:r>
          <w:r w:rsidRPr="00674DC5">
            <w:rPr>
              <w:rFonts w:ascii="Times New Roman" w:hAnsi="Times New Roman"/>
              <w:b/>
              <w:bCs/>
              <w:sz w:val="24"/>
              <w:szCs w:val="24"/>
              <w:lang w:val="en-GB"/>
            </w:rPr>
            <w:t>dgements</w:t>
          </w:r>
          <w:r w:rsidR="00674DC5" w:rsidRPr="00674DC5">
            <w:rPr>
              <w:rFonts w:ascii="Times New Roman" w:hAnsi="Times New Roman"/>
              <w:b/>
              <w:bCs/>
              <w:sz w:val="24"/>
              <w:szCs w:val="24"/>
              <w:lang w:val="en-GB"/>
            </w:rPr>
            <w:t xml:space="preserve"> </w:t>
          </w:r>
          <w:r w:rsidR="00936DF4">
            <w:rPr>
              <w:rFonts w:ascii="Times New Roman" w:hAnsi="Times New Roman"/>
              <w:b/>
              <w:bCs/>
              <w:sz w:val="24"/>
              <w:szCs w:val="24"/>
              <w:lang w:val="en-GB"/>
            </w:rPr>
            <w:t>and</w:t>
          </w:r>
          <w:r w:rsidR="00674DC5" w:rsidRPr="00674DC5">
            <w:rPr>
              <w:rFonts w:ascii="Times New Roman" w:hAnsi="Times New Roman"/>
              <w:b/>
              <w:bCs/>
              <w:sz w:val="24"/>
              <w:szCs w:val="24"/>
              <w:lang w:val="en-GB"/>
            </w:rPr>
            <w:t xml:space="preserve"> Dedication</w:t>
          </w:r>
          <w:r w:rsidRPr="00BF63E8">
            <w:rPr>
              <w:rFonts w:ascii="Times New Roman" w:hAnsi="Times New Roman"/>
              <w:sz w:val="24"/>
              <w:szCs w:val="24"/>
            </w:rPr>
            <w:ptab w:relativeTo="margin" w:alignment="right" w:leader="dot"/>
          </w:r>
          <w:r w:rsidRPr="00674DC5">
            <w:rPr>
              <w:rFonts w:ascii="Times New Roman" w:hAnsi="Times New Roman"/>
              <w:b/>
              <w:bCs/>
              <w:sz w:val="24"/>
              <w:szCs w:val="24"/>
              <w:lang w:val="en-GB"/>
            </w:rPr>
            <w:t>iii</w:t>
          </w:r>
        </w:p>
        <w:p w14:paraId="701990ED" w14:textId="009824B9" w:rsidR="00481564" w:rsidRPr="00674DC5" w:rsidRDefault="00674DC5" w:rsidP="00481564">
          <w:pPr>
            <w:pStyle w:val="Sumrio1"/>
            <w:rPr>
              <w:rFonts w:ascii="Times New Roman" w:hAnsi="Times New Roman"/>
              <w:b/>
              <w:bCs/>
              <w:sz w:val="24"/>
              <w:szCs w:val="24"/>
              <w:lang w:val="en-GB"/>
            </w:rPr>
          </w:pPr>
          <w:r w:rsidRPr="00674DC5">
            <w:rPr>
              <w:rFonts w:ascii="Times New Roman" w:hAnsi="Times New Roman"/>
              <w:b/>
              <w:bCs/>
              <w:sz w:val="24"/>
              <w:szCs w:val="24"/>
              <w:lang w:val="en-GB"/>
            </w:rPr>
            <w:t>List of acronyms and abbreviations</w:t>
          </w:r>
          <w:r w:rsidR="00481564" w:rsidRPr="00BF63E8">
            <w:rPr>
              <w:rFonts w:ascii="Times New Roman" w:hAnsi="Times New Roman"/>
              <w:sz w:val="24"/>
              <w:szCs w:val="24"/>
            </w:rPr>
            <w:ptab w:relativeTo="margin" w:alignment="right" w:leader="dot"/>
          </w:r>
          <w:r>
            <w:rPr>
              <w:rFonts w:ascii="Times New Roman" w:hAnsi="Times New Roman"/>
              <w:b/>
              <w:bCs/>
              <w:sz w:val="24"/>
              <w:szCs w:val="24"/>
              <w:lang w:val="en-GB"/>
            </w:rPr>
            <w:t>vi</w:t>
          </w:r>
        </w:p>
        <w:p w14:paraId="1FD9BC1A" w14:textId="1C90A626" w:rsidR="00481564" w:rsidRPr="00BF63E8" w:rsidRDefault="00481564" w:rsidP="00481564">
          <w:pPr>
            <w:pStyle w:val="Sumrio1"/>
            <w:rPr>
              <w:rFonts w:ascii="Times New Roman" w:hAnsi="Times New Roman"/>
              <w:b/>
              <w:bCs/>
              <w:sz w:val="24"/>
              <w:szCs w:val="24"/>
            </w:rPr>
          </w:pPr>
          <w:r w:rsidRPr="00BF63E8">
            <w:rPr>
              <w:rFonts w:ascii="Times New Roman" w:hAnsi="Times New Roman"/>
              <w:b/>
              <w:bCs/>
              <w:sz w:val="24"/>
              <w:szCs w:val="24"/>
            </w:rPr>
            <w:t>Abstract</w:t>
          </w:r>
          <w:r w:rsidRPr="00BF63E8">
            <w:rPr>
              <w:rFonts w:ascii="Times New Roman" w:hAnsi="Times New Roman"/>
              <w:sz w:val="24"/>
              <w:szCs w:val="24"/>
            </w:rPr>
            <w:ptab w:relativeTo="margin" w:alignment="right" w:leader="dot"/>
          </w:r>
          <w:proofErr w:type="spellStart"/>
          <w:r w:rsidRPr="00BF63E8">
            <w:rPr>
              <w:rFonts w:ascii="Times New Roman" w:hAnsi="Times New Roman"/>
              <w:b/>
              <w:bCs/>
              <w:sz w:val="24"/>
              <w:szCs w:val="24"/>
            </w:rPr>
            <w:t>v</w:t>
          </w:r>
          <w:r w:rsidR="00674DC5">
            <w:rPr>
              <w:rFonts w:ascii="Times New Roman" w:hAnsi="Times New Roman"/>
              <w:b/>
              <w:bCs/>
              <w:sz w:val="24"/>
              <w:szCs w:val="24"/>
            </w:rPr>
            <w:t>ii</w:t>
          </w:r>
          <w:proofErr w:type="spellEnd"/>
        </w:p>
        <w:p w14:paraId="7F11E96A" w14:textId="77777777" w:rsidR="00481564" w:rsidRPr="00BF63E8" w:rsidRDefault="00481564" w:rsidP="00481564">
          <w:pPr>
            <w:pStyle w:val="Sumrio1"/>
            <w:numPr>
              <w:ilvl w:val="0"/>
              <w:numId w:val="1"/>
            </w:numPr>
            <w:rPr>
              <w:rFonts w:ascii="Times New Roman" w:hAnsi="Times New Roman"/>
              <w:b/>
              <w:bCs/>
              <w:sz w:val="24"/>
              <w:szCs w:val="24"/>
            </w:rPr>
          </w:pPr>
          <w:proofErr w:type="spellStart"/>
          <w:r w:rsidRPr="00BF63E8">
            <w:rPr>
              <w:rFonts w:ascii="Times New Roman" w:hAnsi="Times New Roman"/>
              <w:b/>
              <w:bCs/>
              <w:sz w:val="24"/>
              <w:szCs w:val="24"/>
            </w:rPr>
            <w:t>Introduction</w:t>
          </w:r>
          <w:proofErr w:type="spellEnd"/>
          <w:r w:rsidRPr="00BF63E8">
            <w:rPr>
              <w:rFonts w:ascii="Times New Roman" w:hAnsi="Times New Roman"/>
              <w:sz w:val="24"/>
              <w:szCs w:val="24"/>
            </w:rPr>
            <w:ptab w:relativeTo="margin" w:alignment="right" w:leader="dot"/>
          </w:r>
          <w:r w:rsidRPr="00BF63E8">
            <w:rPr>
              <w:rFonts w:ascii="Times New Roman" w:hAnsi="Times New Roman"/>
              <w:b/>
              <w:bCs/>
              <w:sz w:val="24"/>
              <w:szCs w:val="24"/>
            </w:rPr>
            <w:t>1</w:t>
          </w:r>
        </w:p>
        <w:p w14:paraId="6D347BA5" w14:textId="6622A3B9" w:rsidR="00481564" w:rsidRPr="0078464E" w:rsidRDefault="00481564" w:rsidP="00481564">
          <w:pPr>
            <w:pStyle w:val="Sumrio1"/>
            <w:numPr>
              <w:ilvl w:val="0"/>
              <w:numId w:val="1"/>
            </w:numPr>
            <w:rPr>
              <w:rFonts w:ascii="Times New Roman" w:hAnsi="Times New Roman"/>
              <w:b/>
              <w:bCs/>
              <w:sz w:val="24"/>
              <w:szCs w:val="24"/>
              <w:lang w:val="en-GB"/>
            </w:rPr>
          </w:pPr>
          <w:r w:rsidRPr="0078464E">
            <w:rPr>
              <w:rFonts w:ascii="Times New Roman" w:hAnsi="Times New Roman"/>
              <w:b/>
              <w:bCs/>
              <w:sz w:val="24"/>
              <w:szCs w:val="24"/>
              <w:lang w:val="en-GB"/>
            </w:rPr>
            <w:t xml:space="preserve">Right to privacy </w:t>
          </w:r>
          <w:r w:rsidRPr="0078464E">
            <w:rPr>
              <w:rFonts w:ascii="Times New Roman" w:hAnsi="Times New Roman"/>
              <w:b/>
              <w:bCs/>
              <w:i/>
              <w:iCs/>
              <w:sz w:val="24"/>
              <w:szCs w:val="24"/>
              <w:lang w:val="en-GB"/>
            </w:rPr>
            <w:t>versus</w:t>
          </w:r>
          <w:r w:rsidRPr="0078464E">
            <w:rPr>
              <w:rFonts w:ascii="Times New Roman" w:hAnsi="Times New Roman"/>
              <w:b/>
              <w:bCs/>
              <w:sz w:val="24"/>
              <w:szCs w:val="24"/>
              <w:lang w:val="en-GB"/>
            </w:rPr>
            <w:t xml:space="preserve"> right </w:t>
          </w:r>
          <w:r w:rsidR="009F4889">
            <w:rPr>
              <w:rFonts w:ascii="Times New Roman" w:hAnsi="Times New Roman"/>
              <w:b/>
              <w:bCs/>
              <w:sz w:val="24"/>
              <w:szCs w:val="24"/>
              <w:lang w:val="en-GB"/>
            </w:rPr>
            <w:t>of</w:t>
          </w:r>
          <w:r w:rsidRPr="0078464E">
            <w:rPr>
              <w:rFonts w:ascii="Times New Roman" w:hAnsi="Times New Roman"/>
              <w:b/>
              <w:bCs/>
              <w:sz w:val="24"/>
              <w:szCs w:val="24"/>
              <w:lang w:val="en-GB"/>
            </w:rPr>
            <w:t xml:space="preserve"> freedom of expression</w:t>
          </w:r>
          <w:r w:rsidRPr="00BF63E8">
            <w:rPr>
              <w:rFonts w:ascii="Times New Roman" w:hAnsi="Times New Roman"/>
              <w:sz w:val="24"/>
              <w:szCs w:val="24"/>
            </w:rPr>
            <w:ptab w:relativeTo="margin" w:alignment="right" w:leader="dot"/>
          </w:r>
          <w:r w:rsidRPr="0078464E">
            <w:rPr>
              <w:rFonts w:ascii="Times New Roman" w:hAnsi="Times New Roman"/>
              <w:b/>
              <w:bCs/>
              <w:sz w:val="24"/>
              <w:szCs w:val="24"/>
              <w:lang w:val="en-GB"/>
            </w:rPr>
            <w:t>5</w:t>
          </w:r>
        </w:p>
        <w:p w14:paraId="117857C3" w14:textId="77777777" w:rsidR="00481564" w:rsidRPr="0078464E" w:rsidRDefault="00481564" w:rsidP="00481564">
          <w:pPr>
            <w:pStyle w:val="Sumrio1"/>
            <w:numPr>
              <w:ilvl w:val="0"/>
              <w:numId w:val="1"/>
            </w:numPr>
            <w:rPr>
              <w:rFonts w:ascii="Times New Roman" w:hAnsi="Times New Roman"/>
              <w:b/>
              <w:bCs/>
              <w:sz w:val="24"/>
              <w:szCs w:val="24"/>
              <w:lang w:val="en-GB"/>
            </w:rPr>
          </w:pPr>
          <w:r w:rsidRPr="0078464E">
            <w:rPr>
              <w:rFonts w:ascii="Times New Roman" w:hAnsi="Times New Roman"/>
              <w:b/>
              <w:bCs/>
              <w:sz w:val="24"/>
              <w:szCs w:val="24"/>
              <w:lang w:val="en-GB"/>
            </w:rPr>
            <w:t>Right to be forgotten in Europe</w:t>
          </w:r>
          <w:r w:rsidRPr="00BF63E8">
            <w:rPr>
              <w:rFonts w:ascii="Times New Roman" w:hAnsi="Times New Roman"/>
              <w:sz w:val="24"/>
              <w:szCs w:val="24"/>
            </w:rPr>
            <w:ptab w:relativeTo="margin" w:alignment="right" w:leader="dot"/>
          </w:r>
          <w:r w:rsidRPr="0078464E">
            <w:rPr>
              <w:rFonts w:ascii="Times New Roman" w:hAnsi="Times New Roman"/>
              <w:b/>
              <w:bCs/>
              <w:sz w:val="24"/>
              <w:szCs w:val="24"/>
              <w:lang w:val="en-GB"/>
            </w:rPr>
            <w:t>11</w:t>
          </w:r>
        </w:p>
        <w:p w14:paraId="50CBA031" w14:textId="79C89A35" w:rsidR="00481564" w:rsidRPr="00BF63E8" w:rsidRDefault="00481564" w:rsidP="00481564">
          <w:pPr>
            <w:pStyle w:val="Sumrio2"/>
            <w:numPr>
              <w:ilvl w:val="1"/>
              <w:numId w:val="2"/>
            </w:numPr>
            <w:rPr>
              <w:rFonts w:ascii="Times New Roman" w:hAnsi="Times New Roman"/>
              <w:sz w:val="24"/>
              <w:szCs w:val="24"/>
            </w:rPr>
          </w:pPr>
          <w:r w:rsidRPr="00BF63E8">
            <w:rPr>
              <w:rFonts w:ascii="Times New Roman" w:hAnsi="Times New Roman"/>
              <w:sz w:val="24"/>
              <w:szCs w:val="24"/>
            </w:rPr>
            <w:t xml:space="preserve">Data </w:t>
          </w:r>
          <w:proofErr w:type="spellStart"/>
          <w:r w:rsidRPr="00BF63E8">
            <w:rPr>
              <w:rFonts w:ascii="Times New Roman" w:hAnsi="Times New Roman"/>
              <w:sz w:val="24"/>
              <w:szCs w:val="24"/>
            </w:rPr>
            <w:t>Protection</w:t>
          </w:r>
          <w:proofErr w:type="spellEnd"/>
          <w:r w:rsidRPr="00BF63E8">
            <w:rPr>
              <w:rFonts w:ascii="Times New Roman" w:hAnsi="Times New Roman"/>
              <w:sz w:val="24"/>
              <w:szCs w:val="24"/>
            </w:rPr>
            <w:t xml:space="preserve"> </w:t>
          </w:r>
          <w:proofErr w:type="spellStart"/>
          <w:r w:rsidRPr="00BF63E8">
            <w:rPr>
              <w:rFonts w:ascii="Times New Roman" w:hAnsi="Times New Roman"/>
              <w:sz w:val="24"/>
              <w:szCs w:val="24"/>
            </w:rPr>
            <w:t>Directive</w:t>
          </w:r>
          <w:proofErr w:type="spellEnd"/>
          <w:r w:rsidRPr="00BF63E8">
            <w:rPr>
              <w:rFonts w:ascii="Times New Roman" w:hAnsi="Times New Roman"/>
              <w:sz w:val="24"/>
              <w:szCs w:val="24"/>
            </w:rPr>
            <w:t xml:space="preserve"> (</w:t>
          </w:r>
          <w:proofErr w:type="spellStart"/>
          <w:r w:rsidRPr="00BF63E8">
            <w:rPr>
              <w:rFonts w:ascii="Times New Roman" w:hAnsi="Times New Roman"/>
              <w:sz w:val="24"/>
              <w:szCs w:val="24"/>
            </w:rPr>
            <w:t>Directive</w:t>
          </w:r>
          <w:proofErr w:type="spellEnd"/>
          <w:r w:rsidRPr="00BF63E8">
            <w:rPr>
              <w:rFonts w:ascii="Times New Roman" w:hAnsi="Times New Roman"/>
              <w:sz w:val="24"/>
              <w:szCs w:val="24"/>
            </w:rPr>
            <w:t xml:space="preserve"> 95/46)</w:t>
          </w:r>
          <w:r w:rsidRPr="00BF63E8">
            <w:rPr>
              <w:rFonts w:ascii="Times New Roman" w:hAnsi="Times New Roman"/>
              <w:sz w:val="24"/>
              <w:szCs w:val="24"/>
            </w:rPr>
            <w:ptab w:relativeTo="margin" w:alignment="right" w:leader="dot"/>
          </w:r>
          <w:r w:rsidRPr="00BF63E8">
            <w:rPr>
              <w:rFonts w:ascii="Times New Roman" w:hAnsi="Times New Roman"/>
              <w:sz w:val="24"/>
              <w:szCs w:val="24"/>
            </w:rPr>
            <w:t>12</w:t>
          </w:r>
        </w:p>
        <w:p w14:paraId="2ECD552A" w14:textId="77777777" w:rsidR="00481564" w:rsidRPr="0078464E" w:rsidRDefault="00481564" w:rsidP="00481564">
          <w:pPr>
            <w:pStyle w:val="Sumrio2"/>
            <w:numPr>
              <w:ilvl w:val="1"/>
              <w:numId w:val="2"/>
            </w:numPr>
            <w:rPr>
              <w:rFonts w:ascii="Times New Roman" w:hAnsi="Times New Roman"/>
              <w:sz w:val="24"/>
              <w:szCs w:val="24"/>
              <w:lang w:val="en-GB"/>
            </w:rPr>
          </w:pPr>
          <w:r w:rsidRPr="0078464E">
            <w:rPr>
              <w:rFonts w:ascii="Times New Roman" w:hAnsi="Times New Roman"/>
              <w:sz w:val="24"/>
              <w:szCs w:val="24"/>
              <w:lang w:val="en-GB"/>
            </w:rPr>
            <w:t>General Data Protection Regulation (Regulation 2016/679)</w:t>
          </w:r>
          <w:r w:rsidRPr="00BF63E8">
            <w:rPr>
              <w:rFonts w:ascii="Times New Roman" w:hAnsi="Times New Roman"/>
              <w:sz w:val="24"/>
              <w:szCs w:val="24"/>
            </w:rPr>
            <w:ptab w:relativeTo="margin" w:alignment="right" w:leader="dot"/>
          </w:r>
          <w:r w:rsidRPr="0078464E">
            <w:rPr>
              <w:rFonts w:ascii="Times New Roman" w:hAnsi="Times New Roman"/>
              <w:sz w:val="24"/>
              <w:szCs w:val="24"/>
              <w:lang w:val="en-GB"/>
            </w:rPr>
            <w:t>15</w:t>
          </w:r>
        </w:p>
        <w:p w14:paraId="1648EC2D" w14:textId="77777777" w:rsidR="00481564" w:rsidRPr="0078464E" w:rsidRDefault="00481564" w:rsidP="00481564">
          <w:pPr>
            <w:pStyle w:val="Sumrio1"/>
            <w:numPr>
              <w:ilvl w:val="0"/>
              <w:numId w:val="1"/>
            </w:numPr>
            <w:rPr>
              <w:rFonts w:ascii="Times New Roman" w:hAnsi="Times New Roman"/>
              <w:b/>
              <w:bCs/>
              <w:sz w:val="24"/>
              <w:szCs w:val="24"/>
              <w:lang w:val="en-GB"/>
            </w:rPr>
          </w:pPr>
          <w:r w:rsidRPr="0078464E">
            <w:rPr>
              <w:rFonts w:ascii="Times New Roman" w:hAnsi="Times New Roman"/>
              <w:b/>
              <w:bCs/>
              <w:i/>
              <w:iCs/>
              <w:sz w:val="24"/>
              <w:szCs w:val="24"/>
              <w:lang w:val="en-GB"/>
            </w:rPr>
            <w:t>Google Spain v AEPD</w:t>
          </w:r>
          <w:r w:rsidRPr="0078464E">
            <w:rPr>
              <w:rFonts w:ascii="Times New Roman" w:hAnsi="Times New Roman"/>
              <w:b/>
              <w:bCs/>
              <w:sz w:val="24"/>
              <w:szCs w:val="24"/>
              <w:lang w:val="en-GB"/>
            </w:rPr>
            <w:t xml:space="preserve"> (C-131/12): the landmark decision</w:t>
          </w:r>
          <w:r w:rsidRPr="00BF63E8">
            <w:rPr>
              <w:rFonts w:ascii="Times New Roman" w:hAnsi="Times New Roman"/>
              <w:sz w:val="24"/>
              <w:szCs w:val="24"/>
            </w:rPr>
            <w:ptab w:relativeTo="margin" w:alignment="right" w:leader="dot"/>
          </w:r>
          <w:r w:rsidRPr="0078464E">
            <w:rPr>
              <w:rFonts w:ascii="Times New Roman" w:hAnsi="Times New Roman"/>
              <w:b/>
              <w:bCs/>
              <w:sz w:val="24"/>
              <w:szCs w:val="24"/>
              <w:lang w:val="en-GB"/>
            </w:rPr>
            <w:t>20</w:t>
          </w:r>
        </w:p>
        <w:p w14:paraId="06992B81" w14:textId="77777777" w:rsidR="00481564" w:rsidRPr="00BF63E8" w:rsidRDefault="00481564" w:rsidP="00481564">
          <w:pPr>
            <w:pStyle w:val="Sumrio2"/>
            <w:numPr>
              <w:ilvl w:val="1"/>
              <w:numId w:val="3"/>
            </w:numPr>
            <w:rPr>
              <w:rFonts w:ascii="Times New Roman" w:hAnsi="Times New Roman"/>
              <w:sz w:val="24"/>
              <w:szCs w:val="24"/>
            </w:rPr>
          </w:pPr>
          <w:proofErr w:type="spellStart"/>
          <w:r>
            <w:rPr>
              <w:rFonts w:ascii="Times New Roman" w:hAnsi="Times New Roman"/>
              <w:sz w:val="24"/>
              <w:szCs w:val="24"/>
            </w:rPr>
            <w:t>Facts</w:t>
          </w:r>
          <w:proofErr w:type="spellEnd"/>
          <w:r w:rsidRPr="00BF63E8">
            <w:rPr>
              <w:rFonts w:ascii="Times New Roman" w:hAnsi="Times New Roman"/>
              <w:sz w:val="24"/>
              <w:szCs w:val="24"/>
            </w:rPr>
            <w:ptab w:relativeTo="margin" w:alignment="right" w:leader="dot"/>
          </w:r>
          <w:r w:rsidRPr="00BF63E8">
            <w:rPr>
              <w:rFonts w:ascii="Times New Roman" w:hAnsi="Times New Roman"/>
              <w:sz w:val="24"/>
              <w:szCs w:val="24"/>
            </w:rPr>
            <w:t>2</w:t>
          </w:r>
          <w:r>
            <w:rPr>
              <w:rFonts w:ascii="Times New Roman" w:hAnsi="Times New Roman"/>
              <w:sz w:val="24"/>
              <w:szCs w:val="24"/>
            </w:rPr>
            <w:t>0</w:t>
          </w:r>
        </w:p>
        <w:p w14:paraId="3D26AD55" w14:textId="77777777" w:rsidR="00481564" w:rsidRPr="00BF63E8" w:rsidRDefault="00481564" w:rsidP="00481564">
          <w:pPr>
            <w:pStyle w:val="Sumrio3"/>
            <w:numPr>
              <w:ilvl w:val="1"/>
              <w:numId w:val="3"/>
            </w:numPr>
            <w:rPr>
              <w:rFonts w:ascii="Times New Roman" w:hAnsi="Times New Roman"/>
              <w:sz w:val="24"/>
              <w:szCs w:val="24"/>
            </w:rPr>
          </w:pPr>
          <w:r>
            <w:rPr>
              <w:rFonts w:ascii="Times New Roman" w:hAnsi="Times New Roman"/>
              <w:sz w:val="24"/>
              <w:szCs w:val="24"/>
            </w:rPr>
            <w:t xml:space="preserve">Material </w:t>
          </w:r>
          <w:proofErr w:type="spellStart"/>
          <w:r>
            <w:rPr>
              <w:rFonts w:ascii="Times New Roman" w:hAnsi="Times New Roman"/>
              <w:sz w:val="24"/>
              <w:szCs w:val="24"/>
            </w:rPr>
            <w:t>scope</w:t>
          </w:r>
          <w:proofErr w:type="spellEnd"/>
          <w:r>
            <w:rPr>
              <w:rFonts w:ascii="Times New Roman" w:hAnsi="Times New Roman"/>
              <w:sz w:val="24"/>
              <w:szCs w:val="24"/>
            </w:rPr>
            <w:t xml:space="preserve"> </w:t>
          </w:r>
          <w:proofErr w:type="spellStart"/>
          <w:r>
            <w:rPr>
              <w:rFonts w:ascii="Times New Roman" w:hAnsi="Times New Roman"/>
              <w:sz w:val="24"/>
              <w:szCs w:val="24"/>
            </w:rPr>
            <w:t>of</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DPD</w:t>
          </w:r>
          <w:r w:rsidRPr="00BF63E8">
            <w:rPr>
              <w:rFonts w:ascii="Times New Roman" w:hAnsi="Times New Roman"/>
              <w:sz w:val="24"/>
              <w:szCs w:val="24"/>
            </w:rPr>
            <w:ptab w:relativeTo="margin" w:alignment="right" w:leader="dot"/>
          </w:r>
          <w:r>
            <w:rPr>
              <w:rFonts w:ascii="Times New Roman" w:hAnsi="Times New Roman"/>
              <w:sz w:val="24"/>
              <w:szCs w:val="24"/>
            </w:rPr>
            <w:t>21</w:t>
          </w:r>
        </w:p>
        <w:p w14:paraId="0FD47BEF" w14:textId="77777777" w:rsidR="00481564" w:rsidRPr="00BF63E8" w:rsidRDefault="00481564" w:rsidP="00481564">
          <w:pPr>
            <w:pStyle w:val="Sumrio2"/>
            <w:numPr>
              <w:ilvl w:val="1"/>
              <w:numId w:val="3"/>
            </w:numPr>
            <w:rPr>
              <w:rFonts w:ascii="Times New Roman" w:hAnsi="Times New Roman"/>
              <w:sz w:val="24"/>
              <w:szCs w:val="24"/>
            </w:rPr>
          </w:pPr>
          <w:r>
            <w:rPr>
              <w:rFonts w:ascii="Times New Roman" w:hAnsi="Times New Roman"/>
              <w:sz w:val="24"/>
              <w:szCs w:val="24"/>
            </w:rPr>
            <w:t xml:space="preserve">Territorial </w:t>
          </w:r>
          <w:proofErr w:type="spellStart"/>
          <w:r>
            <w:rPr>
              <w:rFonts w:ascii="Times New Roman" w:hAnsi="Times New Roman"/>
              <w:sz w:val="24"/>
              <w:szCs w:val="24"/>
            </w:rPr>
            <w:t>scope</w:t>
          </w:r>
          <w:proofErr w:type="spellEnd"/>
          <w:r>
            <w:rPr>
              <w:rFonts w:ascii="Times New Roman" w:hAnsi="Times New Roman"/>
              <w:sz w:val="24"/>
              <w:szCs w:val="24"/>
            </w:rPr>
            <w:t xml:space="preserve"> </w:t>
          </w:r>
          <w:proofErr w:type="spellStart"/>
          <w:r>
            <w:rPr>
              <w:rFonts w:ascii="Times New Roman" w:hAnsi="Times New Roman"/>
              <w:sz w:val="24"/>
              <w:szCs w:val="24"/>
            </w:rPr>
            <w:t>of</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DPD</w:t>
          </w:r>
          <w:r w:rsidRPr="00BF63E8">
            <w:rPr>
              <w:rFonts w:ascii="Times New Roman" w:hAnsi="Times New Roman"/>
              <w:sz w:val="24"/>
              <w:szCs w:val="24"/>
            </w:rPr>
            <w:ptab w:relativeTo="margin" w:alignment="right" w:leader="dot"/>
          </w:r>
          <w:r w:rsidRPr="00BF63E8">
            <w:rPr>
              <w:rFonts w:ascii="Times New Roman" w:hAnsi="Times New Roman"/>
              <w:sz w:val="24"/>
              <w:szCs w:val="24"/>
            </w:rPr>
            <w:t>2</w:t>
          </w:r>
          <w:r>
            <w:rPr>
              <w:rFonts w:ascii="Times New Roman" w:hAnsi="Times New Roman"/>
              <w:sz w:val="24"/>
              <w:szCs w:val="24"/>
            </w:rPr>
            <w:t>6</w:t>
          </w:r>
        </w:p>
        <w:p w14:paraId="65A3426F" w14:textId="77777777" w:rsidR="00481564" w:rsidRPr="0078464E" w:rsidRDefault="00481564" w:rsidP="00481564">
          <w:pPr>
            <w:pStyle w:val="Sumrio3"/>
            <w:numPr>
              <w:ilvl w:val="1"/>
              <w:numId w:val="3"/>
            </w:numPr>
            <w:rPr>
              <w:rFonts w:ascii="Times New Roman" w:hAnsi="Times New Roman"/>
              <w:sz w:val="24"/>
              <w:szCs w:val="24"/>
              <w:lang w:val="en-GB"/>
            </w:rPr>
          </w:pPr>
          <w:r w:rsidRPr="0078464E">
            <w:rPr>
              <w:rFonts w:ascii="Times New Roman" w:hAnsi="Times New Roman"/>
              <w:sz w:val="24"/>
              <w:szCs w:val="24"/>
              <w:lang w:val="en-GB"/>
            </w:rPr>
            <w:t>An implicit right to be forgotten in the DPD</w:t>
          </w:r>
          <w:r w:rsidRPr="00BF63E8">
            <w:rPr>
              <w:rFonts w:ascii="Times New Roman" w:hAnsi="Times New Roman"/>
              <w:sz w:val="24"/>
              <w:szCs w:val="24"/>
            </w:rPr>
            <w:ptab w:relativeTo="margin" w:alignment="right" w:leader="dot"/>
          </w:r>
          <w:r w:rsidRPr="0078464E">
            <w:rPr>
              <w:rFonts w:ascii="Times New Roman" w:hAnsi="Times New Roman"/>
              <w:sz w:val="24"/>
              <w:szCs w:val="24"/>
              <w:lang w:val="en-GB"/>
            </w:rPr>
            <w:t>30</w:t>
          </w:r>
        </w:p>
        <w:p w14:paraId="43388885" w14:textId="77777777" w:rsidR="00481564" w:rsidRPr="0078464E" w:rsidRDefault="00481564" w:rsidP="00481564">
          <w:pPr>
            <w:pStyle w:val="Sumrio2"/>
            <w:numPr>
              <w:ilvl w:val="1"/>
              <w:numId w:val="3"/>
            </w:numPr>
            <w:rPr>
              <w:rFonts w:ascii="Times New Roman" w:hAnsi="Times New Roman"/>
              <w:sz w:val="24"/>
              <w:szCs w:val="24"/>
              <w:lang w:val="en-GB"/>
            </w:rPr>
          </w:pPr>
          <w:r w:rsidRPr="0078464E">
            <w:rPr>
              <w:rFonts w:ascii="Times New Roman" w:hAnsi="Times New Roman"/>
              <w:sz w:val="24"/>
              <w:szCs w:val="24"/>
              <w:lang w:val="en-GB"/>
            </w:rPr>
            <w:t>The aftermath: measures implemented by Google</w:t>
          </w:r>
          <w:r w:rsidRPr="00BF63E8">
            <w:rPr>
              <w:rFonts w:ascii="Times New Roman" w:hAnsi="Times New Roman"/>
              <w:sz w:val="24"/>
              <w:szCs w:val="24"/>
            </w:rPr>
            <w:ptab w:relativeTo="margin" w:alignment="right" w:leader="dot"/>
          </w:r>
          <w:r w:rsidRPr="0078464E">
            <w:rPr>
              <w:rFonts w:ascii="Times New Roman" w:hAnsi="Times New Roman"/>
              <w:sz w:val="24"/>
              <w:szCs w:val="24"/>
              <w:lang w:val="en-GB"/>
            </w:rPr>
            <w:t>33</w:t>
          </w:r>
        </w:p>
        <w:p w14:paraId="6ADA3B3E" w14:textId="77777777" w:rsidR="00481564" w:rsidRDefault="00481564" w:rsidP="00481564">
          <w:pPr>
            <w:pStyle w:val="Sumrio1"/>
            <w:numPr>
              <w:ilvl w:val="0"/>
              <w:numId w:val="3"/>
            </w:numPr>
            <w:rPr>
              <w:rFonts w:ascii="Times New Roman" w:hAnsi="Times New Roman"/>
              <w:b/>
              <w:bCs/>
              <w:sz w:val="24"/>
              <w:szCs w:val="24"/>
            </w:rPr>
          </w:pPr>
          <w:r w:rsidRPr="00BF63E8">
            <w:rPr>
              <w:rFonts w:ascii="Times New Roman" w:hAnsi="Times New Roman"/>
              <w:b/>
              <w:bCs/>
              <w:i/>
              <w:iCs/>
              <w:sz w:val="24"/>
              <w:szCs w:val="24"/>
            </w:rPr>
            <w:t xml:space="preserve">GC </w:t>
          </w:r>
          <w:proofErr w:type="spellStart"/>
          <w:r w:rsidRPr="00BF63E8">
            <w:rPr>
              <w:rFonts w:ascii="Times New Roman" w:hAnsi="Times New Roman"/>
              <w:b/>
              <w:bCs/>
              <w:i/>
              <w:iCs/>
              <w:sz w:val="24"/>
              <w:szCs w:val="24"/>
            </w:rPr>
            <w:t>and</w:t>
          </w:r>
          <w:proofErr w:type="spellEnd"/>
          <w:r w:rsidRPr="00BF63E8">
            <w:rPr>
              <w:rFonts w:ascii="Times New Roman" w:hAnsi="Times New Roman"/>
              <w:b/>
              <w:bCs/>
              <w:i/>
              <w:iCs/>
              <w:sz w:val="24"/>
              <w:szCs w:val="24"/>
            </w:rPr>
            <w:t xml:space="preserve"> </w:t>
          </w:r>
          <w:proofErr w:type="spellStart"/>
          <w:r w:rsidRPr="00BF63E8">
            <w:rPr>
              <w:rFonts w:ascii="Times New Roman" w:hAnsi="Times New Roman"/>
              <w:b/>
              <w:bCs/>
              <w:i/>
              <w:iCs/>
              <w:sz w:val="24"/>
              <w:szCs w:val="24"/>
            </w:rPr>
            <w:t>Others</w:t>
          </w:r>
          <w:proofErr w:type="spellEnd"/>
          <w:r w:rsidRPr="00BF63E8">
            <w:rPr>
              <w:rFonts w:ascii="Times New Roman" w:hAnsi="Times New Roman"/>
              <w:b/>
              <w:bCs/>
              <w:sz w:val="24"/>
              <w:szCs w:val="24"/>
            </w:rPr>
            <w:t xml:space="preserve"> (C-136/17)</w:t>
          </w:r>
          <w:r w:rsidRPr="00BF63E8">
            <w:rPr>
              <w:rFonts w:ascii="Times New Roman" w:hAnsi="Times New Roman"/>
              <w:sz w:val="24"/>
              <w:szCs w:val="24"/>
            </w:rPr>
            <w:ptab w:relativeTo="margin" w:alignment="right" w:leader="dot"/>
          </w:r>
          <w:r>
            <w:rPr>
              <w:rFonts w:ascii="Times New Roman" w:hAnsi="Times New Roman"/>
              <w:b/>
              <w:bCs/>
              <w:sz w:val="24"/>
              <w:szCs w:val="24"/>
            </w:rPr>
            <w:t>36</w:t>
          </w:r>
        </w:p>
        <w:p w14:paraId="511FAD10" w14:textId="77777777" w:rsidR="00481564" w:rsidRPr="00BF63E8" w:rsidRDefault="00481564" w:rsidP="00481564">
          <w:pPr>
            <w:pStyle w:val="Sumrio3"/>
            <w:numPr>
              <w:ilvl w:val="1"/>
              <w:numId w:val="3"/>
            </w:numPr>
            <w:rPr>
              <w:rFonts w:ascii="Times New Roman" w:hAnsi="Times New Roman"/>
              <w:sz w:val="24"/>
              <w:szCs w:val="24"/>
            </w:rPr>
          </w:pPr>
          <w:proofErr w:type="spellStart"/>
          <w:r>
            <w:rPr>
              <w:rFonts w:ascii="Times New Roman" w:hAnsi="Times New Roman"/>
              <w:sz w:val="24"/>
              <w:szCs w:val="24"/>
            </w:rPr>
            <w:t>Facts</w:t>
          </w:r>
          <w:proofErr w:type="spellEnd"/>
          <w:r w:rsidRPr="00BF63E8">
            <w:rPr>
              <w:rFonts w:ascii="Times New Roman" w:hAnsi="Times New Roman"/>
              <w:sz w:val="24"/>
              <w:szCs w:val="24"/>
            </w:rPr>
            <w:ptab w:relativeTo="margin" w:alignment="right" w:leader="dot"/>
          </w:r>
          <w:r w:rsidRPr="00BF63E8">
            <w:rPr>
              <w:rFonts w:ascii="Times New Roman" w:hAnsi="Times New Roman"/>
              <w:sz w:val="24"/>
              <w:szCs w:val="24"/>
            </w:rPr>
            <w:t>3</w:t>
          </w:r>
          <w:r>
            <w:rPr>
              <w:rFonts w:ascii="Times New Roman" w:hAnsi="Times New Roman"/>
              <w:sz w:val="24"/>
              <w:szCs w:val="24"/>
            </w:rPr>
            <w:t>6</w:t>
          </w:r>
        </w:p>
        <w:p w14:paraId="473F1C3F" w14:textId="77777777" w:rsidR="00481564" w:rsidRPr="0078464E" w:rsidRDefault="00481564" w:rsidP="00481564">
          <w:pPr>
            <w:pStyle w:val="Sumrio3"/>
            <w:numPr>
              <w:ilvl w:val="1"/>
              <w:numId w:val="3"/>
            </w:numPr>
            <w:rPr>
              <w:rFonts w:ascii="Times New Roman" w:hAnsi="Times New Roman"/>
              <w:sz w:val="24"/>
              <w:szCs w:val="24"/>
              <w:lang w:val="en-GB"/>
            </w:rPr>
          </w:pPr>
          <w:r w:rsidRPr="0078464E">
            <w:rPr>
              <w:rFonts w:ascii="Times New Roman" w:hAnsi="Times New Roman"/>
              <w:sz w:val="24"/>
              <w:szCs w:val="24"/>
              <w:lang w:val="en-GB"/>
            </w:rPr>
            <w:t>The general prohibition of processing sensitive data and its corresponding exceptions</w:t>
          </w:r>
          <w:r w:rsidRPr="00BF63E8">
            <w:rPr>
              <w:rFonts w:ascii="Times New Roman" w:hAnsi="Times New Roman"/>
              <w:sz w:val="24"/>
              <w:szCs w:val="24"/>
            </w:rPr>
            <w:ptab w:relativeTo="margin" w:alignment="right" w:leader="dot"/>
          </w:r>
          <w:r w:rsidRPr="0078464E">
            <w:rPr>
              <w:rFonts w:ascii="Times New Roman" w:hAnsi="Times New Roman"/>
              <w:sz w:val="24"/>
              <w:szCs w:val="24"/>
              <w:lang w:val="en-GB"/>
            </w:rPr>
            <w:t>37</w:t>
          </w:r>
        </w:p>
        <w:p w14:paraId="5B2B8A21" w14:textId="384EF9A2" w:rsidR="00481564" w:rsidRPr="00BF63E8" w:rsidRDefault="00481564" w:rsidP="00481564">
          <w:pPr>
            <w:pStyle w:val="Sumrio3"/>
            <w:numPr>
              <w:ilvl w:val="1"/>
              <w:numId w:val="3"/>
            </w:numPr>
            <w:rPr>
              <w:rFonts w:ascii="Times New Roman" w:hAnsi="Times New Roman"/>
              <w:sz w:val="24"/>
              <w:szCs w:val="24"/>
            </w:rPr>
          </w:pPr>
          <w:r w:rsidRPr="0078464E">
            <w:rPr>
              <w:rFonts w:ascii="Times New Roman" w:hAnsi="Times New Roman"/>
              <w:sz w:val="24"/>
              <w:szCs w:val="24"/>
              <w:lang w:val="en-GB"/>
            </w:rPr>
            <w:t>The grant of a de-referencing request involving sensitive data: mandatory o</w:t>
          </w:r>
          <w:r w:rsidR="00674DC5">
            <w:rPr>
              <w:rFonts w:ascii="Times New Roman" w:hAnsi="Times New Roman"/>
              <w:sz w:val="24"/>
              <w:szCs w:val="24"/>
              <w:lang w:val="en-GB"/>
            </w:rPr>
            <w:t>r</w:t>
          </w:r>
          <w:r w:rsidRPr="0078464E">
            <w:rPr>
              <w:rFonts w:ascii="Times New Roman" w:hAnsi="Times New Roman"/>
              <w:sz w:val="24"/>
              <w:szCs w:val="24"/>
              <w:lang w:val="en-GB"/>
            </w:rPr>
            <w:t xml:space="preserve"> discretionary?</w:t>
          </w:r>
          <w:r w:rsidRPr="00BF63E8">
            <w:rPr>
              <w:rFonts w:ascii="Times New Roman" w:hAnsi="Times New Roman"/>
              <w:sz w:val="24"/>
              <w:szCs w:val="24"/>
            </w:rPr>
            <w:ptab w:relativeTo="margin" w:alignment="right" w:leader="dot"/>
          </w:r>
          <w:r w:rsidRPr="00BF63E8">
            <w:rPr>
              <w:rFonts w:ascii="Times New Roman" w:hAnsi="Times New Roman"/>
              <w:sz w:val="24"/>
              <w:szCs w:val="24"/>
            </w:rPr>
            <w:t>3</w:t>
          </w:r>
          <w:r>
            <w:rPr>
              <w:rFonts w:ascii="Times New Roman" w:hAnsi="Times New Roman"/>
              <w:sz w:val="24"/>
              <w:szCs w:val="24"/>
            </w:rPr>
            <w:t>9</w:t>
          </w:r>
        </w:p>
        <w:p w14:paraId="305F0DBF" w14:textId="77777777" w:rsidR="00481564" w:rsidRPr="0078464E" w:rsidRDefault="00481564" w:rsidP="00481564">
          <w:pPr>
            <w:pStyle w:val="Sumrio3"/>
            <w:numPr>
              <w:ilvl w:val="1"/>
              <w:numId w:val="3"/>
            </w:numPr>
            <w:rPr>
              <w:rFonts w:ascii="Times New Roman" w:hAnsi="Times New Roman"/>
              <w:sz w:val="24"/>
              <w:szCs w:val="24"/>
              <w:lang w:val="en-GB"/>
            </w:rPr>
          </w:pPr>
          <w:r w:rsidRPr="0078464E">
            <w:rPr>
              <w:rFonts w:ascii="Times New Roman" w:hAnsi="Times New Roman"/>
              <w:sz w:val="24"/>
              <w:szCs w:val="24"/>
              <w:lang w:val="en-GB"/>
            </w:rPr>
            <w:t>Personal data relating to criminal convictions and offences</w:t>
          </w:r>
          <w:r w:rsidRPr="00BF63E8">
            <w:rPr>
              <w:rFonts w:ascii="Times New Roman" w:hAnsi="Times New Roman"/>
              <w:sz w:val="24"/>
              <w:szCs w:val="24"/>
            </w:rPr>
            <w:ptab w:relativeTo="margin" w:alignment="right" w:leader="dot"/>
          </w:r>
          <w:r w:rsidRPr="0078464E">
            <w:rPr>
              <w:rFonts w:ascii="Times New Roman" w:hAnsi="Times New Roman"/>
              <w:sz w:val="24"/>
              <w:szCs w:val="24"/>
              <w:lang w:val="en-GB"/>
            </w:rPr>
            <w:t>43</w:t>
          </w:r>
        </w:p>
        <w:p w14:paraId="499F3898" w14:textId="77777777" w:rsidR="00481564" w:rsidRDefault="00481564" w:rsidP="00481564">
          <w:pPr>
            <w:pStyle w:val="Sumrio1"/>
            <w:numPr>
              <w:ilvl w:val="0"/>
              <w:numId w:val="3"/>
            </w:numPr>
            <w:rPr>
              <w:rFonts w:ascii="Times New Roman" w:hAnsi="Times New Roman"/>
              <w:b/>
              <w:bCs/>
              <w:sz w:val="24"/>
              <w:szCs w:val="24"/>
            </w:rPr>
          </w:pPr>
          <w:r w:rsidRPr="00236635">
            <w:rPr>
              <w:rFonts w:ascii="Times New Roman" w:hAnsi="Times New Roman"/>
              <w:b/>
              <w:bCs/>
              <w:i/>
              <w:iCs/>
              <w:sz w:val="24"/>
              <w:szCs w:val="24"/>
            </w:rPr>
            <w:t>Google v CNIL</w:t>
          </w:r>
          <w:r w:rsidRPr="00BF63E8">
            <w:rPr>
              <w:rFonts w:ascii="Times New Roman" w:hAnsi="Times New Roman"/>
              <w:b/>
              <w:bCs/>
              <w:sz w:val="24"/>
              <w:szCs w:val="24"/>
            </w:rPr>
            <w:t xml:space="preserve"> (C-507/17)</w:t>
          </w:r>
          <w:r w:rsidRPr="00BF63E8">
            <w:rPr>
              <w:rFonts w:ascii="Times New Roman" w:hAnsi="Times New Roman"/>
              <w:sz w:val="24"/>
              <w:szCs w:val="24"/>
            </w:rPr>
            <w:ptab w:relativeTo="margin" w:alignment="right" w:leader="dot"/>
          </w:r>
          <w:r>
            <w:rPr>
              <w:rFonts w:ascii="Times New Roman" w:hAnsi="Times New Roman"/>
              <w:b/>
              <w:bCs/>
              <w:sz w:val="24"/>
              <w:szCs w:val="24"/>
            </w:rPr>
            <w:t>46</w:t>
          </w:r>
        </w:p>
        <w:p w14:paraId="7C4B01BF" w14:textId="77777777" w:rsidR="00481564" w:rsidRPr="00BF63E8" w:rsidRDefault="00481564" w:rsidP="00481564">
          <w:pPr>
            <w:pStyle w:val="Sumrio3"/>
            <w:numPr>
              <w:ilvl w:val="1"/>
              <w:numId w:val="3"/>
            </w:numPr>
            <w:rPr>
              <w:rFonts w:ascii="Times New Roman" w:hAnsi="Times New Roman"/>
              <w:sz w:val="24"/>
              <w:szCs w:val="24"/>
            </w:rPr>
          </w:pPr>
          <w:proofErr w:type="spellStart"/>
          <w:r>
            <w:rPr>
              <w:rFonts w:ascii="Times New Roman" w:hAnsi="Times New Roman"/>
              <w:sz w:val="24"/>
              <w:szCs w:val="24"/>
            </w:rPr>
            <w:t>Facts</w:t>
          </w:r>
          <w:proofErr w:type="spellEnd"/>
          <w:r w:rsidRPr="00BF63E8">
            <w:rPr>
              <w:rFonts w:ascii="Times New Roman" w:hAnsi="Times New Roman"/>
              <w:sz w:val="24"/>
              <w:szCs w:val="24"/>
            </w:rPr>
            <w:ptab w:relativeTo="margin" w:alignment="right" w:leader="dot"/>
          </w:r>
          <w:r>
            <w:rPr>
              <w:rFonts w:ascii="Times New Roman" w:hAnsi="Times New Roman"/>
              <w:sz w:val="24"/>
              <w:szCs w:val="24"/>
            </w:rPr>
            <w:t>46</w:t>
          </w:r>
        </w:p>
        <w:p w14:paraId="648EF71E" w14:textId="77777777" w:rsidR="00481564" w:rsidRPr="0078464E" w:rsidRDefault="00481564" w:rsidP="00481564">
          <w:pPr>
            <w:pStyle w:val="Sumrio3"/>
            <w:numPr>
              <w:ilvl w:val="1"/>
              <w:numId w:val="3"/>
            </w:numPr>
            <w:rPr>
              <w:rFonts w:ascii="Times New Roman" w:hAnsi="Times New Roman"/>
              <w:sz w:val="24"/>
              <w:szCs w:val="24"/>
              <w:lang w:val="en-GB"/>
            </w:rPr>
          </w:pPr>
          <w:r w:rsidRPr="0078464E">
            <w:rPr>
              <w:rFonts w:ascii="Times New Roman" w:hAnsi="Times New Roman"/>
              <w:sz w:val="24"/>
              <w:szCs w:val="24"/>
              <w:lang w:val="en-GB"/>
            </w:rPr>
            <w:t xml:space="preserve">The establishment of worldwide de-referencing </w:t>
          </w:r>
          <w:proofErr w:type="gramStart"/>
          <w:r w:rsidRPr="0078464E">
            <w:rPr>
              <w:rFonts w:ascii="Times New Roman" w:hAnsi="Times New Roman"/>
              <w:sz w:val="24"/>
              <w:szCs w:val="24"/>
              <w:lang w:val="en-GB"/>
            </w:rPr>
            <w:t>on the basis of</w:t>
          </w:r>
          <w:proofErr w:type="gramEnd"/>
          <w:r w:rsidRPr="0078464E">
            <w:rPr>
              <w:rFonts w:ascii="Times New Roman" w:hAnsi="Times New Roman"/>
              <w:sz w:val="24"/>
              <w:szCs w:val="24"/>
              <w:lang w:val="en-GB"/>
            </w:rPr>
            <w:t xml:space="preserve"> EU law</w:t>
          </w:r>
          <w:r w:rsidRPr="00BF63E8">
            <w:rPr>
              <w:rFonts w:ascii="Times New Roman" w:hAnsi="Times New Roman"/>
              <w:sz w:val="24"/>
              <w:szCs w:val="24"/>
            </w:rPr>
            <w:ptab w:relativeTo="margin" w:alignment="right" w:leader="dot"/>
          </w:r>
          <w:r w:rsidRPr="0078464E">
            <w:rPr>
              <w:rFonts w:ascii="Times New Roman" w:hAnsi="Times New Roman"/>
              <w:sz w:val="24"/>
              <w:szCs w:val="24"/>
              <w:lang w:val="en-GB"/>
            </w:rPr>
            <w:t>47</w:t>
          </w:r>
        </w:p>
        <w:p w14:paraId="5BAB281E" w14:textId="58C4E945" w:rsidR="00481564" w:rsidRPr="009F4889" w:rsidRDefault="00481564" w:rsidP="00481564">
          <w:pPr>
            <w:pStyle w:val="Sumrio3"/>
            <w:numPr>
              <w:ilvl w:val="1"/>
              <w:numId w:val="3"/>
            </w:numPr>
            <w:rPr>
              <w:rFonts w:ascii="Times New Roman" w:hAnsi="Times New Roman"/>
              <w:sz w:val="24"/>
              <w:szCs w:val="24"/>
              <w:lang w:val="en-GB"/>
            </w:rPr>
          </w:pPr>
          <w:r w:rsidRPr="009F4889">
            <w:rPr>
              <w:rFonts w:ascii="Times New Roman" w:hAnsi="Times New Roman"/>
              <w:sz w:val="24"/>
              <w:szCs w:val="24"/>
              <w:lang w:val="en-GB"/>
            </w:rPr>
            <w:t>De-referencing at n</w:t>
          </w:r>
          <w:r w:rsidR="00674DC5">
            <w:rPr>
              <w:rFonts w:ascii="Times New Roman" w:hAnsi="Times New Roman"/>
              <w:sz w:val="24"/>
              <w:szCs w:val="24"/>
              <w:lang w:val="en-GB"/>
            </w:rPr>
            <w:t>at</w:t>
          </w:r>
          <w:r w:rsidRPr="009F4889">
            <w:rPr>
              <w:rFonts w:ascii="Times New Roman" w:hAnsi="Times New Roman"/>
              <w:sz w:val="24"/>
              <w:szCs w:val="24"/>
              <w:lang w:val="en-GB"/>
            </w:rPr>
            <w:t>ional level or</w:t>
          </w:r>
          <w:r w:rsidR="009F4889" w:rsidRPr="009F4889">
            <w:rPr>
              <w:rFonts w:ascii="Times New Roman" w:hAnsi="Times New Roman"/>
              <w:sz w:val="24"/>
              <w:szCs w:val="24"/>
              <w:lang w:val="en-GB"/>
            </w:rPr>
            <w:t xml:space="preserve"> a</w:t>
          </w:r>
          <w:r w:rsidRPr="009F4889">
            <w:rPr>
              <w:rFonts w:ascii="Times New Roman" w:hAnsi="Times New Roman"/>
              <w:sz w:val="24"/>
              <w:szCs w:val="24"/>
              <w:lang w:val="en-GB"/>
            </w:rPr>
            <w:t>t EU level</w:t>
          </w:r>
          <w:r w:rsidRPr="00BF63E8">
            <w:rPr>
              <w:rFonts w:ascii="Times New Roman" w:hAnsi="Times New Roman"/>
              <w:sz w:val="24"/>
              <w:szCs w:val="24"/>
            </w:rPr>
            <w:ptab w:relativeTo="margin" w:alignment="right" w:leader="dot"/>
          </w:r>
          <w:r w:rsidRPr="009F4889">
            <w:rPr>
              <w:rFonts w:ascii="Times New Roman" w:hAnsi="Times New Roman"/>
              <w:sz w:val="24"/>
              <w:szCs w:val="24"/>
              <w:lang w:val="en-GB"/>
            </w:rPr>
            <w:t>51</w:t>
          </w:r>
        </w:p>
        <w:p w14:paraId="502EE828" w14:textId="77777777" w:rsidR="00481564" w:rsidRPr="0078464E" w:rsidRDefault="00481564" w:rsidP="00481564">
          <w:pPr>
            <w:pStyle w:val="Sumrio1"/>
            <w:numPr>
              <w:ilvl w:val="0"/>
              <w:numId w:val="3"/>
            </w:numPr>
            <w:rPr>
              <w:rFonts w:ascii="Times New Roman" w:hAnsi="Times New Roman"/>
              <w:b/>
              <w:bCs/>
              <w:sz w:val="24"/>
              <w:szCs w:val="24"/>
              <w:lang w:val="en-GB"/>
            </w:rPr>
          </w:pPr>
          <w:r w:rsidRPr="0078464E">
            <w:rPr>
              <w:rFonts w:ascii="Times New Roman" w:hAnsi="Times New Roman"/>
              <w:b/>
              <w:bCs/>
              <w:sz w:val="24"/>
              <w:szCs w:val="24"/>
              <w:lang w:val="en-GB"/>
            </w:rPr>
            <w:t>Proposed solutions to enhance the implementation of the de-referencing right</w:t>
          </w:r>
          <w:r w:rsidRPr="00BF63E8">
            <w:rPr>
              <w:rFonts w:ascii="Times New Roman" w:hAnsi="Times New Roman"/>
              <w:sz w:val="24"/>
              <w:szCs w:val="24"/>
            </w:rPr>
            <w:ptab w:relativeTo="margin" w:alignment="right" w:leader="dot"/>
          </w:r>
          <w:r w:rsidRPr="0078464E">
            <w:rPr>
              <w:rFonts w:ascii="Times New Roman" w:hAnsi="Times New Roman"/>
              <w:b/>
              <w:bCs/>
              <w:sz w:val="24"/>
              <w:szCs w:val="24"/>
              <w:lang w:val="en-GB"/>
            </w:rPr>
            <w:t>56</w:t>
          </w:r>
        </w:p>
        <w:p w14:paraId="328D1788" w14:textId="77777777" w:rsidR="00481564" w:rsidRPr="00BF63E8" w:rsidRDefault="00481564" w:rsidP="00481564">
          <w:pPr>
            <w:pStyle w:val="Sumrio3"/>
            <w:numPr>
              <w:ilvl w:val="1"/>
              <w:numId w:val="3"/>
            </w:numPr>
            <w:rPr>
              <w:rFonts w:ascii="Times New Roman" w:hAnsi="Times New Roman"/>
              <w:sz w:val="24"/>
              <w:szCs w:val="24"/>
            </w:rPr>
          </w:pPr>
          <w:proofErr w:type="spellStart"/>
          <w:r>
            <w:rPr>
              <w:rFonts w:ascii="Times New Roman" w:hAnsi="Times New Roman"/>
              <w:sz w:val="24"/>
              <w:szCs w:val="24"/>
            </w:rPr>
            <w:t>Expiration</w:t>
          </w:r>
          <w:proofErr w:type="spellEnd"/>
          <w:r>
            <w:rPr>
              <w:rFonts w:ascii="Times New Roman" w:hAnsi="Times New Roman"/>
              <w:sz w:val="24"/>
              <w:szCs w:val="24"/>
            </w:rPr>
            <w:t xml:space="preserve"> dates</w:t>
          </w:r>
          <w:r w:rsidRPr="00BF63E8">
            <w:rPr>
              <w:rFonts w:ascii="Times New Roman" w:hAnsi="Times New Roman"/>
              <w:sz w:val="24"/>
              <w:szCs w:val="24"/>
            </w:rPr>
            <w:ptab w:relativeTo="margin" w:alignment="right" w:leader="dot"/>
          </w:r>
          <w:r>
            <w:rPr>
              <w:rFonts w:ascii="Times New Roman" w:hAnsi="Times New Roman"/>
              <w:sz w:val="24"/>
              <w:szCs w:val="24"/>
            </w:rPr>
            <w:t>56</w:t>
          </w:r>
        </w:p>
        <w:p w14:paraId="69CC7D71" w14:textId="77777777" w:rsidR="00481564" w:rsidRPr="00BF63E8" w:rsidRDefault="00481564" w:rsidP="00481564">
          <w:pPr>
            <w:pStyle w:val="Sumrio3"/>
            <w:numPr>
              <w:ilvl w:val="1"/>
              <w:numId w:val="3"/>
            </w:numPr>
            <w:rPr>
              <w:rFonts w:ascii="Times New Roman" w:hAnsi="Times New Roman"/>
              <w:sz w:val="24"/>
              <w:szCs w:val="24"/>
            </w:rPr>
          </w:pPr>
          <w:proofErr w:type="spellStart"/>
          <w:r>
            <w:rPr>
              <w:rFonts w:ascii="Times New Roman" w:hAnsi="Times New Roman"/>
              <w:sz w:val="24"/>
              <w:szCs w:val="24"/>
            </w:rPr>
            <w:t>Segmentation</w:t>
          </w:r>
          <w:proofErr w:type="spellEnd"/>
          <w:r w:rsidRPr="00BF63E8">
            <w:rPr>
              <w:rFonts w:ascii="Times New Roman" w:hAnsi="Times New Roman"/>
              <w:sz w:val="24"/>
              <w:szCs w:val="24"/>
            </w:rPr>
            <w:ptab w:relativeTo="margin" w:alignment="right" w:leader="dot"/>
          </w:r>
          <w:r>
            <w:rPr>
              <w:rFonts w:ascii="Times New Roman" w:hAnsi="Times New Roman"/>
              <w:sz w:val="24"/>
              <w:szCs w:val="24"/>
            </w:rPr>
            <w:t>58</w:t>
          </w:r>
        </w:p>
        <w:p w14:paraId="64F54B5D" w14:textId="77777777" w:rsidR="00481564" w:rsidRPr="00BF63E8" w:rsidRDefault="00481564" w:rsidP="00481564">
          <w:pPr>
            <w:pStyle w:val="Sumrio3"/>
            <w:numPr>
              <w:ilvl w:val="1"/>
              <w:numId w:val="3"/>
            </w:numPr>
            <w:rPr>
              <w:rFonts w:ascii="Times New Roman" w:hAnsi="Times New Roman"/>
              <w:sz w:val="24"/>
              <w:szCs w:val="24"/>
            </w:rPr>
          </w:pPr>
          <w:proofErr w:type="spellStart"/>
          <w:r>
            <w:rPr>
              <w:rFonts w:ascii="Times New Roman" w:hAnsi="Times New Roman"/>
              <w:sz w:val="24"/>
              <w:szCs w:val="24"/>
            </w:rPr>
            <w:t>Pseudonymisation</w:t>
          </w:r>
          <w:proofErr w:type="spellEnd"/>
          <w:r w:rsidRPr="00BF63E8">
            <w:rPr>
              <w:rFonts w:ascii="Times New Roman" w:hAnsi="Times New Roman"/>
              <w:sz w:val="24"/>
              <w:szCs w:val="24"/>
            </w:rPr>
            <w:ptab w:relativeTo="margin" w:alignment="right" w:leader="dot"/>
          </w:r>
          <w:r>
            <w:rPr>
              <w:rFonts w:ascii="Times New Roman" w:hAnsi="Times New Roman"/>
              <w:sz w:val="24"/>
              <w:szCs w:val="24"/>
            </w:rPr>
            <w:t>59</w:t>
          </w:r>
        </w:p>
        <w:p w14:paraId="31591D88" w14:textId="77777777" w:rsidR="00481564" w:rsidRPr="00BF63E8" w:rsidRDefault="00481564" w:rsidP="00481564">
          <w:pPr>
            <w:pStyle w:val="Sumrio3"/>
            <w:numPr>
              <w:ilvl w:val="1"/>
              <w:numId w:val="3"/>
            </w:numPr>
            <w:rPr>
              <w:rFonts w:ascii="Times New Roman" w:hAnsi="Times New Roman"/>
              <w:sz w:val="24"/>
              <w:szCs w:val="24"/>
            </w:rPr>
          </w:pPr>
          <w:proofErr w:type="spellStart"/>
          <w:r>
            <w:rPr>
              <w:rFonts w:ascii="Times New Roman" w:hAnsi="Times New Roman"/>
              <w:sz w:val="24"/>
              <w:szCs w:val="24"/>
            </w:rPr>
            <w:t>Public-private</w:t>
          </w:r>
          <w:proofErr w:type="spellEnd"/>
          <w:r>
            <w:rPr>
              <w:rFonts w:ascii="Times New Roman" w:hAnsi="Times New Roman"/>
              <w:sz w:val="24"/>
              <w:szCs w:val="24"/>
            </w:rPr>
            <w:t xml:space="preserve"> </w:t>
          </w:r>
          <w:proofErr w:type="spellStart"/>
          <w:r>
            <w:rPr>
              <w:rFonts w:ascii="Times New Roman" w:hAnsi="Times New Roman"/>
              <w:sz w:val="24"/>
              <w:szCs w:val="24"/>
            </w:rPr>
            <w:t>partnership</w:t>
          </w:r>
          <w:proofErr w:type="spellEnd"/>
          <w:r w:rsidRPr="00BF63E8">
            <w:rPr>
              <w:rFonts w:ascii="Times New Roman" w:hAnsi="Times New Roman"/>
              <w:sz w:val="24"/>
              <w:szCs w:val="24"/>
            </w:rPr>
            <w:ptab w:relativeTo="margin" w:alignment="right" w:leader="dot"/>
          </w:r>
          <w:r>
            <w:rPr>
              <w:rFonts w:ascii="Times New Roman" w:hAnsi="Times New Roman"/>
              <w:sz w:val="24"/>
              <w:szCs w:val="24"/>
            </w:rPr>
            <w:t>59</w:t>
          </w:r>
        </w:p>
        <w:p w14:paraId="42CEAFB7" w14:textId="77777777" w:rsidR="00481564" w:rsidRPr="00BF63E8" w:rsidRDefault="00481564" w:rsidP="00481564">
          <w:pPr>
            <w:pStyle w:val="Sumrio1"/>
            <w:numPr>
              <w:ilvl w:val="0"/>
              <w:numId w:val="3"/>
            </w:numPr>
            <w:rPr>
              <w:rFonts w:ascii="Times New Roman" w:hAnsi="Times New Roman"/>
              <w:b/>
              <w:bCs/>
              <w:sz w:val="24"/>
              <w:szCs w:val="24"/>
            </w:rPr>
          </w:pPr>
          <w:proofErr w:type="spellStart"/>
          <w:r w:rsidRPr="00BF63E8">
            <w:rPr>
              <w:rFonts w:ascii="Times New Roman" w:hAnsi="Times New Roman"/>
              <w:b/>
              <w:bCs/>
              <w:sz w:val="24"/>
              <w:szCs w:val="24"/>
            </w:rPr>
            <w:t>Conclusion</w:t>
          </w:r>
          <w:proofErr w:type="spellEnd"/>
          <w:r w:rsidRPr="00BF63E8">
            <w:rPr>
              <w:rFonts w:ascii="Times New Roman" w:hAnsi="Times New Roman"/>
              <w:sz w:val="24"/>
              <w:szCs w:val="24"/>
            </w:rPr>
            <w:ptab w:relativeTo="margin" w:alignment="right" w:leader="dot"/>
          </w:r>
          <w:r>
            <w:rPr>
              <w:rFonts w:ascii="Times New Roman" w:hAnsi="Times New Roman"/>
              <w:b/>
              <w:bCs/>
              <w:sz w:val="24"/>
              <w:szCs w:val="24"/>
            </w:rPr>
            <w:t>62</w:t>
          </w:r>
        </w:p>
        <w:p w14:paraId="2F254350" w14:textId="0D3476EA" w:rsidR="00481564" w:rsidRPr="00971B7D" w:rsidRDefault="00481564" w:rsidP="00971B7D">
          <w:pPr>
            <w:pStyle w:val="Sumrio1"/>
            <w:rPr>
              <w:rFonts w:ascii="Times New Roman" w:hAnsi="Times New Roman"/>
              <w:b/>
              <w:bCs/>
              <w:sz w:val="24"/>
              <w:szCs w:val="24"/>
            </w:rPr>
          </w:pPr>
          <w:proofErr w:type="spellStart"/>
          <w:r>
            <w:rPr>
              <w:rFonts w:ascii="Times New Roman" w:hAnsi="Times New Roman"/>
              <w:b/>
              <w:bCs/>
              <w:sz w:val="24"/>
              <w:szCs w:val="24"/>
            </w:rPr>
            <w:t>Bibliography</w:t>
          </w:r>
          <w:proofErr w:type="spellEnd"/>
          <w:r w:rsidRPr="00BF63E8">
            <w:rPr>
              <w:rFonts w:ascii="Times New Roman" w:hAnsi="Times New Roman"/>
              <w:sz w:val="24"/>
              <w:szCs w:val="24"/>
            </w:rPr>
            <w:ptab w:relativeTo="margin" w:alignment="right" w:leader="dot"/>
          </w:r>
          <w:r>
            <w:rPr>
              <w:rFonts w:ascii="Times New Roman" w:hAnsi="Times New Roman"/>
              <w:b/>
              <w:bCs/>
              <w:sz w:val="24"/>
              <w:szCs w:val="24"/>
            </w:rPr>
            <w:t>64</w:t>
          </w:r>
        </w:p>
      </w:sdtContent>
    </w:sdt>
    <w:p w14:paraId="6BA79A5D" w14:textId="4311A56D" w:rsidR="00481564" w:rsidRPr="00674DC5" w:rsidRDefault="00971B7D" w:rsidP="00481564">
      <w:pPr>
        <w:jc w:val="both"/>
        <w:rPr>
          <w:rFonts w:ascii="Times New Roman" w:hAnsi="Times New Roman" w:cs="Times New Roman"/>
          <w:b/>
          <w:bCs/>
          <w:sz w:val="24"/>
          <w:szCs w:val="24"/>
        </w:rPr>
      </w:pPr>
      <w:r>
        <w:rPr>
          <w:rFonts w:ascii="Times New Roman" w:hAnsi="Times New Roman" w:cs="Times New Roman"/>
          <w:b/>
          <w:bCs/>
          <w:sz w:val="24"/>
          <w:szCs w:val="24"/>
        </w:rPr>
        <w:lastRenderedPageBreak/>
        <w:t>L</w:t>
      </w:r>
      <w:r w:rsidR="00481564" w:rsidRPr="00674DC5">
        <w:rPr>
          <w:rFonts w:ascii="Times New Roman" w:hAnsi="Times New Roman" w:cs="Times New Roman"/>
          <w:b/>
          <w:bCs/>
          <w:sz w:val="24"/>
          <w:szCs w:val="24"/>
        </w:rPr>
        <w:t>ist of acronyms and abbreviations</w:t>
      </w:r>
    </w:p>
    <w:p w14:paraId="5164FB6E" w14:textId="77777777" w:rsidR="003542D6" w:rsidRDefault="003542D6" w:rsidP="003542D6">
      <w:pPr>
        <w:jc w:val="both"/>
        <w:rPr>
          <w:rFonts w:ascii="Times New Roman" w:hAnsi="Times New Roman" w:cs="Times New Roman"/>
          <w:sz w:val="24"/>
          <w:szCs w:val="24"/>
        </w:rPr>
      </w:pPr>
    </w:p>
    <w:p w14:paraId="076F9810" w14:textId="646F9460" w:rsidR="003542D6" w:rsidRPr="00DC57DC" w:rsidRDefault="003542D6" w:rsidP="003542D6">
      <w:pPr>
        <w:jc w:val="both"/>
        <w:rPr>
          <w:rFonts w:ascii="Times New Roman" w:hAnsi="Times New Roman" w:cs="Times New Roman"/>
          <w:sz w:val="24"/>
          <w:szCs w:val="24"/>
        </w:rPr>
      </w:pPr>
      <w:r w:rsidRPr="00DC57DC">
        <w:rPr>
          <w:rFonts w:ascii="Times New Roman" w:hAnsi="Times New Roman" w:cs="Times New Roman"/>
          <w:sz w:val="24"/>
          <w:szCs w:val="24"/>
        </w:rPr>
        <w:t xml:space="preserve">CJEU </w:t>
      </w:r>
      <w:r w:rsidR="00631CAF">
        <w:rPr>
          <w:rFonts w:ascii="Times New Roman" w:hAnsi="Times New Roman" w:cs="Times New Roman"/>
          <w:sz w:val="24"/>
          <w:szCs w:val="24"/>
        </w:rPr>
        <w:t xml:space="preserve">    </w:t>
      </w:r>
      <w:r w:rsidRPr="00DC57DC">
        <w:rPr>
          <w:rFonts w:ascii="Times New Roman" w:hAnsi="Times New Roman" w:cs="Times New Roman"/>
          <w:sz w:val="24"/>
          <w:szCs w:val="24"/>
        </w:rPr>
        <w:t>Court of Justice of the European Union</w:t>
      </w:r>
    </w:p>
    <w:p w14:paraId="1C215FB3" w14:textId="7B96028B" w:rsidR="00481564" w:rsidRDefault="00481564" w:rsidP="00481564">
      <w:pPr>
        <w:jc w:val="both"/>
        <w:rPr>
          <w:rFonts w:ascii="Times New Roman" w:hAnsi="Times New Roman" w:cs="Times New Roman"/>
          <w:sz w:val="24"/>
          <w:szCs w:val="24"/>
        </w:rPr>
      </w:pPr>
      <w:r w:rsidRPr="00DC57DC">
        <w:rPr>
          <w:rFonts w:ascii="Times New Roman" w:hAnsi="Times New Roman" w:cs="Times New Roman"/>
          <w:sz w:val="24"/>
          <w:szCs w:val="24"/>
        </w:rPr>
        <w:t xml:space="preserve">DPD </w:t>
      </w:r>
      <w:r w:rsidR="00631CAF">
        <w:rPr>
          <w:rFonts w:ascii="Times New Roman" w:hAnsi="Times New Roman" w:cs="Times New Roman"/>
          <w:sz w:val="24"/>
          <w:szCs w:val="24"/>
        </w:rPr>
        <w:t xml:space="preserve">      </w:t>
      </w:r>
      <w:r w:rsidRPr="00DC57DC">
        <w:rPr>
          <w:rFonts w:ascii="Times New Roman" w:hAnsi="Times New Roman" w:cs="Times New Roman"/>
          <w:sz w:val="24"/>
          <w:szCs w:val="24"/>
        </w:rPr>
        <w:t>Data Protection Directive</w:t>
      </w:r>
    </w:p>
    <w:p w14:paraId="46978787" w14:textId="6E4E8D52" w:rsidR="00631CAF" w:rsidRPr="00DC57DC" w:rsidRDefault="00631CAF" w:rsidP="00481564">
      <w:pPr>
        <w:jc w:val="both"/>
        <w:rPr>
          <w:rFonts w:ascii="Times New Roman" w:hAnsi="Times New Roman" w:cs="Times New Roman"/>
          <w:sz w:val="24"/>
          <w:szCs w:val="24"/>
        </w:rPr>
      </w:pPr>
      <w:r>
        <w:rPr>
          <w:rFonts w:ascii="Times New Roman" w:hAnsi="Times New Roman" w:cs="Times New Roman"/>
          <w:sz w:val="24"/>
          <w:szCs w:val="24"/>
        </w:rPr>
        <w:t>EDPB     European Data Protection Board</w:t>
      </w:r>
    </w:p>
    <w:p w14:paraId="22CE9E9C" w14:textId="13E90DD4" w:rsidR="00481564" w:rsidRDefault="00481564" w:rsidP="00631CAF">
      <w:pPr>
        <w:jc w:val="both"/>
        <w:rPr>
          <w:rFonts w:ascii="Times New Roman" w:hAnsi="Times New Roman" w:cs="Times New Roman"/>
          <w:sz w:val="24"/>
          <w:szCs w:val="24"/>
        </w:rPr>
      </w:pPr>
      <w:r w:rsidRPr="00DC57DC">
        <w:rPr>
          <w:rFonts w:ascii="Times New Roman" w:hAnsi="Times New Roman" w:cs="Times New Roman"/>
          <w:sz w:val="24"/>
          <w:szCs w:val="24"/>
        </w:rPr>
        <w:t xml:space="preserve">GDPR </w:t>
      </w:r>
      <w:r w:rsidR="00631CAF">
        <w:rPr>
          <w:rFonts w:ascii="Times New Roman" w:hAnsi="Times New Roman" w:cs="Times New Roman"/>
          <w:sz w:val="24"/>
          <w:szCs w:val="24"/>
        </w:rPr>
        <w:t xml:space="preserve">    </w:t>
      </w:r>
      <w:r w:rsidRPr="00DC57DC">
        <w:rPr>
          <w:rFonts w:ascii="Times New Roman" w:hAnsi="Times New Roman" w:cs="Times New Roman"/>
          <w:sz w:val="24"/>
          <w:szCs w:val="24"/>
        </w:rPr>
        <w:t>General Data Protection Regulation</w:t>
      </w:r>
    </w:p>
    <w:p w14:paraId="42DB5AF4" w14:textId="55F759E8" w:rsidR="00631CAF" w:rsidRPr="00631CAF" w:rsidRDefault="00631CAF" w:rsidP="00631CAF">
      <w:pPr>
        <w:jc w:val="both"/>
        <w:rPr>
          <w:rFonts w:ascii="Times New Roman" w:hAnsi="Times New Roman" w:cs="Times New Roman"/>
          <w:sz w:val="24"/>
          <w:szCs w:val="24"/>
        </w:rPr>
      </w:pPr>
      <w:r w:rsidRPr="00631CAF">
        <w:rPr>
          <w:rFonts w:ascii="Times New Roman" w:hAnsi="Times New Roman" w:cs="Times New Roman"/>
          <w:sz w:val="24"/>
          <w:szCs w:val="24"/>
        </w:rPr>
        <w:t xml:space="preserve">WP29 </w:t>
      </w:r>
      <w:r>
        <w:rPr>
          <w:rFonts w:ascii="Times New Roman" w:hAnsi="Times New Roman" w:cs="Times New Roman"/>
          <w:sz w:val="24"/>
          <w:szCs w:val="24"/>
        </w:rPr>
        <w:t xml:space="preserve">    </w:t>
      </w:r>
      <w:r w:rsidRPr="00631CAF">
        <w:rPr>
          <w:rFonts w:ascii="Times New Roman" w:hAnsi="Times New Roman" w:cs="Times New Roman"/>
          <w:sz w:val="24"/>
          <w:szCs w:val="24"/>
        </w:rPr>
        <w:t>Article 29 Data Protection W</w:t>
      </w:r>
      <w:r>
        <w:rPr>
          <w:rFonts w:ascii="Times New Roman" w:hAnsi="Times New Roman" w:cs="Times New Roman"/>
          <w:sz w:val="24"/>
          <w:szCs w:val="24"/>
        </w:rPr>
        <w:t>orking Party</w:t>
      </w:r>
    </w:p>
    <w:p w14:paraId="3D059860" w14:textId="1AB36176" w:rsidR="00481564" w:rsidRPr="00631CAF" w:rsidRDefault="00481564" w:rsidP="00481564">
      <w:pPr>
        <w:spacing w:after="0" w:line="360" w:lineRule="auto"/>
        <w:jc w:val="both"/>
        <w:rPr>
          <w:rFonts w:ascii="Times New Roman" w:hAnsi="Times New Roman" w:cs="Times New Roman"/>
          <w:sz w:val="24"/>
          <w:szCs w:val="24"/>
        </w:rPr>
      </w:pPr>
    </w:p>
    <w:p w14:paraId="6EAEA363" w14:textId="3CBEFDA8" w:rsidR="00481564" w:rsidRPr="00631CAF" w:rsidRDefault="00481564" w:rsidP="00481564">
      <w:pPr>
        <w:spacing w:after="0" w:line="360" w:lineRule="auto"/>
        <w:jc w:val="both"/>
        <w:rPr>
          <w:rFonts w:ascii="Times New Roman" w:hAnsi="Times New Roman" w:cs="Times New Roman"/>
          <w:sz w:val="24"/>
          <w:szCs w:val="24"/>
        </w:rPr>
      </w:pPr>
    </w:p>
    <w:p w14:paraId="0615F711" w14:textId="13B40345" w:rsidR="00481564" w:rsidRPr="00631CAF" w:rsidRDefault="00481564" w:rsidP="00481564">
      <w:pPr>
        <w:spacing w:after="0" w:line="360" w:lineRule="auto"/>
        <w:jc w:val="both"/>
        <w:rPr>
          <w:rFonts w:ascii="Times New Roman" w:hAnsi="Times New Roman" w:cs="Times New Roman"/>
          <w:sz w:val="24"/>
          <w:szCs w:val="24"/>
        </w:rPr>
      </w:pPr>
    </w:p>
    <w:p w14:paraId="7BEE3B77" w14:textId="7D6C366B" w:rsidR="00481564" w:rsidRPr="00631CAF" w:rsidRDefault="00481564" w:rsidP="00481564">
      <w:pPr>
        <w:spacing w:after="0" w:line="360" w:lineRule="auto"/>
        <w:jc w:val="both"/>
        <w:rPr>
          <w:rFonts w:ascii="Times New Roman" w:hAnsi="Times New Roman" w:cs="Times New Roman"/>
          <w:sz w:val="24"/>
          <w:szCs w:val="24"/>
        </w:rPr>
      </w:pPr>
    </w:p>
    <w:p w14:paraId="3B70A02E" w14:textId="6ABDE18B" w:rsidR="00481564" w:rsidRPr="00631CAF" w:rsidRDefault="00481564" w:rsidP="00481564">
      <w:pPr>
        <w:spacing w:after="0" w:line="360" w:lineRule="auto"/>
        <w:jc w:val="both"/>
        <w:rPr>
          <w:rFonts w:ascii="Times New Roman" w:hAnsi="Times New Roman" w:cs="Times New Roman"/>
          <w:sz w:val="24"/>
          <w:szCs w:val="24"/>
        </w:rPr>
      </w:pPr>
    </w:p>
    <w:p w14:paraId="118293BA" w14:textId="5969EE35" w:rsidR="00481564" w:rsidRPr="00631CAF" w:rsidRDefault="00481564" w:rsidP="00481564">
      <w:pPr>
        <w:spacing w:after="0" w:line="360" w:lineRule="auto"/>
        <w:jc w:val="both"/>
        <w:rPr>
          <w:rFonts w:ascii="Times New Roman" w:hAnsi="Times New Roman" w:cs="Times New Roman"/>
          <w:sz w:val="24"/>
          <w:szCs w:val="24"/>
        </w:rPr>
      </w:pPr>
    </w:p>
    <w:p w14:paraId="4FE44477" w14:textId="03236193" w:rsidR="00481564" w:rsidRPr="00631CAF" w:rsidRDefault="00481564" w:rsidP="00481564">
      <w:pPr>
        <w:spacing w:after="0" w:line="360" w:lineRule="auto"/>
        <w:jc w:val="both"/>
        <w:rPr>
          <w:rFonts w:ascii="Times New Roman" w:hAnsi="Times New Roman" w:cs="Times New Roman"/>
          <w:sz w:val="24"/>
          <w:szCs w:val="24"/>
        </w:rPr>
      </w:pPr>
    </w:p>
    <w:p w14:paraId="7F62FDCB" w14:textId="13AF5A33" w:rsidR="00481564" w:rsidRPr="00631CAF" w:rsidRDefault="00481564" w:rsidP="00481564">
      <w:pPr>
        <w:spacing w:after="0" w:line="360" w:lineRule="auto"/>
        <w:jc w:val="both"/>
        <w:rPr>
          <w:rFonts w:ascii="Times New Roman" w:hAnsi="Times New Roman" w:cs="Times New Roman"/>
          <w:sz w:val="24"/>
          <w:szCs w:val="24"/>
        </w:rPr>
      </w:pPr>
    </w:p>
    <w:p w14:paraId="49240DE6" w14:textId="07361350" w:rsidR="00481564" w:rsidRPr="00631CAF" w:rsidRDefault="00481564" w:rsidP="00481564">
      <w:pPr>
        <w:spacing w:after="0" w:line="360" w:lineRule="auto"/>
        <w:jc w:val="both"/>
        <w:rPr>
          <w:rFonts w:ascii="Times New Roman" w:hAnsi="Times New Roman" w:cs="Times New Roman"/>
          <w:sz w:val="24"/>
          <w:szCs w:val="24"/>
        </w:rPr>
      </w:pPr>
    </w:p>
    <w:p w14:paraId="408FA6F9" w14:textId="62058029" w:rsidR="00481564" w:rsidRPr="00631CAF" w:rsidRDefault="00481564" w:rsidP="00481564">
      <w:pPr>
        <w:spacing w:after="0" w:line="360" w:lineRule="auto"/>
        <w:jc w:val="both"/>
        <w:rPr>
          <w:rFonts w:ascii="Times New Roman" w:hAnsi="Times New Roman" w:cs="Times New Roman"/>
          <w:sz w:val="24"/>
          <w:szCs w:val="24"/>
        </w:rPr>
      </w:pPr>
    </w:p>
    <w:p w14:paraId="08129FB5" w14:textId="4D858B11" w:rsidR="00481564" w:rsidRPr="00631CAF" w:rsidRDefault="00481564" w:rsidP="00481564">
      <w:pPr>
        <w:spacing w:after="0" w:line="360" w:lineRule="auto"/>
        <w:jc w:val="both"/>
        <w:rPr>
          <w:rFonts w:ascii="Times New Roman" w:hAnsi="Times New Roman" w:cs="Times New Roman"/>
          <w:sz w:val="24"/>
          <w:szCs w:val="24"/>
        </w:rPr>
      </w:pPr>
    </w:p>
    <w:p w14:paraId="1734DA61" w14:textId="61AA6E7D" w:rsidR="00481564" w:rsidRPr="00631CAF" w:rsidRDefault="00481564" w:rsidP="00481564">
      <w:pPr>
        <w:spacing w:after="0" w:line="360" w:lineRule="auto"/>
        <w:jc w:val="both"/>
        <w:rPr>
          <w:rFonts w:ascii="Times New Roman" w:hAnsi="Times New Roman" w:cs="Times New Roman"/>
          <w:sz w:val="24"/>
          <w:szCs w:val="24"/>
        </w:rPr>
      </w:pPr>
    </w:p>
    <w:p w14:paraId="625D948A" w14:textId="3B1857E3" w:rsidR="00481564" w:rsidRPr="00631CAF" w:rsidRDefault="00481564" w:rsidP="00481564">
      <w:pPr>
        <w:spacing w:after="0" w:line="360" w:lineRule="auto"/>
        <w:jc w:val="both"/>
        <w:rPr>
          <w:rFonts w:ascii="Times New Roman" w:hAnsi="Times New Roman" w:cs="Times New Roman"/>
          <w:sz w:val="24"/>
          <w:szCs w:val="24"/>
        </w:rPr>
      </w:pPr>
    </w:p>
    <w:p w14:paraId="2FF06C91" w14:textId="3581CCFE" w:rsidR="00481564" w:rsidRPr="00631CAF" w:rsidRDefault="00481564" w:rsidP="00481564">
      <w:pPr>
        <w:spacing w:after="0" w:line="360" w:lineRule="auto"/>
        <w:jc w:val="both"/>
        <w:rPr>
          <w:rFonts w:ascii="Times New Roman" w:hAnsi="Times New Roman" w:cs="Times New Roman"/>
          <w:sz w:val="24"/>
          <w:szCs w:val="24"/>
        </w:rPr>
      </w:pPr>
    </w:p>
    <w:p w14:paraId="4FA20FB4" w14:textId="174147A8" w:rsidR="00481564" w:rsidRPr="00631CAF" w:rsidRDefault="00481564" w:rsidP="00481564">
      <w:pPr>
        <w:spacing w:after="0" w:line="360" w:lineRule="auto"/>
        <w:jc w:val="both"/>
        <w:rPr>
          <w:rFonts w:ascii="Times New Roman" w:hAnsi="Times New Roman" w:cs="Times New Roman"/>
          <w:sz w:val="24"/>
          <w:szCs w:val="24"/>
        </w:rPr>
      </w:pPr>
    </w:p>
    <w:p w14:paraId="3E66B4A6" w14:textId="052D1C20" w:rsidR="00481564" w:rsidRPr="00631CAF" w:rsidRDefault="00481564" w:rsidP="00481564">
      <w:pPr>
        <w:spacing w:after="0" w:line="360" w:lineRule="auto"/>
        <w:jc w:val="both"/>
        <w:rPr>
          <w:rFonts w:ascii="Times New Roman" w:hAnsi="Times New Roman" w:cs="Times New Roman"/>
          <w:sz w:val="24"/>
          <w:szCs w:val="24"/>
        </w:rPr>
      </w:pPr>
    </w:p>
    <w:p w14:paraId="2E9CA69B" w14:textId="4AB05DE0" w:rsidR="00481564" w:rsidRPr="00631CAF" w:rsidRDefault="00481564" w:rsidP="00481564">
      <w:pPr>
        <w:spacing w:after="0" w:line="360" w:lineRule="auto"/>
        <w:jc w:val="both"/>
        <w:rPr>
          <w:rFonts w:ascii="Times New Roman" w:hAnsi="Times New Roman" w:cs="Times New Roman"/>
          <w:sz w:val="24"/>
          <w:szCs w:val="24"/>
        </w:rPr>
      </w:pPr>
    </w:p>
    <w:p w14:paraId="6B0E44D9" w14:textId="1D7416F2" w:rsidR="00481564" w:rsidRPr="00631CAF" w:rsidRDefault="00481564" w:rsidP="00481564">
      <w:pPr>
        <w:spacing w:after="0" w:line="360" w:lineRule="auto"/>
        <w:jc w:val="both"/>
        <w:rPr>
          <w:rFonts w:ascii="Times New Roman" w:hAnsi="Times New Roman" w:cs="Times New Roman"/>
          <w:sz w:val="24"/>
          <w:szCs w:val="24"/>
        </w:rPr>
      </w:pPr>
    </w:p>
    <w:p w14:paraId="09A0FACA" w14:textId="7FC1C5AF" w:rsidR="00481564" w:rsidRPr="00631CAF" w:rsidRDefault="00481564" w:rsidP="00481564">
      <w:pPr>
        <w:spacing w:after="0" w:line="360" w:lineRule="auto"/>
        <w:jc w:val="both"/>
        <w:rPr>
          <w:rFonts w:ascii="Times New Roman" w:hAnsi="Times New Roman" w:cs="Times New Roman"/>
          <w:sz w:val="24"/>
          <w:szCs w:val="24"/>
        </w:rPr>
      </w:pPr>
    </w:p>
    <w:p w14:paraId="47C9D484" w14:textId="24EAB53B" w:rsidR="00481564" w:rsidRPr="00631CAF" w:rsidRDefault="00481564" w:rsidP="00481564">
      <w:pPr>
        <w:spacing w:after="0" w:line="360" w:lineRule="auto"/>
        <w:jc w:val="both"/>
        <w:rPr>
          <w:rFonts w:ascii="Times New Roman" w:hAnsi="Times New Roman" w:cs="Times New Roman"/>
          <w:sz w:val="24"/>
          <w:szCs w:val="24"/>
        </w:rPr>
      </w:pPr>
    </w:p>
    <w:p w14:paraId="5B3753C7" w14:textId="7495CDBC" w:rsidR="00481564" w:rsidRPr="00631CAF" w:rsidRDefault="00481564" w:rsidP="00481564">
      <w:pPr>
        <w:spacing w:after="0" w:line="360" w:lineRule="auto"/>
        <w:jc w:val="both"/>
        <w:rPr>
          <w:rFonts w:ascii="Times New Roman" w:hAnsi="Times New Roman" w:cs="Times New Roman"/>
          <w:sz w:val="24"/>
          <w:szCs w:val="24"/>
        </w:rPr>
      </w:pPr>
    </w:p>
    <w:p w14:paraId="32029A56" w14:textId="28E7A498" w:rsidR="00481564" w:rsidRPr="00631CAF" w:rsidRDefault="00481564" w:rsidP="00481564">
      <w:pPr>
        <w:spacing w:after="0" w:line="360" w:lineRule="auto"/>
        <w:jc w:val="both"/>
        <w:rPr>
          <w:rFonts w:ascii="Times New Roman" w:hAnsi="Times New Roman" w:cs="Times New Roman"/>
          <w:sz w:val="24"/>
          <w:szCs w:val="24"/>
        </w:rPr>
      </w:pPr>
    </w:p>
    <w:p w14:paraId="59A21C68" w14:textId="3B289CAB" w:rsidR="00481564" w:rsidRPr="00631CAF" w:rsidRDefault="00481564" w:rsidP="00481564">
      <w:pPr>
        <w:spacing w:after="0" w:line="360" w:lineRule="auto"/>
        <w:jc w:val="both"/>
        <w:rPr>
          <w:rFonts w:ascii="Times New Roman" w:hAnsi="Times New Roman" w:cs="Times New Roman"/>
          <w:sz w:val="24"/>
          <w:szCs w:val="24"/>
        </w:rPr>
      </w:pPr>
    </w:p>
    <w:p w14:paraId="200F32A0" w14:textId="0215EA30" w:rsidR="00481564" w:rsidRPr="00631CAF" w:rsidRDefault="00481564" w:rsidP="00481564">
      <w:pPr>
        <w:spacing w:after="0" w:line="360" w:lineRule="auto"/>
        <w:jc w:val="both"/>
        <w:rPr>
          <w:rFonts w:ascii="Times New Roman" w:hAnsi="Times New Roman" w:cs="Times New Roman"/>
          <w:sz w:val="24"/>
          <w:szCs w:val="24"/>
        </w:rPr>
      </w:pPr>
    </w:p>
    <w:p w14:paraId="1DC5E08C" w14:textId="4B441BAD" w:rsidR="00481564" w:rsidRPr="00631CAF" w:rsidRDefault="00481564" w:rsidP="00481564">
      <w:pPr>
        <w:spacing w:after="0" w:line="360" w:lineRule="auto"/>
        <w:jc w:val="both"/>
        <w:rPr>
          <w:rFonts w:ascii="Times New Roman" w:hAnsi="Times New Roman" w:cs="Times New Roman"/>
          <w:sz w:val="24"/>
          <w:szCs w:val="24"/>
        </w:rPr>
      </w:pPr>
    </w:p>
    <w:p w14:paraId="0EE68AE6" w14:textId="3D6B653C" w:rsidR="00481564" w:rsidRPr="00631CAF" w:rsidRDefault="00481564" w:rsidP="00481564">
      <w:pPr>
        <w:spacing w:after="0" w:line="360" w:lineRule="auto"/>
        <w:jc w:val="both"/>
        <w:rPr>
          <w:rFonts w:ascii="Times New Roman" w:hAnsi="Times New Roman" w:cs="Times New Roman"/>
          <w:sz w:val="24"/>
          <w:szCs w:val="24"/>
        </w:rPr>
      </w:pPr>
    </w:p>
    <w:p w14:paraId="64552E40" w14:textId="32DC266A" w:rsidR="00481564" w:rsidRPr="00631CAF" w:rsidRDefault="00481564" w:rsidP="00481564">
      <w:pPr>
        <w:spacing w:after="0" w:line="360" w:lineRule="auto"/>
        <w:jc w:val="both"/>
        <w:rPr>
          <w:rFonts w:ascii="Times New Roman" w:hAnsi="Times New Roman" w:cs="Times New Roman"/>
          <w:sz w:val="24"/>
          <w:szCs w:val="24"/>
        </w:rPr>
      </w:pPr>
    </w:p>
    <w:p w14:paraId="42BA9031" w14:textId="5A3BFF2F" w:rsidR="00481564" w:rsidRPr="00631CAF" w:rsidRDefault="00481564" w:rsidP="00481564">
      <w:pPr>
        <w:spacing w:after="0" w:line="360" w:lineRule="auto"/>
        <w:jc w:val="both"/>
        <w:rPr>
          <w:rFonts w:ascii="Times New Roman" w:hAnsi="Times New Roman" w:cs="Times New Roman"/>
          <w:b/>
          <w:bCs/>
          <w:sz w:val="24"/>
          <w:szCs w:val="24"/>
          <w:lang w:val="pt-BR"/>
        </w:rPr>
      </w:pPr>
      <w:r w:rsidRPr="00631CAF">
        <w:rPr>
          <w:rFonts w:ascii="Times New Roman" w:hAnsi="Times New Roman" w:cs="Times New Roman"/>
          <w:b/>
          <w:bCs/>
          <w:sz w:val="24"/>
          <w:szCs w:val="24"/>
          <w:lang w:val="pt-BR"/>
        </w:rPr>
        <w:t>Abstract</w:t>
      </w:r>
    </w:p>
    <w:p w14:paraId="4AB98969" w14:textId="471B17FE" w:rsidR="00481564" w:rsidRDefault="009F4889" w:rsidP="003542D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In this dissertation, the implementation of the right to be forgotten in the context of search engines throughout Europe was analysed, notably considering the CJEU case-law. The whole examination </w:t>
      </w:r>
      <w:r w:rsidR="00AA32CC">
        <w:rPr>
          <w:rFonts w:ascii="Times New Roman" w:hAnsi="Times New Roman" w:cs="Times New Roman"/>
          <w:sz w:val="24"/>
          <w:szCs w:val="24"/>
        </w:rPr>
        <w:t>examined</w:t>
      </w:r>
      <w:r>
        <w:rPr>
          <w:rFonts w:ascii="Times New Roman" w:hAnsi="Times New Roman" w:cs="Times New Roman"/>
          <w:sz w:val="24"/>
          <w:szCs w:val="24"/>
        </w:rPr>
        <w:t xml:space="preserve"> the balancing test which must be present when controllers of personal data deal with removal requests. In such an assessment, the contrasting rights and interests of data subjects</w:t>
      </w:r>
      <w:r w:rsidR="00542C67">
        <w:rPr>
          <w:rFonts w:ascii="Times New Roman" w:hAnsi="Times New Roman" w:cs="Times New Roman"/>
          <w:sz w:val="24"/>
          <w:szCs w:val="24"/>
        </w:rPr>
        <w:t xml:space="preserve"> </w:t>
      </w:r>
      <w:r>
        <w:rPr>
          <w:rFonts w:ascii="Times New Roman" w:hAnsi="Times New Roman" w:cs="Times New Roman"/>
          <w:sz w:val="24"/>
          <w:szCs w:val="24"/>
        </w:rPr>
        <w:t xml:space="preserve">and the </w:t>
      </w:r>
      <w:proofErr w:type="gramStart"/>
      <w:r>
        <w:rPr>
          <w:rFonts w:ascii="Times New Roman" w:hAnsi="Times New Roman" w:cs="Times New Roman"/>
          <w:sz w:val="24"/>
          <w:szCs w:val="24"/>
        </w:rPr>
        <w:t>general public</w:t>
      </w:r>
      <w:proofErr w:type="gramEnd"/>
      <w:r w:rsidR="006F4D71">
        <w:rPr>
          <w:rFonts w:ascii="Times New Roman" w:hAnsi="Times New Roman" w:cs="Times New Roman"/>
          <w:sz w:val="24"/>
          <w:szCs w:val="24"/>
        </w:rPr>
        <w:t xml:space="preserve"> </w:t>
      </w:r>
      <w:r w:rsidR="00542C67">
        <w:rPr>
          <w:rFonts w:ascii="Times New Roman" w:hAnsi="Times New Roman" w:cs="Times New Roman"/>
          <w:sz w:val="24"/>
          <w:szCs w:val="24"/>
        </w:rPr>
        <w:t xml:space="preserve">must be weighed up in order for search engine operators, data protection authorities or judicial authorities </w:t>
      </w:r>
      <w:r w:rsidR="000E74F6">
        <w:rPr>
          <w:rFonts w:ascii="Times New Roman" w:hAnsi="Times New Roman" w:cs="Times New Roman"/>
          <w:sz w:val="24"/>
          <w:szCs w:val="24"/>
        </w:rPr>
        <w:t xml:space="preserve">to </w:t>
      </w:r>
      <w:r w:rsidR="00542C67">
        <w:rPr>
          <w:rFonts w:ascii="Times New Roman" w:hAnsi="Times New Roman" w:cs="Times New Roman"/>
          <w:sz w:val="24"/>
          <w:szCs w:val="24"/>
        </w:rPr>
        <w:t xml:space="preserve">reach a decision </w:t>
      </w:r>
      <w:r w:rsidR="000E74F6">
        <w:rPr>
          <w:rFonts w:ascii="Times New Roman" w:hAnsi="Times New Roman" w:cs="Times New Roman"/>
          <w:sz w:val="24"/>
          <w:szCs w:val="24"/>
        </w:rPr>
        <w:t>regarding the</w:t>
      </w:r>
      <w:r w:rsidR="00542C67">
        <w:rPr>
          <w:rFonts w:ascii="Times New Roman" w:hAnsi="Times New Roman" w:cs="Times New Roman"/>
          <w:sz w:val="24"/>
          <w:szCs w:val="24"/>
        </w:rPr>
        <w:t xml:space="preserve"> </w:t>
      </w:r>
      <w:r w:rsidR="000E74F6">
        <w:rPr>
          <w:rFonts w:ascii="Times New Roman" w:hAnsi="Times New Roman" w:cs="Times New Roman"/>
          <w:sz w:val="24"/>
          <w:szCs w:val="24"/>
        </w:rPr>
        <w:t>suppression of</w:t>
      </w:r>
      <w:r w:rsidR="00542C67">
        <w:rPr>
          <w:rFonts w:ascii="Times New Roman" w:hAnsi="Times New Roman" w:cs="Times New Roman"/>
          <w:sz w:val="24"/>
          <w:szCs w:val="24"/>
        </w:rPr>
        <w:t xml:space="preserve"> information from the Internet. The</w:t>
      </w:r>
      <w:r w:rsidR="000E74F6">
        <w:rPr>
          <w:rFonts w:ascii="Times New Roman" w:hAnsi="Times New Roman" w:cs="Times New Roman"/>
          <w:sz w:val="24"/>
          <w:szCs w:val="24"/>
        </w:rPr>
        <w:t xml:space="preserve"> CJEU</w:t>
      </w:r>
      <w:r w:rsidR="00542C67">
        <w:rPr>
          <w:rFonts w:ascii="Times New Roman" w:hAnsi="Times New Roman" w:cs="Times New Roman"/>
          <w:sz w:val="24"/>
          <w:szCs w:val="24"/>
        </w:rPr>
        <w:t xml:space="preserve"> recognition of search engine operators as controllers of personal data </w:t>
      </w:r>
      <w:r w:rsidR="000E74F6">
        <w:rPr>
          <w:rFonts w:ascii="Times New Roman" w:hAnsi="Times New Roman" w:cs="Times New Roman"/>
          <w:sz w:val="24"/>
          <w:szCs w:val="24"/>
        </w:rPr>
        <w:t xml:space="preserve">in </w:t>
      </w:r>
      <w:r w:rsidR="000E74F6" w:rsidRPr="000E74F6">
        <w:rPr>
          <w:rFonts w:ascii="Times New Roman" w:hAnsi="Times New Roman" w:cs="Times New Roman"/>
          <w:i/>
          <w:iCs/>
          <w:sz w:val="24"/>
          <w:szCs w:val="24"/>
        </w:rPr>
        <w:t>Google Spain</w:t>
      </w:r>
      <w:r w:rsidR="000E74F6">
        <w:rPr>
          <w:rFonts w:ascii="Times New Roman" w:hAnsi="Times New Roman" w:cs="Times New Roman"/>
          <w:sz w:val="24"/>
          <w:szCs w:val="24"/>
        </w:rPr>
        <w:t xml:space="preserve"> </w:t>
      </w:r>
      <w:r w:rsidR="00542C67">
        <w:rPr>
          <w:rFonts w:ascii="Times New Roman" w:hAnsi="Times New Roman" w:cs="Times New Roman"/>
          <w:sz w:val="24"/>
          <w:szCs w:val="24"/>
        </w:rPr>
        <w:t>gave rise to some criticism regarding the public role such private companies would be playing</w:t>
      </w:r>
      <w:r w:rsidR="000E74F6">
        <w:rPr>
          <w:rFonts w:ascii="Times New Roman" w:hAnsi="Times New Roman" w:cs="Times New Roman"/>
          <w:sz w:val="24"/>
          <w:szCs w:val="24"/>
        </w:rPr>
        <w:t xml:space="preserve">, as opposed to what the neutrality principle proposes. Nevertheless, </w:t>
      </w:r>
      <w:r w:rsidR="00AA32CC">
        <w:rPr>
          <w:rFonts w:ascii="Times New Roman" w:hAnsi="Times New Roman" w:cs="Times New Roman"/>
          <w:sz w:val="24"/>
          <w:szCs w:val="24"/>
        </w:rPr>
        <w:t>theses</w:t>
      </w:r>
      <w:r w:rsidR="000E74F6">
        <w:rPr>
          <w:rFonts w:ascii="Times New Roman" w:hAnsi="Times New Roman" w:cs="Times New Roman"/>
          <w:sz w:val="24"/>
          <w:szCs w:val="24"/>
        </w:rPr>
        <w:t xml:space="preserve"> private entities possess more financial resources and availability of staff to handle such cases, </w:t>
      </w:r>
      <w:r w:rsidR="00AA32CC">
        <w:rPr>
          <w:rFonts w:ascii="Times New Roman" w:hAnsi="Times New Roman" w:cs="Times New Roman"/>
          <w:sz w:val="24"/>
          <w:szCs w:val="24"/>
        </w:rPr>
        <w:t>which renders the Court’s decision comprehensible</w:t>
      </w:r>
      <w:r w:rsidR="006F4D71">
        <w:rPr>
          <w:rFonts w:ascii="Times New Roman" w:hAnsi="Times New Roman" w:cs="Times New Roman"/>
          <w:sz w:val="24"/>
          <w:szCs w:val="24"/>
        </w:rPr>
        <w:t>.</w:t>
      </w:r>
      <w:r w:rsidR="00AA32CC">
        <w:rPr>
          <w:rFonts w:ascii="Times New Roman" w:hAnsi="Times New Roman" w:cs="Times New Roman"/>
          <w:sz w:val="24"/>
          <w:szCs w:val="24"/>
        </w:rPr>
        <w:t xml:space="preserve"> Following this judgment, the right to be forgotten was codified in the Ge</w:t>
      </w:r>
      <w:r w:rsidR="008A239B">
        <w:rPr>
          <w:rFonts w:ascii="Times New Roman" w:hAnsi="Times New Roman" w:cs="Times New Roman"/>
          <w:sz w:val="24"/>
          <w:szCs w:val="24"/>
        </w:rPr>
        <w:t xml:space="preserve">neral Data Protection Regulation, although some points remained undiscussed. In this sense, </w:t>
      </w:r>
      <w:r w:rsidR="008A239B" w:rsidRPr="008A239B">
        <w:rPr>
          <w:rFonts w:ascii="Times New Roman" w:hAnsi="Times New Roman" w:cs="Times New Roman"/>
          <w:i/>
          <w:iCs/>
          <w:sz w:val="24"/>
          <w:szCs w:val="24"/>
        </w:rPr>
        <w:t>GC and Others</w:t>
      </w:r>
      <w:r w:rsidR="008A239B">
        <w:rPr>
          <w:rFonts w:ascii="Times New Roman" w:hAnsi="Times New Roman" w:cs="Times New Roman"/>
          <w:sz w:val="24"/>
          <w:szCs w:val="24"/>
        </w:rPr>
        <w:t xml:space="preserve"> addressed the general prohibition of processing sensitive data, in which the Court decided that search engine operators must act only after </w:t>
      </w:r>
      <w:r w:rsidR="009C18FA">
        <w:rPr>
          <w:rFonts w:ascii="Times New Roman" w:hAnsi="Times New Roman" w:cs="Times New Roman"/>
          <w:sz w:val="24"/>
          <w:szCs w:val="24"/>
        </w:rPr>
        <w:t>receiving</w:t>
      </w:r>
      <w:r w:rsidR="008A239B">
        <w:rPr>
          <w:rFonts w:ascii="Times New Roman" w:hAnsi="Times New Roman" w:cs="Times New Roman"/>
          <w:sz w:val="24"/>
          <w:szCs w:val="24"/>
        </w:rPr>
        <w:t xml:space="preserve"> a de-referencing request</w:t>
      </w:r>
      <w:r w:rsidR="009C18FA">
        <w:rPr>
          <w:rFonts w:ascii="Times New Roman" w:hAnsi="Times New Roman" w:cs="Times New Roman"/>
          <w:sz w:val="24"/>
          <w:szCs w:val="24"/>
        </w:rPr>
        <w:t xml:space="preserve"> involving </w:t>
      </w:r>
      <w:r w:rsidR="00B34EF7">
        <w:rPr>
          <w:rFonts w:ascii="Times New Roman" w:hAnsi="Times New Roman" w:cs="Times New Roman"/>
          <w:sz w:val="24"/>
          <w:szCs w:val="24"/>
        </w:rPr>
        <w:t>such types of</w:t>
      </w:r>
      <w:r w:rsidR="009C18FA">
        <w:rPr>
          <w:rFonts w:ascii="Times New Roman" w:hAnsi="Times New Roman" w:cs="Times New Roman"/>
          <w:sz w:val="24"/>
          <w:szCs w:val="24"/>
        </w:rPr>
        <w:t xml:space="preserve"> data</w:t>
      </w:r>
      <w:r w:rsidR="008A239B">
        <w:rPr>
          <w:rFonts w:ascii="Times New Roman" w:hAnsi="Times New Roman" w:cs="Times New Roman"/>
          <w:sz w:val="24"/>
          <w:szCs w:val="24"/>
        </w:rPr>
        <w:t xml:space="preserve">, not in a systematic manner. Additionally, </w:t>
      </w:r>
      <w:r w:rsidR="008A239B" w:rsidRPr="008A239B">
        <w:rPr>
          <w:rFonts w:ascii="Times New Roman" w:hAnsi="Times New Roman" w:cs="Times New Roman"/>
          <w:i/>
          <w:iCs/>
          <w:sz w:val="24"/>
          <w:szCs w:val="24"/>
        </w:rPr>
        <w:t>Google v CNIL</w:t>
      </w:r>
      <w:r w:rsidR="008A239B">
        <w:rPr>
          <w:rFonts w:ascii="Times New Roman" w:hAnsi="Times New Roman" w:cs="Times New Roman"/>
          <w:i/>
          <w:iCs/>
          <w:sz w:val="24"/>
          <w:szCs w:val="24"/>
        </w:rPr>
        <w:t xml:space="preserve"> </w:t>
      </w:r>
      <w:r w:rsidR="009C18FA">
        <w:rPr>
          <w:rFonts w:ascii="Times New Roman" w:hAnsi="Times New Roman" w:cs="Times New Roman"/>
          <w:sz w:val="24"/>
          <w:szCs w:val="24"/>
        </w:rPr>
        <w:t>highlighted the debate concerning the extraterritorial application of EU data protection laws</w:t>
      </w:r>
      <w:r w:rsidR="00261DE3">
        <w:rPr>
          <w:rFonts w:ascii="Times New Roman" w:hAnsi="Times New Roman" w:cs="Times New Roman"/>
          <w:sz w:val="24"/>
          <w:szCs w:val="24"/>
        </w:rPr>
        <w:t xml:space="preserve"> worldwide</w:t>
      </w:r>
      <w:r w:rsidR="009C18FA">
        <w:rPr>
          <w:rFonts w:ascii="Times New Roman" w:hAnsi="Times New Roman" w:cs="Times New Roman"/>
          <w:sz w:val="24"/>
          <w:szCs w:val="24"/>
        </w:rPr>
        <w:t xml:space="preserve">. In a cautious approach, the Court decided that the erasure of personal data must take place inside the European Union, however it still </w:t>
      </w:r>
      <w:r w:rsidR="009D2E2E">
        <w:rPr>
          <w:rFonts w:ascii="Times New Roman" w:hAnsi="Times New Roman" w:cs="Times New Roman"/>
          <w:sz w:val="24"/>
          <w:szCs w:val="24"/>
        </w:rPr>
        <w:t xml:space="preserve">recognised </w:t>
      </w:r>
      <w:r w:rsidR="009C18FA">
        <w:rPr>
          <w:rFonts w:ascii="Times New Roman" w:hAnsi="Times New Roman" w:cs="Times New Roman"/>
          <w:sz w:val="24"/>
          <w:szCs w:val="24"/>
        </w:rPr>
        <w:t>the rare possibility of requiring a global de-indexation</w:t>
      </w:r>
      <w:r w:rsidR="009D2E2E">
        <w:rPr>
          <w:rFonts w:ascii="Times New Roman" w:hAnsi="Times New Roman" w:cs="Times New Roman"/>
          <w:sz w:val="24"/>
          <w:szCs w:val="24"/>
        </w:rPr>
        <w:t>, although it cannot be easily foreseeable once such requirement would create endangering and unnecessary tensions between the Union and third states.</w:t>
      </w:r>
    </w:p>
    <w:p w14:paraId="18317A8F" w14:textId="1187FD3A" w:rsidR="00481564" w:rsidRDefault="00A82427" w:rsidP="003542D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Despite the impossibility of </w:t>
      </w:r>
      <w:r w:rsidR="00261DE3">
        <w:rPr>
          <w:rFonts w:ascii="Times New Roman" w:hAnsi="Times New Roman" w:cs="Times New Roman"/>
          <w:sz w:val="24"/>
          <w:szCs w:val="24"/>
        </w:rPr>
        <w:t xml:space="preserve">completely removing content from the digital space, some measures may suffice to prevent the access of information. </w:t>
      </w:r>
      <w:r w:rsidR="00B34EF7">
        <w:rPr>
          <w:rFonts w:ascii="Times New Roman" w:hAnsi="Times New Roman" w:cs="Times New Roman"/>
          <w:sz w:val="24"/>
          <w:szCs w:val="24"/>
        </w:rPr>
        <w:t>In this sense</w:t>
      </w:r>
      <w:r w:rsidR="006F4D71">
        <w:rPr>
          <w:rFonts w:ascii="Times New Roman" w:hAnsi="Times New Roman" w:cs="Times New Roman"/>
          <w:sz w:val="24"/>
          <w:szCs w:val="24"/>
        </w:rPr>
        <w:t xml:space="preserve">, </w:t>
      </w:r>
      <w:r w:rsidR="00B34EF7">
        <w:rPr>
          <w:rFonts w:ascii="Times New Roman" w:hAnsi="Times New Roman" w:cs="Times New Roman"/>
          <w:sz w:val="24"/>
          <w:szCs w:val="24"/>
        </w:rPr>
        <w:t>some</w:t>
      </w:r>
      <w:r w:rsidR="006F4D71">
        <w:rPr>
          <w:rFonts w:ascii="Times New Roman" w:hAnsi="Times New Roman" w:cs="Times New Roman"/>
          <w:sz w:val="24"/>
          <w:szCs w:val="24"/>
        </w:rPr>
        <w:t xml:space="preserve"> solutions </w:t>
      </w:r>
      <w:r w:rsidR="00B34EF7">
        <w:rPr>
          <w:rFonts w:ascii="Times New Roman" w:hAnsi="Times New Roman" w:cs="Times New Roman"/>
          <w:sz w:val="24"/>
          <w:szCs w:val="24"/>
        </w:rPr>
        <w:t>were</w:t>
      </w:r>
      <w:r w:rsidR="006F4D71">
        <w:rPr>
          <w:rFonts w:ascii="Times New Roman" w:hAnsi="Times New Roman" w:cs="Times New Roman"/>
          <w:sz w:val="24"/>
          <w:szCs w:val="24"/>
        </w:rPr>
        <w:t xml:space="preserve"> proposed to </w:t>
      </w:r>
      <w:r w:rsidR="00B34EF7">
        <w:rPr>
          <w:rFonts w:ascii="Times New Roman" w:hAnsi="Times New Roman" w:cs="Times New Roman"/>
          <w:sz w:val="24"/>
          <w:szCs w:val="24"/>
        </w:rPr>
        <w:t>make</w:t>
      </w:r>
      <w:r w:rsidR="006F4D71">
        <w:rPr>
          <w:rFonts w:ascii="Times New Roman" w:hAnsi="Times New Roman" w:cs="Times New Roman"/>
          <w:sz w:val="24"/>
          <w:szCs w:val="24"/>
        </w:rPr>
        <w:t xml:space="preserve"> the application of the erasure of personal data on the Internet</w:t>
      </w:r>
      <w:r w:rsidR="00B34EF7">
        <w:rPr>
          <w:rFonts w:ascii="Times New Roman" w:hAnsi="Times New Roman" w:cs="Times New Roman"/>
          <w:sz w:val="24"/>
          <w:szCs w:val="24"/>
        </w:rPr>
        <w:t xml:space="preserve"> more effective</w:t>
      </w:r>
      <w:r w:rsidR="006F4D71">
        <w:rPr>
          <w:rFonts w:ascii="Times New Roman" w:hAnsi="Times New Roman" w:cs="Times New Roman"/>
          <w:sz w:val="24"/>
          <w:szCs w:val="24"/>
        </w:rPr>
        <w:t xml:space="preserve">. Accordingly, it includes expiration dates, segmentation, pseudonymisation and public-private partnerships, which, in essence, would help to minimise the current administrative burden of </w:t>
      </w:r>
      <w:r w:rsidR="00B34EF7">
        <w:rPr>
          <w:rFonts w:ascii="Times New Roman" w:hAnsi="Times New Roman" w:cs="Times New Roman"/>
          <w:sz w:val="24"/>
          <w:szCs w:val="24"/>
        </w:rPr>
        <w:t xml:space="preserve">search engine operators, while providing more protection of personal data for Internet users as well as greater public oversight of the measures taken by private entities in implementing such right. </w:t>
      </w:r>
    </w:p>
    <w:p w14:paraId="1C04D978" w14:textId="77777777" w:rsidR="007D69B0" w:rsidRDefault="007D69B0" w:rsidP="00481564">
      <w:pPr>
        <w:spacing w:after="0" w:line="360" w:lineRule="auto"/>
        <w:jc w:val="both"/>
        <w:rPr>
          <w:rFonts w:ascii="Times New Roman" w:hAnsi="Times New Roman" w:cs="Times New Roman"/>
          <w:sz w:val="24"/>
          <w:szCs w:val="24"/>
        </w:rPr>
        <w:sectPr w:rsidR="007D69B0" w:rsidSect="007D69B0">
          <w:footerReference w:type="default" r:id="rId8"/>
          <w:pgSz w:w="11906" w:h="16838"/>
          <w:pgMar w:top="1418" w:right="1134" w:bottom="1418" w:left="2268" w:header="709" w:footer="709" w:gutter="0"/>
          <w:pgNumType w:fmt="lowerRoman" w:start="1"/>
          <w:cols w:space="708"/>
          <w:docGrid w:linePitch="360"/>
        </w:sectPr>
      </w:pPr>
    </w:p>
    <w:p w14:paraId="65A64F92" w14:textId="3088E4A6" w:rsidR="00481564" w:rsidRPr="007D69B0" w:rsidRDefault="00481564" w:rsidP="007D69B0">
      <w:pPr>
        <w:pStyle w:val="PargrafodaLista"/>
        <w:numPr>
          <w:ilvl w:val="0"/>
          <w:numId w:val="14"/>
        </w:numPr>
        <w:tabs>
          <w:tab w:val="left" w:pos="2790"/>
        </w:tabs>
        <w:spacing w:after="0" w:line="360" w:lineRule="auto"/>
        <w:jc w:val="both"/>
        <w:rPr>
          <w:rFonts w:ascii="Times New Roman" w:hAnsi="Times New Roman" w:cs="Times New Roman"/>
          <w:b/>
          <w:bCs/>
          <w:sz w:val="24"/>
          <w:szCs w:val="24"/>
        </w:rPr>
      </w:pPr>
      <w:r w:rsidRPr="007D69B0">
        <w:rPr>
          <w:rFonts w:ascii="Times New Roman" w:hAnsi="Times New Roman" w:cs="Times New Roman"/>
          <w:b/>
          <w:bCs/>
          <w:sz w:val="24"/>
          <w:szCs w:val="24"/>
        </w:rPr>
        <w:lastRenderedPageBreak/>
        <w:t>Introduction</w:t>
      </w:r>
    </w:p>
    <w:p w14:paraId="38478C99"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The rapidity of </w:t>
      </w:r>
      <w:proofErr w:type="gramStart"/>
      <w:r w:rsidRPr="00A43DB3">
        <w:rPr>
          <w:rFonts w:ascii="Times New Roman" w:hAnsi="Times New Roman" w:cs="Times New Roman"/>
          <w:sz w:val="24"/>
          <w:szCs w:val="24"/>
        </w:rPr>
        <w:t>data-flows</w:t>
      </w:r>
      <w:proofErr w:type="gramEnd"/>
      <w:r w:rsidRPr="00A43DB3">
        <w:rPr>
          <w:rFonts w:ascii="Times New Roman" w:hAnsi="Times New Roman" w:cs="Times New Roman"/>
          <w:sz w:val="24"/>
          <w:szCs w:val="24"/>
        </w:rPr>
        <w:t xml:space="preserve">, resulting from the omnipresence of the Internet and the rise of social networking services (SNS), has undermined the individuals’ control over the dissemination of personal data and has profoundly impacted their privacy. The Digital 2022 April Global </w:t>
      </w:r>
      <w:proofErr w:type="spellStart"/>
      <w:r w:rsidRPr="00A43DB3">
        <w:rPr>
          <w:rFonts w:ascii="Times New Roman" w:hAnsi="Times New Roman" w:cs="Times New Roman"/>
          <w:sz w:val="24"/>
          <w:szCs w:val="24"/>
        </w:rPr>
        <w:t>Statshot</w:t>
      </w:r>
      <w:proofErr w:type="spellEnd"/>
      <w:r w:rsidRPr="00A43DB3">
        <w:rPr>
          <w:rFonts w:ascii="Times New Roman" w:hAnsi="Times New Roman" w:cs="Times New Roman"/>
          <w:sz w:val="24"/>
          <w:szCs w:val="24"/>
        </w:rPr>
        <w:t xml:space="preserve"> Report has revealed that contemporarily 5 billion people use the Internet, which implies that 63 percent of the world’s population is now virtually connected.</w:t>
      </w:r>
      <w:r w:rsidRPr="00A43DB3">
        <w:rPr>
          <w:rStyle w:val="Refdenotaderodap"/>
          <w:rFonts w:ascii="Times New Roman" w:hAnsi="Times New Roman" w:cs="Times New Roman"/>
          <w:sz w:val="24"/>
          <w:szCs w:val="24"/>
        </w:rPr>
        <w:footnoteReference w:id="1"/>
      </w:r>
      <w:r w:rsidRPr="00A43DB3">
        <w:rPr>
          <w:rFonts w:ascii="Times New Roman" w:hAnsi="Times New Roman" w:cs="Times New Roman"/>
          <w:sz w:val="24"/>
          <w:szCs w:val="24"/>
        </w:rPr>
        <w:t xml:space="preserve"> In fact, the Internet has substantially transformed the way in which the modern society acquires knowledge, and the digital world is gradually evolving into a powerful source of information. Progressively, digital connectivity has permeated almost every instance of individuals’ personal lives, increasing the interdependence between the physical and virtual environments. It is evident that the online behaviour impacts the material reality – if it is still reasonable to consider both areas as distinct.</w:t>
      </w:r>
    </w:p>
    <w:p w14:paraId="2BE9AD63"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human brain lacks the capacity to retain every information received, as opposed to the immensurable storage space of the digital environment, characterised for a persistent digital memory, which has led to an exaggerate amount of trivial information available online, making it difficult to separate relevant content from unnecessary or obsolete information. On these grounds, it is clear the hindrance to the power of individuals to be detached from their past when information is perpetually accessible.</w:t>
      </w:r>
    </w:p>
    <w:p w14:paraId="3EAD86B5"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Within this framework, the overarching informational role of search engines has converted them into holders of truth and history. Additionally, the surveillance technologies allow the constant monitoring of data subjects. Despite efforts to avoid disclosure of personal information, web users may find facts concerning themselves, whether truthful or not, placed on the Internet by third parties, from close friends to unknown sources. Indeed, regardless of the location, anyone can upload content on the digital platforms, including personal data related to other persons or even false allegations. The outcome of such easiness is the display of material that lack context, selected by the secret algorithms of search engines, which may present a misleading idea of a person. </w:t>
      </w:r>
    </w:p>
    <w:p w14:paraId="22159C22"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Digital profiles are structured without transparency, although capable of interfering with employment, </w:t>
      </w:r>
      <w:proofErr w:type="gramStart"/>
      <w:r w:rsidRPr="00A43DB3">
        <w:rPr>
          <w:rFonts w:ascii="Times New Roman" w:hAnsi="Times New Roman" w:cs="Times New Roman"/>
          <w:sz w:val="24"/>
          <w:szCs w:val="24"/>
        </w:rPr>
        <w:t>insurance</w:t>
      </w:r>
      <w:proofErr w:type="gramEnd"/>
      <w:r w:rsidRPr="00A43DB3">
        <w:rPr>
          <w:rFonts w:ascii="Times New Roman" w:hAnsi="Times New Roman" w:cs="Times New Roman"/>
          <w:sz w:val="24"/>
          <w:szCs w:val="24"/>
        </w:rPr>
        <w:t xml:space="preserve"> and loan. In this sense, control over personal is not in the hands </w:t>
      </w:r>
      <w:r w:rsidRPr="00A43DB3">
        <w:rPr>
          <w:rFonts w:ascii="Times New Roman" w:hAnsi="Times New Roman" w:cs="Times New Roman"/>
          <w:sz w:val="24"/>
          <w:szCs w:val="24"/>
        </w:rPr>
        <w:lastRenderedPageBreak/>
        <w:t xml:space="preserve">of data subjects, but corporations, </w:t>
      </w:r>
      <w:proofErr w:type="gramStart"/>
      <w:r w:rsidRPr="00A43DB3">
        <w:rPr>
          <w:rFonts w:ascii="Times New Roman" w:hAnsi="Times New Roman" w:cs="Times New Roman"/>
          <w:sz w:val="24"/>
          <w:szCs w:val="24"/>
        </w:rPr>
        <w:t>governments</w:t>
      </w:r>
      <w:proofErr w:type="gramEnd"/>
      <w:r w:rsidRPr="00A43DB3">
        <w:rPr>
          <w:rFonts w:ascii="Times New Roman" w:hAnsi="Times New Roman" w:cs="Times New Roman"/>
          <w:sz w:val="24"/>
          <w:szCs w:val="24"/>
        </w:rPr>
        <w:t xml:space="preserve"> and extraneous recipients. The potential adverse consequences become even more threatening when the processing involves sensitive data. In such cases, individuals identified by these conditions can be perpetually stigmatised both in the digital and the material environments.</w:t>
      </w:r>
    </w:p>
    <w:p w14:paraId="321377AE"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fact, personal data are the components which, gathered, form our digital personality and </w:t>
      </w:r>
      <w:proofErr w:type="gramStart"/>
      <w:r w:rsidRPr="00A43DB3">
        <w:rPr>
          <w:rFonts w:ascii="Times New Roman" w:hAnsi="Times New Roman" w:cs="Times New Roman"/>
          <w:sz w:val="24"/>
          <w:szCs w:val="24"/>
        </w:rPr>
        <w:t>are able to</w:t>
      </w:r>
      <w:proofErr w:type="gramEnd"/>
      <w:r w:rsidRPr="00A43DB3">
        <w:rPr>
          <w:rFonts w:ascii="Times New Roman" w:hAnsi="Times New Roman" w:cs="Times New Roman"/>
          <w:sz w:val="24"/>
          <w:szCs w:val="24"/>
        </w:rPr>
        <w:t xml:space="preserve"> uniquely identify individuals. It is nearly impossible for data subjects to acknowledge how they are pictured on their digital profiles </w:t>
      </w:r>
      <w:proofErr w:type="gramStart"/>
      <w:r w:rsidRPr="00A43DB3">
        <w:rPr>
          <w:rFonts w:ascii="Times New Roman" w:hAnsi="Times New Roman" w:cs="Times New Roman"/>
          <w:sz w:val="24"/>
          <w:szCs w:val="24"/>
        </w:rPr>
        <w:t>as a consequence of</w:t>
      </w:r>
      <w:proofErr w:type="gramEnd"/>
      <w:r w:rsidRPr="00A43DB3">
        <w:rPr>
          <w:rFonts w:ascii="Times New Roman" w:hAnsi="Times New Roman" w:cs="Times New Roman"/>
          <w:sz w:val="24"/>
          <w:szCs w:val="24"/>
        </w:rPr>
        <w:t xml:space="preserve"> the implementation of secret algorithms. In fact, the apparent free access to information comes at the expense of the provision of personal data, which has translated into the currency of the digital economy. Indeed, it has originated substantial asymmetries of power between Internet service providers, webmasters, data subjects, and consumers of digital content. </w:t>
      </w:r>
    </w:p>
    <w:p w14:paraId="2FE311F3"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Internet allows access to information disregarding territorial boundaries. The coalition between digitalisation, affordable storage, easy </w:t>
      </w:r>
      <w:proofErr w:type="gramStart"/>
      <w:r w:rsidRPr="00A43DB3">
        <w:rPr>
          <w:rFonts w:ascii="Times New Roman" w:hAnsi="Times New Roman" w:cs="Times New Roman"/>
          <w:sz w:val="24"/>
          <w:szCs w:val="24"/>
        </w:rPr>
        <w:t>retrieval</w:t>
      </w:r>
      <w:proofErr w:type="gramEnd"/>
      <w:r w:rsidRPr="00A43DB3">
        <w:rPr>
          <w:rFonts w:ascii="Times New Roman" w:hAnsi="Times New Roman" w:cs="Times New Roman"/>
          <w:sz w:val="24"/>
          <w:szCs w:val="24"/>
        </w:rPr>
        <w:t xml:space="preserve"> and globalisation results in the eternity of information, perpetually available.</w:t>
      </w:r>
      <w:r w:rsidRPr="00A43DB3">
        <w:rPr>
          <w:rStyle w:val="Refdenotaderodap"/>
          <w:rFonts w:ascii="Times New Roman" w:hAnsi="Times New Roman" w:cs="Times New Roman"/>
          <w:sz w:val="24"/>
          <w:szCs w:val="24"/>
        </w:rPr>
        <w:footnoteReference w:id="2"/>
      </w:r>
      <w:r w:rsidRPr="00A43DB3">
        <w:rPr>
          <w:rFonts w:ascii="Times New Roman" w:hAnsi="Times New Roman" w:cs="Times New Roman"/>
          <w:sz w:val="24"/>
          <w:szCs w:val="24"/>
        </w:rPr>
        <w:t xml:space="preserve"> As the capacity of storage and rapidity of web servers have been perfected, the need to delete obsolete information is no longer present. Hence, the information lasts online indefinitely, where misdeeds or shameful incidents could be fixed by time, the same past events cannot be easily forgotten or forgiven. </w:t>
      </w:r>
    </w:p>
    <w:p w14:paraId="3534528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Against this background, a fundamental purpose for EU law has become to provide data subjects with means to control personal information related to them, as well as individual self-determination and autonomy over such data. Nevertheless, the progressive regulation of online information throughout the European Union raises many economic, </w:t>
      </w:r>
      <w:proofErr w:type="gramStart"/>
      <w:r w:rsidRPr="00A43DB3">
        <w:rPr>
          <w:rFonts w:ascii="Times New Roman" w:hAnsi="Times New Roman" w:cs="Times New Roman"/>
          <w:sz w:val="24"/>
          <w:szCs w:val="24"/>
        </w:rPr>
        <w:t>political</w:t>
      </w:r>
      <w:proofErr w:type="gramEnd"/>
      <w:r w:rsidRPr="00A43DB3">
        <w:rPr>
          <w:rFonts w:ascii="Times New Roman" w:hAnsi="Times New Roman" w:cs="Times New Roman"/>
          <w:sz w:val="24"/>
          <w:szCs w:val="24"/>
        </w:rPr>
        <w:t xml:space="preserve"> and moral questions. In fact, if overly implemented, restraints on the online space may discourage technological innovation. Nevertheless, </w:t>
      </w:r>
      <w:proofErr w:type="gramStart"/>
      <w:r w:rsidRPr="00A43DB3">
        <w:rPr>
          <w:rFonts w:ascii="Times New Roman" w:hAnsi="Times New Roman" w:cs="Times New Roman"/>
          <w:sz w:val="24"/>
          <w:szCs w:val="24"/>
        </w:rPr>
        <w:t>despite the fact that</w:t>
      </w:r>
      <w:proofErr w:type="gramEnd"/>
      <w:r w:rsidRPr="00A43DB3">
        <w:rPr>
          <w:rFonts w:ascii="Times New Roman" w:hAnsi="Times New Roman" w:cs="Times New Roman"/>
          <w:sz w:val="24"/>
          <w:szCs w:val="24"/>
        </w:rPr>
        <w:t xml:space="preserve"> the Internet and search engines may represent an obstacle to the protection of privacy and personal data, it is undeniable that they equally benefit the modern society as regards the freedom of expression. Indeed, accessing information and acquiring knowledge has never been so straightforward.</w:t>
      </w:r>
    </w:p>
    <w:p w14:paraId="334F9256" w14:textId="7136556E" w:rsidR="00481564" w:rsidRPr="00A43DB3" w:rsidRDefault="00FC3F42" w:rsidP="0048156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this connection</w:t>
      </w:r>
      <w:r w:rsidR="00481564" w:rsidRPr="00A43DB3">
        <w:rPr>
          <w:rFonts w:ascii="Times New Roman" w:hAnsi="Times New Roman" w:cs="Times New Roman"/>
          <w:sz w:val="24"/>
          <w:szCs w:val="24"/>
        </w:rPr>
        <w:t xml:space="preserve">, the colloquial right to be forgotten - more correctly called the right to erasure, but also referred to as the right to de-referencing, the right to de-indexing or the right to de-listing in the context of search engines – highly impacts search engine providers, once such right represents the first obstacle to the limitless availability of online content, which gives prominence to popular news, whether truthful or not, without consideration to the negative consequences for individuals. </w:t>
      </w:r>
    </w:p>
    <w:p w14:paraId="0EADC00B" w14:textId="7BC8FB3A" w:rsidR="00481564"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Considering the diversity of results that emerge from a balancing test in respect to the cases involving the right to be forgotten exercised by the national courts, data protection authorities and search engine operators, this paper will focus on the cases before the Court of Justice of the European Union (CJEU) in the context of search engines. Chapter 2 introduces the debate as to the contrasting rights that will be considered under the balancing test when granting a removal request: the right to privacy of data subjects and the right of freedom of expression and information of the public. It includes the corresponding legislation and discussions regarding the positive and negative points of each right. Chapter 3 examines the origins and references of the right to be forgotten under European law, notably the Data Protection Directive (DPD)</w:t>
      </w:r>
      <w:r>
        <w:rPr>
          <w:rStyle w:val="Refdenotaderodap"/>
          <w:rFonts w:ascii="Times New Roman" w:hAnsi="Times New Roman" w:cs="Times New Roman"/>
          <w:sz w:val="24"/>
          <w:szCs w:val="24"/>
        </w:rPr>
        <w:footnoteReference w:id="3"/>
      </w:r>
      <w:r w:rsidRPr="00A43DB3">
        <w:rPr>
          <w:rFonts w:ascii="Times New Roman" w:hAnsi="Times New Roman" w:cs="Times New Roman"/>
          <w:sz w:val="24"/>
          <w:szCs w:val="24"/>
        </w:rPr>
        <w:t xml:space="preserve"> and the General Data Protection Regulation (GDPR).</w:t>
      </w:r>
      <w:r>
        <w:rPr>
          <w:rStyle w:val="Refdenotaderodap"/>
          <w:rFonts w:ascii="Times New Roman" w:hAnsi="Times New Roman" w:cs="Times New Roman"/>
          <w:sz w:val="24"/>
          <w:szCs w:val="24"/>
        </w:rPr>
        <w:footnoteReference w:id="4"/>
      </w:r>
      <w:r w:rsidRPr="00A43DB3">
        <w:rPr>
          <w:rFonts w:ascii="Times New Roman" w:hAnsi="Times New Roman" w:cs="Times New Roman"/>
          <w:sz w:val="24"/>
          <w:szCs w:val="24"/>
        </w:rPr>
        <w:t xml:space="preserve"> Chapter 4 addresses the </w:t>
      </w:r>
      <w:r w:rsidRPr="00A43DB3">
        <w:rPr>
          <w:rFonts w:ascii="Times New Roman" w:hAnsi="Times New Roman" w:cs="Times New Roman"/>
          <w:i/>
          <w:iCs/>
          <w:sz w:val="24"/>
          <w:szCs w:val="24"/>
        </w:rPr>
        <w:t>Google Spain</w:t>
      </w:r>
      <w:r w:rsidRPr="00A43DB3">
        <w:rPr>
          <w:rStyle w:val="Refdenotaderodap"/>
          <w:rFonts w:ascii="Times New Roman" w:hAnsi="Times New Roman" w:cs="Times New Roman"/>
          <w:i/>
          <w:iCs/>
          <w:sz w:val="24"/>
          <w:szCs w:val="24"/>
        </w:rPr>
        <w:footnoteReference w:id="5"/>
      </w:r>
      <w:r w:rsidRPr="00A43DB3">
        <w:rPr>
          <w:rFonts w:ascii="Times New Roman" w:hAnsi="Times New Roman" w:cs="Times New Roman"/>
          <w:sz w:val="24"/>
          <w:szCs w:val="24"/>
        </w:rPr>
        <w:t xml:space="preserve"> case, which represented the judicial recognition by the CJEU of the de-referencing right. In this </w:t>
      </w:r>
      <w:r w:rsidR="00FC3F42">
        <w:rPr>
          <w:rFonts w:ascii="Times New Roman" w:hAnsi="Times New Roman" w:cs="Times New Roman"/>
          <w:sz w:val="24"/>
          <w:szCs w:val="24"/>
        </w:rPr>
        <w:t>chapter</w:t>
      </w:r>
      <w:r w:rsidRPr="00A43DB3">
        <w:rPr>
          <w:rFonts w:ascii="Times New Roman" w:hAnsi="Times New Roman" w:cs="Times New Roman"/>
          <w:sz w:val="24"/>
          <w:szCs w:val="24"/>
        </w:rPr>
        <w:t xml:space="preserve"> the material and territorial scope of the DPD</w:t>
      </w:r>
      <w:r w:rsidR="00E83381">
        <w:rPr>
          <w:rFonts w:ascii="Times New Roman" w:hAnsi="Times New Roman" w:cs="Times New Roman"/>
          <w:sz w:val="24"/>
          <w:szCs w:val="24"/>
        </w:rPr>
        <w:t xml:space="preserve"> are discussed</w:t>
      </w:r>
      <w:r w:rsidRPr="00A43DB3">
        <w:rPr>
          <w:rFonts w:ascii="Times New Roman" w:hAnsi="Times New Roman" w:cs="Times New Roman"/>
          <w:sz w:val="24"/>
          <w:szCs w:val="24"/>
        </w:rPr>
        <w:t xml:space="preserve">, as well as the implicit existence of a right to be forgotten in the </w:t>
      </w:r>
      <w:r w:rsidR="00FC3F42">
        <w:rPr>
          <w:rFonts w:ascii="Times New Roman" w:hAnsi="Times New Roman" w:cs="Times New Roman"/>
          <w:sz w:val="24"/>
          <w:szCs w:val="24"/>
        </w:rPr>
        <w:t xml:space="preserve">European </w:t>
      </w:r>
      <w:r w:rsidRPr="00A43DB3">
        <w:rPr>
          <w:rFonts w:ascii="Times New Roman" w:hAnsi="Times New Roman" w:cs="Times New Roman"/>
          <w:sz w:val="24"/>
          <w:szCs w:val="24"/>
        </w:rPr>
        <w:t xml:space="preserve">legal framework. Chapter 5 considers </w:t>
      </w:r>
      <w:r w:rsidRPr="00A43DB3">
        <w:rPr>
          <w:rFonts w:ascii="Times New Roman" w:hAnsi="Times New Roman" w:cs="Times New Roman"/>
          <w:i/>
          <w:iCs/>
          <w:sz w:val="24"/>
          <w:szCs w:val="24"/>
        </w:rPr>
        <w:t>GC and Others</w:t>
      </w:r>
      <w:r w:rsidRPr="00A43DB3">
        <w:rPr>
          <w:rFonts w:ascii="Times New Roman" w:hAnsi="Times New Roman" w:cs="Times New Roman"/>
          <w:sz w:val="24"/>
          <w:szCs w:val="24"/>
        </w:rPr>
        <w:t>,</w:t>
      </w:r>
      <w:r w:rsidRPr="00A43DB3">
        <w:rPr>
          <w:rStyle w:val="Refdenotaderodap"/>
          <w:rFonts w:ascii="Times New Roman" w:hAnsi="Times New Roman" w:cs="Times New Roman"/>
          <w:sz w:val="24"/>
          <w:szCs w:val="24"/>
        </w:rPr>
        <w:footnoteReference w:id="6"/>
      </w:r>
      <w:r w:rsidRPr="00A43DB3">
        <w:rPr>
          <w:rFonts w:ascii="Times New Roman" w:hAnsi="Times New Roman" w:cs="Times New Roman"/>
          <w:sz w:val="24"/>
          <w:szCs w:val="24"/>
        </w:rPr>
        <w:t xml:space="preserve"> </w:t>
      </w:r>
      <w:r w:rsidR="00E83381">
        <w:rPr>
          <w:rFonts w:ascii="Times New Roman" w:hAnsi="Times New Roman" w:cs="Times New Roman"/>
          <w:sz w:val="24"/>
          <w:szCs w:val="24"/>
        </w:rPr>
        <w:t>analysing the</w:t>
      </w:r>
      <w:r w:rsidRPr="00A43DB3">
        <w:rPr>
          <w:rFonts w:ascii="Times New Roman" w:hAnsi="Times New Roman" w:cs="Times New Roman"/>
          <w:sz w:val="24"/>
          <w:szCs w:val="24"/>
        </w:rPr>
        <w:t xml:space="preserve"> processing of sensitive personal data, </w:t>
      </w:r>
      <w:r w:rsidR="00E83381">
        <w:rPr>
          <w:rFonts w:ascii="Times New Roman" w:hAnsi="Times New Roman" w:cs="Times New Roman"/>
          <w:sz w:val="24"/>
          <w:szCs w:val="24"/>
        </w:rPr>
        <w:t>which is more likely to cause harm to individuals if improperly processed or, in this instance, remains in the online search results.</w:t>
      </w:r>
      <w:r w:rsidRPr="00A43DB3">
        <w:rPr>
          <w:rFonts w:ascii="Times New Roman" w:hAnsi="Times New Roman" w:cs="Times New Roman"/>
          <w:sz w:val="24"/>
          <w:szCs w:val="24"/>
        </w:rPr>
        <w:t xml:space="preserve"> Similarly, chapter 6 addresses another matter not sufficiently </w:t>
      </w:r>
      <w:r w:rsidR="00E83381">
        <w:rPr>
          <w:rFonts w:ascii="Times New Roman" w:hAnsi="Times New Roman" w:cs="Times New Roman"/>
          <w:sz w:val="24"/>
          <w:szCs w:val="24"/>
        </w:rPr>
        <w:t>examined</w:t>
      </w:r>
      <w:r w:rsidRPr="00A43DB3">
        <w:rPr>
          <w:rFonts w:ascii="Times New Roman" w:hAnsi="Times New Roman" w:cs="Times New Roman"/>
          <w:sz w:val="24"/>
          <w:szCs w:val="24"/>
        </w:rPr>
        <w:t xml:space="preserve"> under </w:t>
      </w:r>
      <w:r w:rsidRPr="00A43DB3">
        <w:rPr>
          <w:rFonts w:ascii="Times New Roman" w:hAnsi="Times New Roman" w:cs="Times New Roman"/>
          <w:i/>
          <w:iCs/>
          <w:sz w:val="24"/>
          <w:szCs w:val="24"/>
        </w:rPr>
        <w:t>Google Spain</w:t>
      </w:r>
      <w:r w:rsidR="00E83381">
        <w:rPr>
          <w:rFonts w:ascii="Times New Roman" w:hAnsi="Times New Roman" w:cs="Times New Roman"/>
          <w:sz w:val="24"/>
          <w:szCs w:val="24"/>
        </w:rPr>
        <w:t>:</w:t>
      </w:r>
      <w:r w:rsidRPr="00A43DB3">
        <w:rPr>
          <w:rFonts w:ascii="Times New Roman" w:hAnsi="Times New Roman" w:cs="Times New Roman"/>
          <w:sz w:val="24"/>
          <w:szCs w:val="24"/>
        </w:rPr>
        <w:t xml:space="preserve"> the territoriality of the de-referencing right, which was </w:t>
      </w:r>
      <w:r w:rsidR="00E83381">
        <w:rPr>
          <w:rFonts w:ascii="Times New Roman" w:hAnsi="Times New Roman" w:cs="Times New Roman"/>
          <w:sz w:val="24"/>
          <w:szCs w:val="24"/>
        </w:rPr>
        <w:t>later addressed</w:t>
      </w:r>
      <w:r w:rsidRPr="00A43DB3">
        <w:rPr>
          <w:rFonts w:ascii="Times New Roman" w:hAnsi="Times New Roman" w:cs="Times New Roman"/>
          <w:sz w:val="24"/>
          <w:szCs w:val="24"/>
        </w:rPr>
        <w:t xml:space="preserve"> in </w:t>
      </w:r>
      <w:r w:rsidRPr="00A43DB3">
        <w:rPr>
          <w:rFonts w:ascii="Times New Roman" w:hAnsi="Times New Roman" w:cs="Times New Roman"/>
          <w:i/>
          <w:iCs/>
          <w:sz w:val="24"/>
          <w:szCs w:val="24"/>
        </w:rPr>
        <w:t>Google v CNIL</w:t>
      </w:r>
      <w:r w:rsidRPr="00A43DB3">
        <w:rPr>
          <w:rFonts w:ascii="Times New Roman" w:hAnsi="Times New Roman" w:cs="Times New Roman"/>
          <w:sz w:val="24"/>
          <w:szCs w:val="24"/>
        </w:rPr>
        <w:t>.</w:t>
      </w:r>
      <w:r w:rsidRPr="00A43DB3">
        <w:rPr>
          <w:rStyle w:val="Refdenotaderodap"/>
          <w:rFonts w:ascii="Times New Roman" w:hAnsi="Times New Roman" w:cs="Times New Roman"/>
          <w:sz w:val="24"/>
          <w:szCs w:val="24"/>
        </w:rPr>
        <w:footnoteReference w:id="7"/>
      </w:r>
      <w:r w:rsidRPr="00A43DB3">
        <w:rPr>
          <w:rFonts w:ascii="Times New Roman" w:hAnsi="Times New Roman" w:cs="Times New Roman"/>
          <w:sz w:val="24"/>
          <w:szCs w:val="24"/>
        </w:rPr>
        <w:t xml:space="preserve"> Lastly, this dissertation proposes some solutions to minimise the current deficiencies concerning the protection of personal data </w:t>
      </w:r>
      <w:r w:rsidR="00E83381">
        <w:rPr>
          <w:rFonts w:ascii="Times New Roman" w:hAnsi="Times New Roman" w:cs="Times New Roman"/>
          <w:sz w:val="24"/>
          <w:szCs w:val="24"/>
        </w:rPr>
        <w:t>on the Internet</w:t>
      </w:r>
      <w:r w:rsidRPr="00A43DB3">
        <w:rPr>
          <w:rFonts w:ascii="Times New Roman" w:hAnsi="Times New Roman" w:cs="Times New Roman"/>
          <w:sz w:val="24"/>
          <w:szCs w:val="24"/>
        </w:rPr>
        <w:t xml:space="preserve">, i.e. expiration dates for online content, segmentation and pseudonymisation of data, as well as a public-private partnership between search engine operators and public </w:t>
      </w:r>
      <w:r w:rsidRPr="00A43DB3">
        <w:rPr>
          <w:rFonts w:ascii="Times New Roman" w:hAnsi="Times New Roman" w:cs="Times New Roman"/>
          <w:sz w:val="24"/>
          <w:szCs w:val="24"/>
        </w:rPr>
        <w:lastRenderedPageBreak/>
        <w:t xml:space="preserve">authorities. These recommendations represent a way to integrate the right to be forgotten to </w:t>
      </w:r>
      <w:r w:rsidR="001973D7">
        <w:rPr>
          <w:rFonts w:ascii="Times New Roman" w:hAnsi="Times New Roman" w:cs="Times New Roman"/>
          <w:sz w:val="24"/>
          <w:szCs w:val="24"/>
        </w:rPr>
        <w:t xml:space="preserve">a </w:t>
      </w:r>
      <w:r w:rsidRPr="00A43DB3">
        <w:rPr>
          <w:rFonts w:ascii="Times New Roman" w:hAnsi="Times New Roman" w:cs="Times New Roman"/>
          <w:sz w:val="24"/>
          <w:szCs w:val="24"/>
        </w:rPr>
        <w:t>society</w:t>
      </w:r>
      <w:r w:rsidR="001973D7">
        <w:rPr>
          <w:rFonts w:ascii="Times New Roman" w:hAnsi="Times New Roman" w:cs="Times New Roman"/>
          <w:sz w:val="24"/>
          <w:szCs w:val="24"/>
        </w:rPr>
        <w:t xml:space="preserve"> which increasingly becomes more connected through digital means</w:t>
      </w:r>
      <w:r w:rsidR="00E83381">
        <w:rPr>
          <w:rFonts w:ascii="Times New Roman" w:hAnsi="Times New Roman" w:cs="Times New Roman"/>
          <w:sz w:val="24"/>
          <w:szCs w:val="24"/>
        </w:rPr>
        <w:t>, providing for a more effective protection of personal information regarding data subjects</w:t>
      </w:r>
      <w:r w:rsidR="001973D7">
        <w:rPr>
          <w:rFonts w:ascii="Times New Roman" w:hAnsi="Times New Roman" w:cs="Times New Roman"/>
          <w:sz w:val="24"/>
          <w:szCs w:val="24"/>
        </w:rPr>
        <w:t xml:space="preserve">, while </w:t>
      </w:r>
      <w:r w:rsidR="00DE3A1B">
        <w:rPr>
          <w:rFonts w:ascii="Times New Roman" w:hAnsi="Times New Roman" w:cs="Times New Roman"/>
          <w:sz w:val="24"/>
          <w:szCs w:val="24"/>
        </w:rPr>
        <w:t>enabling a more stringent oversight over the adoption of the de-referencing right exercised by private companies.</w:t>
      </w:r>
    </w:p>
    <w:p w14:paraId="3AAD0E75" w14:textId="7616816A" w:rsidR="00481564" w:rsidRDefault="00DE3A1B" w:rsidP="00481564">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Accordingly, this paper will employ</w:t>
      </w:r>
      <w:proofErr w:type="gramStart"/>
      <w:r>
        <w:rPr>
          <w:rFonts w:ascii="Times New Roman" w:hAnsi="Times New Roman" w:cs="Times New Roman"/>
          <w:sz w:val="24"/>
          <w:szCs w:val="24"/>
        </w:rPr>
        <w:t>, in particular, a</w:t>
      </w:r>
      <w:proofErr w:type="gramEnd"/>
      <w:r>
        <w:rPr>
          <w:rFonts w:ascii="Times New Roman" w:hAnsi="Times New Roman" w:cs="Times New Roman"/>
          <w:sz w:val="24"/>
          <w:szCs w:val="24"/>
        </w:rPr>
        <w:t xml:space="preserve"> doctrinal analysis of the European legal framework regarding the right to erasure</w:t>
      </w:r>
      <w:r w:rsidR="00D527BC">
        <w:rPr>
          <w:rFonts w:ascii="Times New Roman" w:hAnsi="Times New Roman" w:cs="Times New Roman"/>
          <w:sz w:val="24"/>
          <w:szCs w:val="24"/>
        </w:rPr>
        <w:t xml:space="preserve"> </w:t>
      </w:r>
      <w:r w:rsidR="001344FD">
        <w:rPr>
          <w:rFonts w:ascii="Times New Roman" w:hAnsi="Times New Roman" w:cs="Times New Roman"/>
          <w:sz w:val="24"/>
          <w:szCs w:val="24"/>
        </w:rPr>
        <w:t xml:space="preserve">and, more generally, data protection, as well as </w:t>
      </w:r>
      <w:r w:rsidR="00D527BC">
        <w:rPr>
          <w:rFonts w:ascii="Times New Roman" w:hAnsi="Times New Roman" w:cs="Times New Roman"/>
          <w:sz w:val="24"/>
          <w:szCs w:val="24"/>
        </w:rPr>
        <w:t xml:space="preserve">the corresponding judicial approach in relation to the matter. It contemplates the development of </w:t>
      </w:r>
      <w:r w:rsidR="001344FD">
        <w:rPr>
          <w:rFonts w:ascii="Times New Roman" w:hAnsi="Times New Roman" w:cs="Times New Roman"/>
          <w:sz w:val="24"/>
          <w:szCs w:val="24"/>
        </w:rPr>
        <w:t>the right to be forgotten</w:t>
      </w:r>
      <w:r w:rsidR="00D527BC">
        <w:rPr>
          <w:rFonts w:ascii="Times New Roman" w:hAnsi="Times New Roman" w:cs="Times New Roman"/>
          <w:sz w:val="24"/>
          <w:szCs w:val="24"/>
        </w:rPr>
        <w:t xml:space="preserve"> within the European Union and the case-law that follows the technological progress. </w:t>
      </w:r>
      <w:r w:rsidR="00B84FD7">
        <w:rPr>
          <w:rFonts w:ascii="Times New Roman" w:hAnsi="Times New Roman" w:cs="Times New Roman"/>
          <w:sz w:val="24"/>
          <w:szCs w:val="24"/>
        </w:rPr>
        <w:t xml:space="preserve">A social-legal consideration will also be </w:t>
      </w:r>
      <w:r w:rsidR="001344FD">
        <w:rPr>
          <w:rFonts w:ascii="Times New Roman" w:hAnsi="Times New Roman" w:cs="Times New Roman"/>
          <w:sz w:val="24"/>
          <w:szCs w:val="24"/>
        </w:rPr>
        <w:t>provided</w:t>
      </w:r>
      <w:r w:rsidR="00B84FD7">
        <w:rPr>
          <w:rFonts w:ascii="Times New Roman" w:hAnsi="Times New Roman" w:cs="Times New Roman"/>
          <w:sz w:val="24"/>
          <w:szCs w:val="24"/>
        </w:rPr>
        <w:t xml:space="preserve"> </w:t>
      </w:r>
      <w:proofErr w:type="gramStart"/>
      <w:r w:rsidR="00B84FD7">
        <w:rPr>
          <w:rFonts w:ascii="Times New Roman" w:hAnsi="Times New Roman" w:cs="Times New Roman"/>
          <w:sz w:val="24"/>
          <w:szCs w:val="24"/>
        </w:rPr>
        <w:t>in order to</w:t>
      </w:r>
      <w:proofErr w:type="gramEnd"/>
      <w:r w:rsidR="00B84FD7">
        <w:rPr>
          <w:rFonts w:ascii="Times New Roman" w:hAnsi="Times New Roman" w:cs="Times New Roman"/>
          <w:sz w:val="24"/>
          <w:szCs w:val="24"/>
        </w:rPr>
        <w:t xml:space="preserve"> understand the factual limitations that technologies present to sufficiently remove digital data, </w:t>
      </w:r>
      <w:r w:rsidR="001344FD">
        <w:rPr>
          <w:rFonts w:ascii="Times New Roman" w:hAnsi="Times New Roman" w:cs="Times New Roman"/>
          <w:sz w:val="24"/>
          <w:szCs w:val="24"/>
        </w:rPr>
        <w:t>in addition to</w:t>
      </w:r>
      <w:r w:rsidR="00B84FD7">
        <w:rPr>
          <w:rFonts w:ascii="Times New Roman" w:hAnsi="Times New Roman" w:cs="Times New Roman"/>
          <w:sz w:val="24"/>
          <w:szCs w:val="24"/>
        </w:rPr>
        <w:t xml:space="preserve"> political obstacles which may </w:t>
      </w:r>
      <w:r w:rsidR="001344FD">
        <w:rPr>
          <w:rFonts w:ascii="Times New Roman" w:hAnsi="Times New Roman" w:cs="Times New Roman"/>
          <w:sz w:val="24"/>
          <w:szCs w:val="24"/>
        </w:rPr>
        <w:t>impede</w:t>
      </w:r>
      <w:r w:rsidR="00B84FD7">
        <w:rPr>
          <w:rFonts w:ascii="Times New Roman" w:hAnsi="Times New Roman" w:cs="Times New Roman"/>
          <w:sz w:val="24"/>
          <w:szCs w:val="24"/>
        </w:rPr>
        <w:t xml:space="preserve"> a</w:t>
      </w:r>
      <w:r w:rsidR="001344FD">
        <w:rPr>
          <w:rFonts w:ascii="Times New Roman" w:hAnsi="Times New Roman" w:cs="Times New Roman"/>
          <w:sz w:val="24"/>
          <w:szCs w:val="24"/>
        </w:rPr>
        <w:t xml:space="preserve"> complete </w:t>
      </w:r>
      <w:r w:rsidR="00B84FD7">
        <w:rPr>
          <w:rFonts w:ascii="Times New Roman" w:hAnsi="Times New Roman" w:cs="Times New Roman"/>
          <w:sz w:val="24"/>
          <w:szCs w:val="24"/>
        </w:rPr>
        <w:t>implementation of such right</w:t>
      </w:r>
      <w:r w:rsidR="001344FD">
        <w:rPr>
          <w:rFonts w:ascii="Times New Roman" w:hAnsi="Times New Roman" w:cs="Times New Roman"/>
          <w:sz w:val="24"/>
          <w:szCs w:val="24"/>
        </w:rPr>
        <w:t xml:space="preserve"> worldwide.</w:t>
      </w:r>
    </w:p>
    <w:p w14:paraId="1C107BA4" w14:textId="77777777" w:rsidR="00481564" w:rsidRDefault="00481564" w:rsidP="00481564">
      <w:pPr>
        <w:spacing w:line="360" w:lineRule="auto"/>
        <w:jc w:val="both"/>
        <w:rPr>
          <w:rFonts w:ascii="Times New Roman" w:hAnsi="Times New Roman" w:cs="Times New Roman"/>
          <w:sz w:val="24"/>
          <w:szCs w:val="24"/>
        </w:rPr>
      </w:pPr>
    </w:p>
    <w:p w14:paraId="3F6413F3" w14:textId="77777777" w:rsidR="00481564" w:rsidRDefault="00481564" w:rsidP="00481564">
      <w:pPr>
        <w:spacing w:line="360" w:lineRule="auto"/>
        <w:jc w:val="both"/>
        <w:rPr>
          <w:rFonts w:ascii="Times New Roman" w:hAnsi="Times New Roman" w:cs="Times New Roman"/>
          <w:sz w:val="24"/>
          <w:szCs w:val="24"/>
        </w:rPr>
      </w:pPr>
    </w:p>
    <w:p w14:paraId="7D5E3527" w14:textId="77777777" w:rsidR="00481564" w:rsidRDefault="00481564" w:rsidP="00481564">
      <w:pPr>
        <w:spacing w:line="360" w:lineRule="auto"/>
        <w:jc w:val="both"/>
        <w:rPr>
          <w:rFonts w:ascii="Times New Roman" w:hAnsi="Times New Roman" w:cs="Times New Roman"/>
          <w:sz w:val="24"/>
          <w:szCs w:val="24"/>
        </w:rPr>
      </w:pPr>
    </w:p>
    <w:p w14:paraId="222A1E3E" w14:textId="77777777" w:rsidR="00481564" w:rsidRDefault="00481564" w:rsidP="00481564">
      <w:pPr>
        <w:spacing w:line="360" w:lineRule="auto"/>
        <w:jc w:val="both"/>
        <w:rPr>
          <w:rFonts w:ascii="Times New Roman" w:hAnsi="Times New Roman" w:cs="Times New Roman"/>
          <w:sz w:val="24"/>
          <w:szCs w:val="24"/>
        </w:rPr>
      </w:pPr>
    </w:p>
    <w:p w14:paraId="44D6FAC7" w14:textId="77777777" w:rsidR="00481564" w:rsidRDefault="00481564" w:rsidP="00481564">
      <w:pPr>
        <w:spacing w:line="360" w:lineRule="auto"/>
        <w:jc w:val="both"/>
        <w:rPr>
          <w:rFonts w:ascii="Times New Roman" w:hAnsi="Times New Roman" w:cs="Times New Roman"/>
          <w:sz w:val="24"/>
          <w:szCs w:val="24"/>
        </w:rPr>
      </w:pPr>
    </w:p>
    <w:p w14:paraId="065F7E5C" w14:textId="77777777" w:rsidR="00481564" w:rsidRDefault="00481564" w:rsidP="00481564">
      <w:pPr>
        <w:spacing w:line="360" w:lineRule="auto"/>
        <w:jc w:val="both"/>
        <w:rPr>
          <w:rFonts w:ascii="Times New Roman" w:hAnsi="Times New Roman" w:cs="Times New Roman"/>
          <w:sz w:val="24"/>
          <w:szCs w:val="24"/>
        </w:rPr>
      </w:pPr>
    </w:p>
    <w:p w14:paraId="187F4FA3" w14:textId="77777777" w:rsidR="00481564" w:rsidRDefault="00481564" w:rsidP="00481564">
      <w:pPr>
        <w:spacing w:line="360" w:lineRule="auto"/>
        <w:jc w:val="both"/>
        <w:rPr>
          <w:rFonts w:ascii="Times New Roman" w:hAnsi="Times New Roman" w:cs="Times New Roman"/>
          <w:sz w:val="24"/>
          <w:szCs w:val="24"/>
        </w:rPr>
      </w:pPr>
    </w:p>
    <w:p w14:paraId="671EED3D" w14:textId="77777777" w:rsidR="00481564" w:rsidRDefault="00481564" w:rsidP="00481564">
      <w:pPr>
        <w:spacing w:line="360" w:lineRule="auto"/>
        <w:jc w:val="both"/>
        <w:rPr>
          <w:rFonts w:ascii="Times New Roman" w:hAnsi="Times New Roman" w:cs="Times New Roman"/>
          <w:sz w:val="24"/>
          <w:szCs w:val="24"/>
        </w:rPr>
      </w:pPr>
    </w:p>
    <w:p w14:paraId="288032E0" w14:textId="77777777" w:rsidR="00481564" w:rsidRDefault="00481564" w:rsidP="00481564">
      <w:pPr>
        <w:spacing w:line="360" w:lineRule="auto"/>
        <w:jc w:val="both"/>
        <w:rPr>
          <w:rFonts w:ascii="Times New Roman" w:hAnsi="Times New Roman" w:cs="Times New Roman"/>
          <w:sz w:val="24"/>
          <w:szCs w:val="24"/>
        </w:rPr>
      </w:pPr>
    </w:p>
    <w:p w14:paraId="592C7C90" w14:textId="77777777" w:rsidR="00481564" w:rsidRDefault="00481564" w:rsidP="00481564">
      <w:pPr>
        <w:spacing w:line="360" w:lineRule="auto"/>
        <w:jc w:val="both"/>
        <w:rPr>
          <w:rFonts w:ascii="Times New Roman" w:hAnsi="Times New Roman" w:cs="Times New Roman"/>
          <w:sz w:val="24"/>
          <w:szCs w:val="24"/>
        </w:rPr>
      </w:pPr>
    </w:p>
    <w:p w14:paraId="1AB37B34" w14:textId="77777777" w:rsidR="00481564" w:rsidRDefault="00481564" w:rsidP="00481564">
      <w:pPr>
        <w:spacing w:line="360" w:lineRule="auto"/>
        <w:jc w:val="both"/>
        <w:rPr>
          <w:rFonts w:ascii="Times New Roman" w:hAnsi="Times New Roman" w:cs="Times New Roman"/>
          <w:sz w:val="24"/>
          <w:szCs w:val="24"/>
        </w:rPr>
      </w:pPr>
    </w:p>
    <w:p w14:paraId="728A3A07" w14:textId="77777777" w:rsidR="00481564" w:rsidRDefault="00481564" w:rsidP="00481564">
      <w:pPr>
        <w:spacing w:line="360" w:lineRule="auto"/>
        <w:jc w:val="both"/>
        <w:rPr>
          <w:rFonts w:ascii="Times New Roman" w:hAnsi="Times New Roman" w:cs="Times New Roman"/>
          <w:sz w:val="24"/>
          <w:szCs w:val="24"/>
        </w:rPr>
      </w:pPr>
    </w:p>
    <w:p w14:paraId="3BE10AF7" w14:textId="77777777" w:rsidR="00481564" w:rsidRDefault="00481564" w:rsidP="00481564">
      <w:pPr>
        <w:spacing w:line="360" w:lineRule="auto"/>
        <w:jc w:val="both"/>
        <w:rPr>
          <w:rFonts w:ascii="Times New Roman" w:hAnsi="Times New Roman" w:cs="Times New Roman"/>
          <w:sz w:val="24"/>
          <w:szCs w:val="24"/>
        </w:rPr>
      </w:pPr>
    </w:p>
    <w:p w14:paraId="436E7947" w14:textId="77777777" w:rsidR="00481564" w:rsidRDefault="00481564" w:rsidP="00481564">
      <w:pPr>
        <w:spacing w:line="360" w:lineRule="auto"/>
        <w:jc w:val="both"/>
        <w:rPr>
          <w:rFonts w:ascii="Times New Roman" w:hAnsi="Times New Roman" w:cs="Times New Roman"/>
          <w:sz w:val="24"/>
          <w:szCs w:val="24"/>
        </w:rPr>
      </w:pPr>
    </w:p>
    <w:p w14:paraId="5873AEE7" w14:textId="77777777" w:rsidR="00481564" w:rsidRPr="00A43DB3" w:rsidRDefault="00481564" w:rsidP="00481564">
      <w:pPr>
        <w:pStyle w:val="PargrafodaLista"/>
        <w:numPr>
          <w:ilvl w:val="0"/>
          <w:numId w:val="11"/>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lastRenderedPageBreak/>
        <w:t xml:space="preserve">Right to privacy </w:t>
      </w:r>
      <w:r w:rsidRPr="00A43DB3">
        <w:rPr>
          <w:rFonts w:ascii="Times New Roman" w:hAnsi="Times New Roman" w:cs="Times New Roman"/>
          <w:b/>
          <w:bCs/>
          <w:i/>
          <w:iCs/>
          <w:sz w:val="24"/>
          <w:szCs w:val="24"/>
        </w:rPr>
        <w:t>versus</w:t>
      </w:r>
      <w:r w:rsidRPr="00A43DB3">
        <w:rPr>
          <w:rFonts w:ascii="Times New Roman" w:hAnsi="Times New Roman" w:cs="Times New Roman"/>
          <w:b/>
          <w:bCs/>
          <w:sz w:val="24"/>
          <w:szCs w:val="24"/>
        </w:rPr>
        <w:t xml:space="preserve"> right of freedom of expression </w:t>
      </w:r>
    </w:p>
    <w:p w14:paraId="6909B6D2"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application of the right to be forgotten on the Internet evinces the antagonistic viewpoints of those who advocate for privacy and data protection, on the one hand, and those who defend the right of freedom of expression and information, on the other. This dichotomy will permeate all cases regarding the de-referencing right and thus deserves a more meticulously consideration. For instance, to achieve a fair balance between such rights, the proportionality test must take place prior to the removal of personal data. Nevertheless, as it is apparent from the jurisprudence of the Court of Justice of the European Union (CJEU), the European approach tends to favour privacy over freedom of expression, once the former is highly protected as an important value amongst the Member States. </w:t>
      </w:r>
    </w:p>
    <w:p w14:paraId="34B78D80"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Under the rubric of privacy, the Charter of Fundamental Rights of the European Union (the Charter), in Article 7,</w:t>
      </w:r>
      <w:r w:rsidRPr="00A43DB3">
        <w:rPr>
          <w:rStyle w:val="Refdenotaderodap"/>
          <w:rFonts w:ascii="Times New Roman" w:hAnsi="Times New Roman" w:cs="Times New Roman"/>
          <w:sz w:val="24"/>
          <w:szCs w:val="24"/>
        </w:rPr>
        <w:footnoteReference w:id="8"/>
      </w:r>
      <w:r w:rsidRPr="00A43DB3">
        <w:rPr>
          <w:rFonts w:ascii="Times New Roman" w:hAnsi="Times New Roman" w:cs="Times New Roman"/>
          <w:sz w:val="24"/>
          <w:szCs w:val="24"/>
        </w:rPr>
        <w:t xml:space="preserve"> establishes that the individuals’ family life, home and communications must be respected, while Article 8</w:t>
      </w:r>
      <w:r w:rsidRPr="00A43DB3">
        <w:rPr>
          <w:rStyle w:val="Refdenotaderodap"/>
          <w:rFonts w:ascii="Times New Roman" w:hAnsi="Times New Roman" w:cs="Times New Roman"/>
          <w:sz w:val="24"/>
          <w:szCs w:val="24"/>
        </w:rPr>
        <w:footnoteReference w:id="9"/>
      </w:r>
      <w:r w:rsidRPr="00A43DB3">
        <w:rPr>
          <w:rFonts w:ascii="Times New Roman" w:hAnsi="Times New Roman" w:cs="Times New Roman"/>
          <w:sz w:val="24"/>
          <w:szCs w:val="24"/>
        </w:rPr>
        <w:t xml:space="preserve"> addresses the protection of personal data, which must be </w:t>
      </w:r>
      <w:proofErr w:type="gramStart"/>
      <w:r w:rsidRPr="00A43DB3">
        <w:rPr>
          <w:rFonts w:ascii="Times New Roman" w:hAnsi="Times New Roman" w:cs="Times New Roman"/>
          <w:sz w:val="24"/>
          <w:szCs w:val="24"/>
        </w:rPr>
        <w:t>fairly processed</w:t>
      </w:r>
      <w:proofErr w:type="gramEnd"/>
      <w:r w:rsidRPr="00A43DB3">
        <w:rPr>
          <w:rFonts w:ascii="Times New Roman" w:hAnsi="Times New Roman" w:cs="Times New Roman"/>
          <w:sz w:val="24"/>
          <w:szCs w:val="24"/>
        </w:rPr>
        <w:t xml:space="preserve">, for specific purposes and pursuant to any legitimate basis provided for by law. </w:t>
      </w:r>
    </w:p>
    <w:p w14:paraId="00BC40F8"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Similarly, Article 8(1) of the European Convention of Human Rights (ECHR) provides individuals with the right to be respected in their private and family life, as well as in their home and correspondence.</w:t>
      </w:r>
      <w:r w:rsidRPr="00A43DB3">
        <w:rPr>
          <w:rStyle w:val="Refdenotaderodap"/>
          <w:rFonts w:ascii="Times New Roman" w:hAnsi="Times New Roman" w:cs="Times New Roman"/>
          <w:sz w:val="24"/>
          <w:szCs w:val="24"/>
        </w:rPr>
        <w:footnoteReference w:id="10"/>
      </w:r>
      <w:r w:rsidRPr="00A43DB3">
        <w:rPr>
          <w:rFonts w:ascii="Times New Roman" w:hAnsi="Times New Roman" w:cs="Times New Roman"/>
          <w:sz w:val="24"/>
          <w:szCs w:val="24"/>
        </w:rPr>
        <w:t xml:space="preserve"> Nevertheless, Article 8(2) of the ECHR accentuates that the right to privacy can be overridden in some circumstances, including ‘for the protection of the rights and freedoms of others’,</w:t>
      </w:r>
      <w:r w:rsidRPr="00A43DB3">
        <w:rPr>
          <w:rStyle w:val="Refdenotaderodap"/>
          <w:rFonts w:ascii="Times New Roman" w:hAnsi="Times New Roman" w:cs="Times New Roman"/>
          <w:sz w:val="24"/>
          <w:szCs w:val="24"/>
        </w:rPr>
        <w:footnoteReference w:id="11"/>
      </w:r>
      <w:r w:rsidRPr="00A43DB3">
        <w:rPr>
          <w:rFonts w:ascii="Times New Roman" w:hAnsi="Times New Roman" w:cs="Times New Roman"/>
          <w:sz w:val="24"/>
          <w:szCs w:val="24"/>
        </w:rPr>
        <w:t xml:space="preserve"> which clearly indicates that such right is not absolute. </w:t>
      </w:r>
    </w:p>
    <w:p w14:paraId="511518EC"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Furthermore, Article 12 of the Universal Declaration of Human Rights (UDHR) assures individuals of the preservation of their privacy,</w:t>
      </w:r>
      <w:r w:rsidRPr="00A43DB3">
        <w:rPr>
          <w:rFonts w:ascii="Times New Roman" w:hAnsi="Times New Roman" w:cs="Times New Roman"/>
          <w:color w:val="454545"/>
          <w:spacing w:val="-5"/>
          <w:sz w:val="24"/>
          <w:szCs w:val="24"/>
          <w:shd w:val="clear" w:color="auto" w:fill="FFFFFF"/>
        </w:rPr>
        <w:t xml:space="preserve"> </w:t>
      </w:r>
      <w:r w:rsidRPr="00A43DB3">
        <w:rPr>
          <w:rFonts w:ascii="Times New Roman" w:hAnsi="Times New Roman" w:cs="Times New Roman"/>
          <w:sz w:val="24"/>
          <w:szCs w:val="24"/>
        </w:rPr>
        <w:t xml:space="preserve">family, </w:t>
      </w:r>
      <w:proofErr w:type="gramStart"/>
      <w:r w:rsidRPr="00A43DB3">
        <w:rPr>
          <w:rFonts w:ascii="Times New Roman" w:hAnsi="Times New Roman" w:cs="Times New Roman"/>
          <w:sz w:val="24"/>
          <w:szCs w:val="24"/>
        </w:rPr>
        <w:t>home</w:t>
      </w:r>
      <w:proofErr w:type="gramEnd"/>
      <w:r w:rsidRPr="00A43DB3">
        <w:rPr>
          <w:rFonts w:ascii="Times New Roman" w:hAnsi="Times New Roman" w:cs="Times New Roman"/>
          <w:sz w:val="24"/>
          <w:szCs w:val="24"/>
        </w:rPr>
        <w:t xml:space="preserve"> or correspondence, as well as their honour and reputation.</w:t>
      </w:r>
      <w:r w:rsidRPr="00A43DB3">
        <w:rPr>
          <w:rStyle w:val="Refdenotaderodap"/>
          <w:rFonts w:ascii="Times New Roman" w:hAnsi="Times New Roman" w:cs="Times New Roman"/>
          <w:sz w:val="24"/>
          <w:szCs w:val="24"/>
        </w:rPr>
        <w:footnoteReference w:id="12"/>
      </w:r>
      <w:r w:rsidRPr="00A43DB3">
        <w:rPr>
          <w:rFonts w:ascii="Times New Roman" w:hAnsi="Times New Roman" w:cs="Times New Roman"/>
          <w:sz w:val="24"/>
          <w:szCs w:val="24"/>
        </w:rPr>
        <w:t xml:space="preserve"> In addition, Article 19 of the Declaration stresses that privacy must be counterbalanced with freedom of opinion and expression, which grasps freedom to hold opinions and ‘receive and impart information and ideas through any media and regardless of frontiers’.</w:t>
      </w:r>
      <w:r w:rsidRPr="00A43DB3">
        <w:rPr>
          <w:rStyle w:val="Refdenotaderodap"/>
          <w:rFonts w:ascii="Times New Roman" w:hAnsi="Times New Roman" w:cs="Times New Roman"/>
          <w:sz w:val="24"/>
          <w:szCs w:val="24"/>
        </w:rPr>
        <w:footnoteReference w:id="13"/>
      </w:r>
      <w:r w:rsidRPr="00A43DB3">
        <w:rPr>
          <w:rFonts w:ascii="Times New Roman" w:hAnsi="Times New Roman" w:cs="Times New Roman"/>
          <w:sz w:val="24"/>
          <w:szCs w:val="24"/>
        </w:rPr>
        <w:t xml:space="preserve"> </w:t>
      </w:r>
    </w:p>
    <w:p w14:paraId="316A03BB"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lastRenderedPageBreak/>
        <w:t>More recently, the General Data Protection Regulation (GDPR)</w:t>
      </w:r>
      <w:r w:rsidRPr="00A43DB3">
        <w:rPr>
          <w:rStyle w:val="Refdenotaderodap"/>
          <w:rFonts w:ascii="Times New Roman" w:hAnsi="Times New Roman" w:cs="Times New Roman"/>
          <w:sz w:val="24"/>
          <w:szCs w:val="24"/>
        </w:rPr>
        <w:footnoteReference w:id="14"/>
      </w:r>
      <w:r w:rsidRPr="00A43DB3">
        <w:rPr>
          <w:rFonts w:ascii="Times New Roman" w:hAnsi="Times New Roman" w:cs="Times New Roman"/>
          <w:sz w:val="24"/>
          <w:szCs w:val="24"/>
        </w:rPr>
        <w:t xml:space="preserve"> has enshrined, in Article 1(2), as one of its basilar objectives, the safeguard of the fundamental rights and freedoms of natural persons, notably their right to the protection of personal data.</w:t>
      </w:r>
      <w:r w:rsidRPr="00A43DB3">
        <w:rPr>
          <w:rStyle w:val="Refdenotaderodap"/>
          <w:rFonts w:ascii="Times New Roman" w:hAnsi="Times New Roman" w:cs="Times New Roman"/>
          <w:sz w:val="24"/>
          <w:szCs w:val="24"/>
        </w:rPr>
        <w:footnoteReference w:id="15"/>
      </w:r>
      <w:r w:rsidRPr="00A43DB3">
        <w:rPr>
          <w:rFonts w:ascii="Times New Roman" w:hAnsi="Times New Roman" w:cs="Times New Roman"/>
          <w:sz w:val="24"/>
          <w:szCs w:val="24"/>
        </w:rPr>
        <w:t xml:space="preserve"> As to the right to be forgotten, in particular, Article 17(3)(a) of the Regulation expressly states that such right will not apply where the processing is justified by the right of freedom of expression and information,</w:t>
      </w:r>
      <w:r w:rsidRPr="00A43DB3">
        <w:rPr>
          <w:rStyle w:val="Refdenotaderodap"/>
          <w:rFonts w:ascii="Times New Roman" w:hAnsi="Times New Roman" w:cs="Times New Roman"/>
          <w:sz w:val="24"/>
          <w:szCs w:val="24"/>
        </w:rPr>
        <w:footnoteReference w:id="16"/>
      </w:r>
      <w:r w:rsidRPr="00A43DB3">
        <w:rPr>
          <w:rFonts w:ascii="Times New Roman" w:hAnsi="Times New Roman" w:cs="Times New Roman"/>
          <w:sz w:val="24"/>
          <w:szCs w:val="24"/>
        </w:rPr>
        <w:t xml:space="preserve"> which clearly demonstrates that other fundamental rights may override data subjects’ interests.  </w:t>
      </w:r>
    </w:p>
    <w:p w14:paraId="4B1DF4C0"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Nevertheless, the right to privacy and the right to be forgotten, when factually claimed by data subjects, may lead to an antagonistic result, opposed to the original intent: the Streisand effect. This reaction is manifested when the disputed information receives greater public attention as an unexpected outcome to the attempt to supress or censor it. In other words, the public becomes more interested in accessing the content to understand the reasons why it needed to be hidden. Even after deletion by the search engine operator or the publisher, web users might have downloaded the content and reposted it, which hampers the purpose of the erasure. Accordingly, the removal request, whose original aim was to preserve privacy, results in attracting more public scrutiny. The term ‘Streisand effect’ arose in 2009 from the filling of a lawsuit by the actress and singer Barbra Streisand against the photographer Kenneth Adelman, claiming that her privacy was breached by the publication on the defendant’s website of pictures of his authorship where her house could be seen and identified by the public.</w:t>
      </w:r>
      <w:r w:rsidRPr="00A43DB3">
        <w:rPr>
          <w:rStyle w:val="Refdenotaderodap"/>
          <w:rFonts w:ascii="Times New Roman" w:hAnsi="Times New Roman" w:cs="Times New Roman"/>
          <w:sz w:val="24"/>
          <w:szCs w:val="24"/>
        </w:rPr>
        <w:footnoteReference w:id="17"/>
      </w:r>
      <w:r w:rsidRPr="00A43DB3">
        <w:rPr>
          <w:rFonts w:ascii="Times New Roman" w:hAnsi="Times New Roman" w:cs="Times New Roman"/>
          <w:sz w:val="24"/>
          <w:szCs w:val="24"/>
        </w:rPr>
        <w:t xml:space="preserve"> In the aftermath of the litigation, the website in question received 420,000 views per month, in contrast to the only six downloads prior to the dispute, certainly an unpredicted consequence for the artist, representing a consequence capable of obstructing the satisfactory removal of online content. </w:t>
      </w:r>
    </w:p>
    <w:p w14:paraId="57433F18"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On the other hand, contrary to the right to privacy, there is the right of freedom of expression, catalogued in Article 11 of the Charter, which comprises the ‘freedom to hold opinions and to receive and impart information and ideas without interference by public authority and regardless of frontiers’,</w:t>
      </w:r>
      <w:r w:rsidRPr="00A43DB3">
        <w:rPr>
          <w:rStyle w:val="Refdenotaderodap"/>
          <w:rFonts w:ascii="Times New Roman" w:hAnsi="Times New Roman" w:cs="Times New Roman"/>
          <w:sz w:val="24"/>
          <w:szCs w:val="24"/>
        </w:rPr>
        <w:footnoteReference w:id="18"/>
      </w:r>
      <w:r w:rsidRPr="00A43DB3">
        <w:rPr>
          <w:rFonts w:ascii="Times New Roman" w:hAnsi="Times New Roman" w:cs="Times New Roman"/>
          <w:sz w:val="24"/>
          <w:szCs w:val="24"/>
        </w:rPr>
        <w:t xml:space="preserve"> which corresponds to Article 10 of the ECHR.</w:t>
      </w:r>
      <w:r w:rsidRPr="00A43DB3">
        <w:rPr>
          <w:rStyle w:val="Refdenotaderodap"/>
          <w:rFonts w:ascii="Times New Roman" w:hAnsi="Times New Roman" w:cs="Times New Roman"/>
          <w:sz w:val="24"/>
          <w:szCs w:val="24"/>
        </w:rPr>
        <w:footnoteReference w:id="19"/>
      </w:r>
      <w:r w:rsidRPr="00A43DB3">
        <w:rPr>
          <w:rFonts w:ascii="Times New Roman" w:hAnsi="Times New Roman" w:cs="Times New Roman"/>
          <w:sz w:val="24"/>
          <w:szCs w:val="24"/>
        </w:rPr>
        <w:t xml:space="preserve"> </w:t>
      </w:r>
      <w:r w:rsidRPr="00A43DB3">
        <w:rPr>
          <w:rFonts w:ascii="Times New Roman" w:hAnsi="Times New Roman" w:cs="Times New Roman"/>
          <w:sz w:val="24"/>
          <w:szCs w:val="24"/>
        </w:rPr>
        <w:lastRenderedPageBreak/>
        <w:t xml:space="preserve">Freedom of expression represents the opposing side against which the right to privacy must be balanced, in conformity with the proportionality test, when assessing an erasure request. </w:t>
      </w:r>
    </w:p>
    <w:p w14:paraId="49D8514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Notwithstanding, similarly to the right to privacy and right to erasure, freedom of expression does not allow individuals to exercise such right without limits, endangering, for instance, ‘national security, public safety, for the prevention of disorder or crime, for the protection of the reputation or rights of others, for preventing the disclosure of information received in confidence’.</w:t>
      </w:r>
      <w:r w:rsidRPr="00A43DB3">
        <w:rPr>
          <w:rStyle w:val="Refdenotaderodap"/>
          <w:rFonts w:ascii="Times New Roman" w:hAnsi="Times New Roman" w:cs="Times New Roman"/>
          <w:sz w:val="24"/>
          <w:szCs w:val="24"/>
        </w:rPr>
        <w:footnoteReference w:id="20"/>
      </w:r>
      <w:r w:rsidRPr="00A43DB3">
        <w:rPr>
          <w:rFonts w:ascii="Times New Roman" w:hAnsi="Times New Roman" w:cs="Times New Roman"/>
          <w:sz w:val="24"/>
          <w:szCs w:val="24"/>
        </w:rPr>
        <w:t xml:space="preserve"> Undeniably, freedom of expression firmly characterises democratic societies. However, for being restrained by conditions and penalties, it is also clear that such right is not absolute, despite regarded as universal. </w:t>
      </w:r>
    </w:p>
    <w:p w14:paraId="0AB347FF"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Some non-governmental organisations (NGOs),</w:t>
      </w:r>
      <w:r>
        <w:rPr>
          <w:rStyle w:val="Refdenotaderodap"/>
          <w:rFonts w:ascii="Times New Roman" w:hAnsi="Times New Roman" w:cs="Times New Roman"/>
          <w:sz w:val="24"/>
          <w:szCs w:val="24"/>
        </w:rPr>
        <w:footnoteReference w:id="21"/>
      </w:r>
      <w:r w:rsidRPr="00A43DB3">
        <w:rPr>
          <w:rFonts w:ascii="Times New Roman" w:hAnsi="Times New Roman" w:cs="Times New Roman"/>
          <w:sz w:val="24"/>
          <w:szCs w:val="24"/>
        </w:rPr>
        <w:t xml:space="preserve"> supporting both democracy and the right of freedom of expression, have advocated for the protection of free speech also in the context of the Internet, highlighting the advantages it brings, such as the possibility of confronting the information conveyed to the population through the traditional media, promoting debate and knowledge, as well as improving the lives of individuals, notably in the developing world, despite economic, political or domestic legal constraints imposed by the local media. In this sense, guaranteeing online free speech would facilitate the access of information which otherwise would be scholarly unavailable.</w:t>
      </w:r>
      <w:r w:rsidRPr="00A43DB3">
        <w:rPr>
          <w:rStyle w:val="Refdenotaderodap"/>
          <w:rFonts w:ascii="Times New Roman" w:hAnsi="Times New Roman" w:cs="Times New Roman"/>
          <w:sz w:val="24"/>
          <w:szCs w:val="24"/>
        </w:rPr>
        <w:footnoteReference w:id="22"/>
      </w:r>
      <w:r w:rsidRPr="00A43DB3">
        <w:rPr>
          <w:rFonts w:ascii="Times New Roman" w:hAnsi="Times New Roman" w:cs="Times New Roman"/>
          <w:sz w:val="24"/>
          <w:szCs w:val="24"/>
        </w:rPr>
        <w:t xml:space="preserve"> Restrictions on the freedom of expression are observed in authoritarian regimes, which suppress truthful information, through stringent control over their media and by preventing citizens from accessing online information on specific websites which address some historical events, for example. The same information, banned therein, under the European approach would be unlikely to attract the right to privacy or the right to erasure, due to the prevalence of the public interest.</w:t>
      </w:r>
    </w:p>
    <w:p w14:paraId="1ADDB963"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It is undeniable that the Internet provides for access to information made available by both official bodies and the mainstream media. In the same manner, it provides for the transmission of multiple and divergent information from organisations, independent local </w:t>
      </w:r>
      <w:proofErr w:type="gramStart"/>
      <w:r w:rsidRPr="00A43DB3">
        <w:rPr>
          <w:rFonts w:ascii="Times New Roman" w:hAnsi="Times New Roman" w:cs="Times New Roman"/>
          <w:sz w:val="24"/>
          <w:szCs w:val="24"/>
        </w:rPr>
        <w:lastRenderedPageBreak/>
        <w:t>media</w:t>
      </w:r>
      <w:proofErr w:type="gramEnd"/>
      <w:r w:rsidRPr="00A43DB3">
        <w:rPr>
          <w:rFonts w:ascii="Times New Roman" w:hAnsi="Times New Roman" w:cs="Times New Roman"/>
          <w:sz w:val="24"/>
          <w:szCs w:val="24"/>
        </w:rPr>
        <w:t xml:space="preserve"> and journalists. Accordingly, the social and political interaction that the World Wide Web promotes cannot be disregarded in modern society. </w:t>
      </w:r>
    </w:p>
    <w:p w14:paraId="471DC3D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Additionally, one of the risks that the right to be forgotten may pose is the discredit of online content which leads the public to mistrust information available on the Internet. For instance, the case of the German actor Walter </w:t>
      </w:r>
      <w:proofErr w:type="spellStart"/>
      <w:r w:rsidRPr="00A43DB3">
        <w:rPr>
          <w:rFonts w:ascii="Times New Roman" w:hAnsi="Times New Roman" w:cs="Times New Roman"/>
          <w:sz w:val="24"/>
          <w:szCs w:val="24"/>
        </w:rPr>
        <w:t>Sedlmayr’s</w:t>
      </w:r>
      <w:proofErr w:type="spellEnd"/>
      <w:r w:rsidRPr="00A43DB3">
        <w:rPr>
          <w:rFonts w:ascii="Times New Roman" w:hAnsi="Times New Roman" w:cs="Times New Roman"/>
          <w:sz w:val="24"/>
          <w:szCs w:val="24"/>
        </w:rPr>
        <w:t xml:space="preserve"> death in 1990 illustrates the fact. Because of </w:t>
      </w:r>
      <w:proofErr w:type="spellStart"/>
      <w:r w:rsidRPr="00A43DB3">
        <w:rPr>
          <w:rFonts w:ascii="Times New Roman" w:hAnsi="Times New Roman" w:cs="Times New Roman"/>
          <w:sz w:val="24"/>
          <w:szCs w:val="24"/>
        </w:rPr>
        <w:t>Sedlmayr’s</w:t>
      </w:r>
      <w:proofErr w:type="spellEnd"/>
      <w:r w:rsidRPr="00A43DB3">
        <w:rPr>
          <w:rFonts w:ascii="Times New Roman" w:hAnsi="Times New Roman" w:cs="Times New Roman"/>
          <w:sz w:val="24"/>
          <w:szCs w:val="24"/>
        </w:rPr>
        <w:t xml:space="preserve"> fame, the conviction of the two offenders, aside from being a matter of public record, was also described on the Wikipedia’s website. Ten years after the crime, having served his sentence, one of the former convicts claimed the removal of his name from the web page, resorting to the German ‘right of rehabilitation’, which ‘protects the name and likeness of a private person from unwanted publicity’.</w:t>
      </w:r>
      <w:r w:rsidRPr="00A43DB3">
        <w:rPr>
          <w:rStyle w:val="Refdenotaderodap"/>
          <w:rFonts w:ascii="Times New Roman" w:hAnsi="Times New Roman" w:cs="Times New Roman"/>
          <w:sz w:val="24"/>
          <w:szCs w:val="24"/>
        </w:rPr>
        <w:footnoteReference w:id="23"/>
      </w:r>
      <w:r w:rsidRPr="00A43DB3">
        <w:rPr>
          <w:rFonts w:ascii="Times New Roman" w:hAnsi="Times New Roman" w:cs="Times New Roman"/>
          <w:sz w:val="24"/>
          <w:szCs w:val="24"/>
        </w:rPr>
        <w:t xml:space="preserve"> While the German version of the online encyclopaedia complied with the decision, the American one refused to remove the information, as a result of the well-known liberal perspective of freedom of expression adopted by the U.S. Regarding the case, for example, under </w:t>
      </w:r>
      <w:proofErr w:type="spellStart"/>
      <w:r w:rsidRPr="00A43DB3">
        <w:rPr>
          <w:rFonts w:ascii="Times New Roman" w:hAnsi="Times New Roman" w:cs="Times New Roman"/>
          <w:sz w:val="24"/>
          <w:szCs w:val="24"/>
        </w:rPr>
        <w:t>Rustad</w:t>
      </w:r>
      <w:proofErr w:type="spellEnd"/>
      <w:r w:rsidRPr="00A43DB3">
        <w:rPr>
          <w:rFonts w:ascii="Times New Roman" w:hAnsi="Times New Roman" w:cs="Times New Roman"/>
          <w:sz w:val="24"/>
          <w:szCs w:val="24"/>
        </w:rPr>
        <w:t xml:space="preserve"> and </w:t>
      </w:r>
      <w:proofErr w:type="spellStart"/>
      <w:r w:rsidRPr="00A43DB3">
        <w:rPr>
          <w:rFonts w:ascii="Times New Roman" w:hAnsi="Times New Roman" w:cs="Times New Roman"/>
          <w:sz w:val="24"/>
          <w:szCs w:val="24"/>
        </w:rPr>
        <w:t>Kulevska’s</w:t>
      </w:r>
      <w:proofErr w:type="spellEnd"/>
      <w:r w:rsidRPr="00A43DB3">
        <w:rPr>
          <w:rFonts w:ascii="Times New Roman" w:hAnsi="Times New Roman" w:cs="Times New Roman"/>
          <w:sz w:val="24"/>
          <w:szCs w:val="24"/>
        </w:rPr>
        <w:t xml:space="preserve"> proposal, such erasure request would be rejected because the public’s right to know would prevail. In this sense, the authors go on by stating that the murderers would be considered ‘limited public figures’ once they have committed a crime against a famous actor, which would also lead them into the public spotlight.</w:t>
      </w:r>
      <w:r w:rsidRPr="00A43DB3">
        <w:rPr>
          <w:rStyle w:val="Refdenotaderodap"/>
          <w:rFonts w:ascii="Times New Roman" w:hAnsi="Times New Roman" w:cs="Times New Roman"/>
          <w:sz w:val="24"/>
          <w:szCs w:val="24"/>
        </w:rPr>
        <w:footnoteReference w:id="24"/>
      </w:r>
      <w:r w:rsidRPr="00A43DB3">
        <w:rPr>
          <w:rFonts w:ascii="Times New Roman" w:hAnsi="Times New Roman" w:cs="Times New Roman"/>
          <w:sz w:val="24"/>
          <w:szCs w:val="24"/>
        </w:rPr>
        <w:t xml:space="preserve"> It follows from the foregoing that the European right to be forgotten may threaten journalism when not properly balanced against the freedom of expression and information. </w:t>
      </w:r>
    </w:p>
    <w:p w14:paraId="5BEEBD6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Indeed, concerns as to the possibility of censorship of truthful and lawfully published information permeate debates amongst activists. De-referencing of online content may represent the overlapping of a single individual’s appeal over the societal </w:t>
      </w:r>
      <w:proofErr w:type="gramStart"/>
      <w:r w:rsidRPr="00A43DB3">
        <w:rPr>
          <w:rFonts w:ascii="Times New Roman" w:hAnsi="Times New Roman" w:cs="Times New Roman"/>
          <w:sz w:val="24"/>
          <w:szCs w:val="24"/>
        </w:rPr>
        <w:t>interest as a whole</w:t>
      </w:r>
      <w:proofErr w:type="gramEnd"/>
      <w:r w:rsidRPr="00A43DB3">
        <w:rPr>
          <w:rFonts w:ascii="Times New Roman" w:hAnsi="Times New Roman" w:cs="Times New Roman"/>
          <w:sz w:val="24"/>
          <w:szCs w:val="24"/>
        </w:rPr>
        <w:t xml:space="preserve">. As the world population has been consuming more information through online sources rather than printed newspapers, the successive erasure of online reports and news may endanger collective memory and history, undermining both access to information and democracy itself. </w:t>
      </w:r>
    </w:p>
    <w:p w14:paraId="70E548B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lastRenderedPageBreak/>
        <w:t xml:space="preserve">On the other side, the significance of the right to privacy and the right to be forgotten must also be highlighted, </w:t>
      </w:r>
      <w:proofErr w:type="gramStart"/>
      <w:r w:rsidRPr="00A43DB3">
        <w:rPr>
          <w:rFonts w:ascii="Times New Roman" w:hAnsi="Times New Roman" w:cs="Times New Roman"/>
          <w:sz w:val="24"/>
          <w:szCs w:val="24"/>
        </w:rPr>
        <w:t>in particular against</w:t>
      </w:r>
      <w:proofErr w:type="gramEnd"/>
      <w:r w:rsidRPr="00A43DB3">
        <w:rPr>
          <w:rFonts w:ascii="Times New Roman" w:hAnsi="Times New Roman" w:cs="Times New Roman"/>
          <w:sz w:val="24"/>
          <w:szCs w:val="24"/>
        </w:rPr>
        <w:t xml:space="preserve"> the risks of journalistic bias. Although many journalists are committed to sharing reliable news, journalistic bias exists and influences search results. Sensationalist or even untruthful news may achieve more clicks and receive more visibility. Powles explains that, as long as a shocking case does not attract great public attention - which compel people to follow up the definite outcome - the articles informing the posterior acquittal of an individual will not receive the same number of readers as the initial publication, or the exculpation may not even be mentioned by the press.</w:t>
      </w:r>
      <w:r w:rsidRPr="00A43DB3">
        <w:rPr>
          <w:rStyle w:val="Refdenotaderodap"/>
          <w:rFonts w:ascii="Times New Roman" w:hAnsi="Times New Roman" w:cs="Times New Roman"/>
          <w:sz w:val="24"/>
          <w:szCs w:val="24"/>
        </w:rPr>
        <w:footnoteReference w:id="25"/>
      </w:r>
      <w:r w:rsidRPr="00A43DB3">
        <w:rPr>
          <w:rFonts w:ascii="Times New Roman" w:hAnsi="Times New Roman" w:cs="Times New Roman"/>
          <w:sz w:val="24"/>
          <w:szCs w:val="24"/>
        </w:rPr>
        <w:t xml:space="preserve"> Considering that judgment records are usually not easily available, the only information relating to such individual would be associated with the commitment of a crime, fact that is able to harm his reputation and undermine his capacity to make a fresh start. Further, the damage can be even more substantial where the individual is well-known or where the information is false. </w:t>
      </w:r>
    </w:p>
    <w:p w14:paraId="2723CA68"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It is noteworthy that public interest and what the public is keen to consume differ. The distinction may be narrow but essential to apply the right to be forgotten with accuracy. The former favours freedom of expression rather than privacy and permits that certain relevant information remains available for the public’s benefit, while the latter may involve trivial content placed on the Internet, for example. Undoubtedly, public figures are less likely to be granted a de-referencing request, although it does not imply that the mere fact of being a public figure justifies all types of information concerning them to be circulating online, but only the ones indispensable for societal interests.  </w:t>
      </w:r>
    </w:p>
    <w:p w14:paraId="2318D28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Nevertheless, applying the right to be forgotten for the deletion of truthful information regarding ordinary people, that are neither of public interest nor defamatory, however embarrassing, consists of a complex decision when balancing privacy against freedom of expression.</w:t>
      </w:r>
      <w:r w:rsidRPr="00A43DB3">
        <w:rPr>
          <w:rStyle w:val="Refdenotaderodap"/>
          <w:rFonts w:ascii="Times New Roman" w:hAnsi="Times New Roman" w:cs="Times New Roman"/>
          <w:sz w:val="24"/>
          <w:szCs w:val="24"/>
        </w:rPr>
        <w:footnoteReference w:id="26"/>
      </w:r>
      <w:r w:rsidRPr="00A43DB3">
        <w:rPr>
          <w:rFonts w:ascii="Times New Roman" w:hAnsi="Times New Roman" w:cs="Times New Roman"/>
          <w:sz w:val="24"/>
          <w:szCs w:val="24"/>
        </w:rPr>
        <w:t xml:space="preserve"> Another burdensome point is to determine when the public interest that was present in the past, at the time of the publication of certain content, no longer exists. In this sense, there is no sufficient guidance as regards the matter, which depends on an assessment on a case-by-case basis.</w:t>
      </w:r>
    </w:p>
    <w:p w14:paraId="0A5110E3"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lastRenderedPageBreak/>
        <w:t>In fact, personal data is of different degrees of sensitivity and gravity. Likewise, there are degrees of public interest in particular types of personal data. Against this background, it is manifest that both the right to privacy and the right of freedom of expression, as well as the novel right to be forgotten, are not absolute rights and thus need to be individually considered, taking into consideration all particularities that the case at hand presents, following the proportionality test. Such an assessment must be exercised and demonstrated by the data controller, as more meticulously examined in the following chapter.</w:t>
      </w:r>
    </w:p>
    <w:p w14:paraId="63017C66" w14:textId="77777777" w:rsidR="00481564" w:rsidRPr="00A43DB3" w:rsidRDefault="00481564" w:rsidP="00481564">
      <w:pPr>
        <w:spacing w:line="360" w:lineRule="auto"/>
        <w:rPr>
          <w:rFonts w:ascii="Times New Roman" w:hAnsi="Times New Roman" w:cs="Times New Roman"/>
          <w:sz w:val="24"/>
          <w:szCs w:val="24"/>
        </w:rPr>
      </w:pPr>
    </w:p>
    <w:p w14:paraId="4B0E4E23" w14:textId="77777777" w:rsidR="00481564" w:rsidRPr="00A43DB3" w:rsidRDefault="00481564" w:rsidP="00481564">
      <w:pPr>
        <w:spacing w:line="360" w:lineRule="auto"/>
        <w:rPr>
          <w:rFonts w:ascii="Times New Roman" w:hAnsi="Times New Roman" w:cs="Times New Roman"/>
          <w:sz w:val="24"/>
          <w:szCs w:val="24"/>
        </w:rPr>
      </w:pPr>
    </w:p>
    <w:p w14:paraId="7ED882EE" w14:textId="77777777" w:rsidR="00481564" w:rsidRPr="00A43DB3" w:rsidRDefault="00481564" w:rsidP="00481564">
      <w:pPr>
        <w:spacing w:line="360" w:lineRule="auto"/>
        <w:rPr>
          <w:rFonts w:ascii="Times New Roman" w:hAnsi="Times New Roman" w:cs="Times New Roman"/>
          <w:sz w:val="24"/>
          <w:szCs w:val="24"/>
        </w:rPr>
      </w:pPr>
    </w:p>
    <w:p w14:paraId="5323EC15" w14:textId="77777777" w:rsidR="00481564" w:rsidRPr="00A43DB3" w:rsidRDefault="00481564" w:rsidP="00481564">
      <w:pPr>
        <w:spacing w:line="360" w:lineRule="auto"/>
        <w:rPr>
          <w:rFonts w:ascii="Times New Roman" w:hAnsi="Times New Roman" w:cs="Times New Roman"/>
          <w:sz w:val="24"/>
          <w:szCs w:val="24"/>
        </w:rPr>
      </w:pPr>
    </w:p>
    <w:p w14:paraId="2424B2C7" w14:textId="77777777" w:rsidR="00481564" w:rsidRPr="00A43DB3" w:rsidRDefault="00481564" w:rsidP="00481564">
      <w:pPr>
        <w:spacing w:line="360" w:lineRule="auto"/>
        <w:rPr>
          <w:rFonts w:ascii="Times New Roman" w:hAnsi="Times New Roman" w:cs="Times New Roman"/>
          <w:sz w:val="24"/>
          <w:szCs w:val="24"/>
        </w:rPr>
      </w:pPr>
    </w:p>
    <w:p w14:paraId="2EEB4B45" w14:textId="77777777" w:rsidR="00481564" w:rsidRPr="00A43DB3" w:rsidRDefault="00481564" w:rsidP="00481564">
      <w:pPr>
        <w:spacing w:line="360" w:lineRule="auto"/>
        <w:rPr>
          <w:rFonts w:ascii="Times New Roman" w:hAnsi="Times New Roman" w:cs="Times New Roman"/>
          <w:sz w:val="24"/>
          <w:szCs w:val="24"/>
        </w:rPr>
      </w:pPr>
    </w:p>
    <w:p w14:paraId="13B35AC7" w14:textId="77777777" w:rsidR="00481564" w:rsidRPr="00A43DB3" w:rsidRDefault="00481564" w:rsidP="00481564">
      <w:pPr>
        <w:spacing w:line="360" w:lineRule="auto"/>
        <w:rPr>
          <w:rFonts w:ascii="Times New Roman" w:hAnsi="Times New Roman" w:cs="Times New Roman"/>
          <w:sz w:val="24"/>
          <w:szCs w:val="24"/>
        </w:rPr>
      </w:pPr>
    </w:p>
    <w:p w14:paraId="62AE4D6C" w14:textId="77777777" w:rsidR="00481564" w:rsidRPr="00A43DB3" w:rsidRDefault="00481564" w:rsidP="00481564">
      <w:pPr>
        <w:spacing w:line="360" w:lineRule="auto"/>
        <w:rPr>
          <w:rFonts w:ascii="Times New Roman" w:hAnsi="Times New Roman" w:cs="Times New Roman"/>
          <w:sz w:val="24"/>
          <w:szCs w:val="24"/>
        </w:rPr>
      </w:pPr>
    </w:p>
    <w:p w14:paraId="53DD0CDD" w14:textId="77777777" w:rsidR="00481564" w:rsidRPr="00A43DB3" w:rsidRDefault="00481564" w:rsidP="00481564">
      <w:pPr>
        <w:spacing w:line="360" w:lineRule="auto"/>
        <w:rPr>
          <w:rFonts w:ascii="Times New Roman" w:hAnsi="Times New Roman" w:cs="Times New Roman"/>
          <w:sz w:val="24"/>
          <w:szCs w:val="24"/>
        </w:rPr>
      </w:pPr>
    </w:p>
    <w:p w14:paraId="624351F3" w14:textId="77777777" w:rsidR="00481564" w:rsidRPr="00A43DB3" w:rsidRDefault="00481564" w:rsidP="00481564">
      <w:pPr>
        <w:spacing w:line="360" w:lineRule="auto"/>
        <w:rPr>
          <w:rFonts w:ascii="Times New Roman" w:hAnsi="Times New Roman" w:cs="Times New Roman"/>
          <w:sz w:val="24"/>
          <w:szCs w:val="24"/>
        </w:rPr>
      </w:pPr>
    </w:p>
    <w:p w14:paraId="4BABC50C" w14:textId="77777777" w:rsidR="00481564" w:rsidRPr="00A43DB3" w:rsidRDefault="00481564" w:rsidP="00481564">
      <w:pPr>
        <w:spacing w:line="360" w:lineRule="auto"/>
        <w:rPr>
          <w:rFonts w:ascii="Times New Roman" w:hAnsi="Times New Roman" w:cs="Times New Roman"/>
          <w:sz w:val="24"/>
          <w:szCs w:val="24"/>
        </w:rPr>
      </w:pPr>
    </w:p>
    <w:p w14:paraId="17B33B2C" w14:textId="77777777" w:rsidR="00481564" w:rsidRPr="00A43DB3" w:rsidRDefault="00481564" w:rsidP="00481564">
      <w:pPr>
        <w:spacing w:line="360" w:lineRule="auto"/>
        <w:rPr>
          <w:rFonts w:ascii="Times New Roman" w:hAnsi="Times New Roman" w:cs="Times New Roman"/>
          <w:sz w:val="24"/>
          <w:szCs w:val="24"/>
        </w:rPr>
      </w:pPr>
    </w:p>
    <w:p w14:paraId="51F1CA58" w14:textId="77777777" w:rsidR="00481564" w:rsidRPr="00A43DB3" w:rsidRDefault="00481564" w:rsidP="00481564">
      <w:pPr>
        <w:spacing w:line="360" w:lineRule="auto"/>
        <w:rPr>
          <w:rFonts w:ascii="Times New Roman" w:hAnsi="Times New Roman" w:cs="Times New Roman"/>
          <w:sz w:val="24"/>
          <w:szCs w:val="24"/>
        </w:rPr>
      </w:pPr>
    </w:p>
    <w:p w14:paraId="43EC771F" w14:textId="77777777" w:rsidR="00481564" w:rsidRPr="00A43DB3" w:rsidRDefault="00481564" w:rsidP="00481564">
      <w:pPr>
        <w:spacing w:line="360" w:lineRule="auto"/>
        <w:rPr>
          <w:rFonts w:ascii="Times New Roman" w:hAnsi="Times New Roman" w:cs="Times New Roman"/>
          <w:sz w:val="24"/>
          <w:szCs w:val="24"/>
        </w:rPr>
      </w:pPr>
    </w:p>
    <w:p w14:paraId="61A2C257" w14:textId="77777777" w:rsidR="00481564" w:rsidRPr="00A43DB3" w:rsidRDefault="00481564" w:rsidP="00481564">
      <w:pPr>
        <w:spacing w:line="360" w:lineRule="auto"/>
        <w:rPr>
          <w:rFonts w:ascii="Times New Roman" w:hAnsi="Times New Roman" w:cs="Times New Roman"/>
          <w:sz w:val="24"/>
          <w:szCs w:val="24"/>
        </w:rPr>
      </w:pPr>
    </w:p>
    <w:p w14:paraId="3C067AE4" w14:textId="77777777" w:rsidR="00481564" w:rsidRPr="00A43DB3" w:rsidRDefault="00481564" w:rsidP="00481564">
      <w:pPr>
        <w:spacing w:line="360" w:lineRule="auto"/>
        <w:rPr>
          <w:rFonts w:ascii="Times New Roman" w:hAnsi="Times New Roman" w:cs="Times New Roman"/>
          <w:sz w:val="24"/>
          <w:szCs w:val="24"/>
        </w:rPr>
      </w:pPr>
    </w:p>
    <w:p w14:paraId="5FA55D42" w14:textId="77777777" w:rsidR="00481564" w:rsidRPr="00A43DB3" w:rsidRDefault="00481564" w:rsidP="00481564">
      <w:pPr>
        <w:spacing w:line="360" w:lineRule="auto"/>
        <w:rPr>
          <w:rFonts w:ascii="Times New Roman" w:hAnsi="Times New Roman" w:cs="Times New Roman"/>
          <w:sz w:val="24"/>
          <w:szCs w:val="24"/>
        </w:rPr>
      </w:pPr>
    </w:p>
    <w:p w14:paraId="65F7A469" w14:textId="77777777" w:rsidR="00481564" w:rsidRPr="00A43DB3" w:rsidRDefault="00481564" w:rsidP="00481564">
      <w:pPr>
        <w:spacing w:line="360" w:lineRule="auto"/>
        <w:rPr>
          <w:rFonts w:ascii="Times New Roman" w:hAnsi="Times New Roman" w:cs="Times New Roman"/>
          <w:sz w:val="24"/>
          <w:szCs w:val="24"/>
        </w:rPr>
      </w:pPr>
    </w:p>
    <w:p w14:paraId="686B3E83" w14:textId="77777777" w:rsidR="00481564" w:rsidRPr="00A43DB3" w:rsidRDefault="00481564" w:rsidP="00481564">
      <w:pPr>
        <w:pStyle w:val="PargrafodaLista"/>
        <w:numPr>
          <w:ilvl w:val="0"/>
          <w:numId w:val="11"/>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lastRenderedPageBreak/>
        <w:t>Right to be forgotten in Europe</w:t>
      </w:r>
    </w:p>
    <w:p w14:paraId="754A16C8"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concept of the right to be forgotten has its roots in the right to oblivion (or </w:t>
      </w:r>
      <w:r w:rsidRPr="00A43DB3">
        <w:rPr>
          <w:rFonts w:ascii="Times New Roman" w:hAnsi="Times New Roman" w:cs="Times New Roman"/>
          <w:i/>
          <w:iCs/>
          <w:sz w:val="24"/>
          <w:szCs w:val="24"/>
        </w:rPr>
        <w:t xml:space="preserve">droit à </w:t>
      </w:r>
      <w:proofErr w:type="spellStart"/>
      <w:r w:rsidRPr="00A43DB3">
        <w:rPr>
          <w:rFonts w:ascii="Times New Roman" w:hAnsi="Times New Roman" w:cs="Times New Roman"/>
          <w:i/>
          <w:iCs/>
          <w:sz w:val="24"/>
          <w:szCs w:val="24"/>
        </w:rPr>
        <w:t>l’oubli</w:t>
      </w:r>
      <w:proofErr w:type="spellEnd"/>
      <w:r w:rsidRPr="00A43DB3">
        <w:rPr>
          <w:rFonts w:ascii="Times New Roman" w:hAnsi="Times New Roman" w:cs="Times New Roman"/>
          <w:sz w:val="24"/>
          <w:szCs w:val="24"/>
        </w:rPr>
        <w:t>), a right recognised in many European civil law jurisdictions in the 1970s, part of their jurisprudential application of personality rights to impede reference made by the media in relation to previous crimes committed by an ex-convict who has served his or her sentence.</w:t>
      </w:r>
      <w:r w:rsidRPr="00A43DB3">
        <w:rPr>
          <w:rStyle w:val="Refdenotaderodap"/>
          <w:rFonts w:ascii="Times New Roman" w:hAnsi="Times New Roman" w:cs="Times New Roman"/>
          <w:sz w:val="24"/>
          <w:szCs w:val="24"/>
        </w:rPr>
        <w:footnoteReference w:id="27"/>
      </w:r>
      <w:r w:rsidRPr="00A43DB3">
        <w:rPr>
          <w:rFonts w:ascii="Times New Roman" w:hAnsi="Times New Roman" w:cs="Times New Roman"/>
          <w:sz w:val="24"/>
          <w:szCs w:val="24"/>
        </w:rPr>
        <w:t xml:space="preserve"> Despite not being expressly codified in the European law, the concept has solidified as a legal construct in customary law. The </w:t>
      </w:r>
      <w:r w:rsidRPr="00A43DB3">
        <w:rPr>
          <w:rFonts w:ascii="Times New Roman" w:hAnsi="Times New Roman" w:cs="Times New Roman"/>
          <w:i/>
          <w:iCs/>
          <w:sz w:val="24"/>
          <w:szCs w:val="24"/>
        </w:rPr>
        <w:t xml:space="preserve">droit à </w:t>
      </w:r>
      <w:proofErr w:type="spellStart"/>
      <w:r w:rsidRPr="00A43DB3">
        <w:rPr>
          <w:rFonts w:ascii="Times New Roman" w:hAnsi="Times New Roman" w:cs="Times New Roman"/>
          <w:i/>
          <w:iCs/>
          <w:sz w:val="24"/>
          <w:szCs w:val="24"/>
        </w:rPr>
        <w:t>l’oubli</w:t>
      </w:r>
      <w:proofErr w:type="spellEnd"/>
      <w:r w:rsidRPr="00A43DB3">
        <w:rPr>
          <w:rFonts w:ascii="Times New Roman" w:hAnsi="Times New Roman" w:cs="Times New Roman"/>
          <w:sz w:val="24"/>
          <w:szCs w:val="24"/>
        </w:rPr>
        <w:t xml:space="preserve">, thus, aims to avoid exaggerated media scrutiny, which has the potential to perpetually associate a person to past misdeeds, by bringing the same events to attention after a long lapse of time, characterising disproportionate publicity, especially when such crimes have already received the corresponding redress. Nonetheless, it is noteworthy that such right only implies that allusion to certain past criminal facts must be obviated, preventing the media from recalling such events, which differs from factual erasure. </w:t>
      </w:r>
    </w:p>
    <w:p w14:paraId="3658E5C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Accordingly, the right to oblivion can be more accurately classified as a policy goal, rather than a right in a narrow sense, once its main objective to limit unreasonable media attention towards a past crime can equally be pursued through multiple areas of law, such as general tort law, defamation law, as well as personality rights, </w:t>
      </w:r>
      <w:proofErr w:type="gramStart"/>
      <w:r w:rsidRPr="00A43DB3">
        <w:rPr>
          <w:rFonts w:ascii="Times New Roman" w:hAnsi="Times New Roman" w:cs="Times New Roman"/>
          <w:sz w:val="24"/>
          <w:szCs w:val="24"/>
        </w:rPr>
        <w:t>privacy</w:t>
      </w:r>
      <w:proofErr w:type="gramEnd"/>
      <w:r w:rsidRPr="00A43DB3">
        <w:rPr>
          <w:rFonts w:ascii="Times New Roman" w:hAnsi="Times New Roman" w:cs="Times New Roman"/>
          <w:sz w:val="24"/>
          <w:szCs w:val="24"/>
        </w:rPr>
        <w:t xml:space="preserve"> and data protection law.</w:t>
      </w:r>
      <w:r w:rsidRPr="00A43DB3">
        <w:rPr>
          <w:rStyle w:val="Refdenotaderodap"/>
          <w:rFonts w:ascii="Times New Roman" w:hAnsi="Times New Roman" w:cs="Times New Roman"/>
          <w:sz w:val="24"/>
          <w:szCs w:val="24"/>
        </w:rPr>
        <w:footnoteReference w:id="28"/>
      </w:r>
      <w:r w:rsidRPr="00A43DB3">
        <w:rPr>
          <w:rFonts w:ascii="Times New Roman" w:hAnsi="Times New Roman" w:cs="Times New Roman"/>
          <w:sz w:val="24"/>
          <w:szCs w:val="24"/>
        </w:rPr>
        <w:t xml:space="preserve"> </w:t>
      </w:r>
    </w:p>
    <w:p w14:paraId="0B73C529"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Despite limitations imposed on the media resulting from the application of the right to oblivion, recent European data protection law, more broadly, has generally allowed the processing of personal data performed by the media for journalistic purposes.</w:t>
      </w:r>
      <w:r w:rsidRPr="00A43DB3">
        <w:rPr>
          <w:rStyle w:val="Refdenotaderodap"/>
          <w:rFonts w:ascii="Times New Roman" w:hAnsi="Times New Roman" w:cs="Times New Roman"/>
          <w:sz w:val="24"/>
          <w:szCs w:val="24"/>
        </w:rPr>
        <w:footnoteReference w:id="29"/>
      </w:r>
      <w:r w:rsidRPr="00A43DB3">
        <w:rPr>
          <w:rFonts w:ascii="Times New Roman" w:hAnsi="Times New Roman" w:cs="Times New Roman"/>
          <w:sz w:val="24"/>
          <w:szCs w:val="24"/>
        </w:rPr>
        <w:t xml:space="preserve"> Notwithstanding, within the European data protection law, a separate concept of a right to erasure of personally identifiable data has progressively evolved. In this connection, two statutes enacted in the 1980s are the cornerstone of the EU data protection laws: the OECD Guidelines on the Protection of Privacy and Transborder Flows of Personal Data (the ‘Privacy Guidelines’) and the Council of Europe’s Convention on Data Protection (the </w:t>
      </w:r>
      <w:proofErr w:type="spellStart"/>
      <w:r w:rsidRPr="00A43DB3">
        <w:rPr>
          <w:rFonts w:ascii="Times New Roman" w:hAnsi="Times New Roman" w:cs="Times New Roman"/>
          <w:sz w:val="24"/>
          <w:szCs w:val="24"/>
        </w:rPr>
        <w:t>CoE</w:t>
      </w:r>
      <w:proofErr w:type="spellEnd"/>
      <w:r w:rsidRPr="00A43DB3">
        <w:rPr>
          <w:rFonts w:ascii="Times New Roman" w:hAnsi="Times New Roman" w:cs="Times New Roman"/>
          <w:sz w:val="24"/>
          <w:szCs w:val="24"/>
        </w:rPr>
        <w:t xml:space="preserve"> Convention).</w:t>
      </w:r>
    </w:p>
    <w:p w14:paraId="735F5C68"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lastRenderedPageBreak/>
        <w:t>Article 13 of the Privacy Guidelines guarantees to data subjects a right ‘to challenge data relating to them and, if the challenge is successful to have the data erased, rectified, completed or amended’.</w:t>
      </w:r>
      <w:r w:rsidRPr="00A43DB3">
        <w:rPr>
          <w:rStyle w:val="Refdenotaderodap"/>
          <w:rFonts w:ascii="Times New Roman" w:hAnsi="Times New Roman" w:cs="Times New Roman"/>
          <w:sz w:val="24"/>
          <w:szCs w:val="24"/>
        </w:rPr>
        <w:footnoteReference w:id="30"/>
      </w:r>
      <w:r w:rsidRPr="00A43DB3">
        <w:rPr>
          <w:rFonts w:ascii="Times New Roman" w:hAnsi="Times New Roman" w:cs="Times New Roman"/>
          <w:sz w:val="24"/>
          <w:szCs w:val="24"/>
        </w:rPr>
        <w:t xml:space="preserve"> Additionally, another sparse and brief reference of the right to erasure is found in the Explanatory Memorandum, regarding the purpose specification principle: ‘When data no longer serve a purpose, and if it is practicable, it may be necessary to have them destroyed (erased) or given an anonymous form’.</w:t>
      </w:r>
      <w:r w:rsidRPr="00A43DB3">
        <w:rPr>
          <w:rStyle w:val="Refdenotaderodap"/>
          <w:rFonts w:ascii="Times New Roman" w:hAnsi="Times New Roman" w:cs="Times New Roman"/>
          <w:sz w:val="24"/>
          <w:szCs w:val="24"/>
        </w:rPr>
        <w:footnoteReference w:id="31"/>
      </w:r>
      <w:r w:rsidRPr="00A43DB3">
        <w:rPr>
          <w:rFonts w:ascii="Times New Roman" w:hAnsi="Times New Roman" w:cs="Times New Roman"/>
          <w:sz w:val="24"/>
          <w:szCs w:val="24"/>
        </w:rPr>
        <w:t xml:space="preserve"> Despite not expressly recognising a right to be forgotten to data subjects, the Privacy Guidelines represent the first international compilation of agreed privacy principles. </w:t>
      </w:r>
    </w:p>
    <w:p w14:paraId="2C68E98F"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The </w:t>
      </w:r>
      <w:proofErr w:type="spellStart"/>
      <w:r w:rsidRPr="00A43DB3">
        <w:rPr>
          <w:rFonts w:ascii="Times New Roman" w:hAnsi="Times New Roman" w:cs="Times New Roman"/>
          <w:sz w:val="24"/>
          <w:szCs w:val="24"/>
        </w:rPr>
        <w:t>CoE</w:t>
      </w:r>
      <w:proofErr w:type="spellEnd"/>
      <w:r w:rsidRPr="00A43DB3">
        <w:rPr>
          <w:rFonts w:ascii="Times New Roman" w:hAnsi="Times New Roman" w:cs="Times New Roman"/>
          <w:sz w:val="24"/>
          <w:szCs w:val="24"/>
        </w:rPr>
        <w:t xml:space="preserve"> Convention went further by establishing the data quality principle in Article 5(e), which states that automatic processing of personal data must be ‘preserved in a form which permits the identification of the data subjects for no longer than is required for the purpose for which those data are stored’.</w:t>
      </w:r>
      <w:r w:rsidRPr="00A43DB3">
        <w:rPr>
          <w:rStyle w:val="Refdenotaderodap"/>
          <w:rFonts w:ascii="Times New Roman" w:hAnsi="Times New Roman" w:cs="Times New Roman"/>
          <w:sz w:val="24"/>
          <w:szCs w:val="24"/>
        </w:rPr>
        <w:footnoteReference w:id="32"/>
      </w:r>
      <w:r w:rsidRPr="00A43DB3">
        <w:rPr>
          <w:rFonts w:ascii="Times New Roman" w:hAnsi="Times New Roman" w:cs="Times New Roman"/>
          <w:sz w:val="24"/>
          <w:szCs w:val="24"/>
        </w:rPr>
        <w:t xml:space="preserve"> Moreover, additional safeguards are enshrined in Article 8(c), which provides data subjects with the right to obtain rectification or erasure of personal data that have been processed contrary to the data quality principle enshrined in the domestic legislation.</w:t>
      </w:r>
      <w:r w:rsidRPr="00A43DB3">
        <w:rPr>
          <w:rStyle w:val="Refdenotaderodap"/>
          <w:rFonts w:ascii="Times New Roman" w:hAnsi="Times New Roman" w:cs="Times New Roman"/>
          <w:sz w:val="24"/>
          <w:szCs w:val="24"/>
        </w:rPr>
        <w:footnoteReference w:id="33"/>
      </w:r>
      <w:r w:rsidRPr="00A43DB3">
        <w:rPr>
          <w:rFonts w:ascii="Times New Roman" w:hAnsi="Times New Roman" w:cs="Times New Roman"/>
          <w:sz w:val="24"/>
          <w:szCs w:val="24"/>
        </w:rPr>
        <w:t xml:space="preserve"> </w:t>
      </w:r>
    </w:p>
    <w:p w14:paraId="4FD4DC74"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More recently, the Data Protection Directive and the General Data Protection Regulation were enacted and have represented greater implementation of data protection rules within the European Union. It should be borne in mind that the codification of the right to be forgotten is fundamental to ensure the protection of personal data on the Internet, where information may be perpetually accessible on digital indexes. Within this framework, both statutes will be discussed in more detail in the subsequent topics.</w:t>
      </w:r>
    </w:p>
    <w:p w14:paraId="341A2F40" w14:textId="77777777" w:rsidR="00481564" w:rsidRPr="00A43DB3" w:rsidRDefault="00481564" w:rsidP="00481564">
      <w:pPr>
        <w:spacing w:line="360" w:lineRule="auto"/>
        <w:jc w:val="both"/>
        <w:rPr>
          <w:rFonts w:ascii="Times New Roman" w:hAnsi="Times New Roman" w:cs="Times New Roman"/>
          <w:sz w:val="24"/>
          <w:szCs w:val="24"/>
        </w:rPr>
      </w:pPr>
    </w:p>
    <w:p w14:paraId="6B936D4F" w14:textId="77777777" w:rsidR="00481564" w:rsidRPr="00A43DB3" w:rsidRDefault="00481564" w:rsidP="00481564">
      <w:pPr>
        <w:spacing w:line="360" w:lineRule="auto"/>
        <w:jc w:val="both"/>
        <w:rPr>
          <w:rFonts w:ascii="Times New Roman" w:hAnsi="Times New Roman" w:cs="Times New Roman"/>
          <w:sz w:val="24"/>
          <w:szCs w:val="24"/>
        </w:rPr>
      </w:pPr>
    </w:p>
    <w:p w14:paraId="11D55F58" w14:textId="69EE62A6" w:rsidR="00481564" w:rsidRPr="00A43DB3" w:rsidRDefault="00481564" w:rsidP="00481564">
      <w:pPr>
        <w:pStyle w:val="PargrafodaLista"/>
        <w:numPr>
          <w:ilvl w:val="1"/>
          <w:numId w:val="11"/>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t>Data Protection Directive (Directive 95/46)</w:t>
      </w:r>
    </w:p>
    <w:p w14:paraId="41B77F52"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adoption of the Data Protection Directive (DPD) in 1995 represented the first attempt by the European Union to formally regulate data protection within its borders. Its preamble enunciates that the purpose of national data protection laws is to protect </w:t>
      </w:r>
      <w:r w:rsidRPr="00A43DB3">
        <w:rPr>
          <w:rFonts w:ascii="Times New Roman" w:hAnsi="Times New Roman" w:cs="Times New Roman"/>
          <w:sz w:val="24"/>
          <w:szCs w:val="24"/>
        </w:rPr>
        <w:lastRenderedPageBreak/>
        <w:t>fundamental rights and freedoms, notably the right to privacy.</w:t>
      </w:r>
      <w:r w:rsidRPr="00A43DB3">
        <w:rPr>
          <w:rStyle w:val="Refdenotaderodap"/>
          <w:rFonts w:ascii="Times New Roman" w:hAnsi="Times New Roman" w:cs="Times New Roman"/>
          <w:sz w:val="24"/>
          <w:szCs w:val="24"/>
        </w:rPr>
        <w:footnoteReference w:id="34"/>
      </w:r>
      <w:r w:rsidRPr="00A43DB3">
        <w:rPr>
          <w:rFonts w:ascii="Times New Roman" w:hAnsi="Times New Roman" w:cs="Times New Roman"/>
          <w:sz w:val="24"/>
          <w:szCs w:val="24"/>
        </w:rPr>
        <w:t xml:space="preserve"> Nevertheless, some inconsistency was found </w:t>
      </w:r>
      <w:proofErr w:type="gramStart"/>
      <w:r w:rsidRPr="00A43DB3">
        <w:rPr>
          <w:rFonts w:ascii="Times New Roman" w:hAnsi="Times New Roman" w:cs="Times New Roman"/>
          <w:sz w:val="24"/>
          <w:szCs w:val="24"/>
        </w:rPr>
        <w:t>due to the fact that</w:t>
      </w:r>
      <w:proofErr w:type="gramEnd"/>
      <w:r w:rsidRPr="00A43DB3">
        <w:rPr>
          <w:rFonts w:ascii="Times New Roman" w:hAnsi="Times New Roman" w:cs="Times New Roman"/>
          <w:sz w:val="24"/>
          <w:szCs w:val="24"/>
        </w:rPr>
        <w:t xml:space="preserve"> it was implemented when the World Wide Web was not yet accessed on a large scale. As a Directive, its purpose was to present common legal principles to be adopted by the domestic legislations of the Member States.</w:t>
      </w:r>
    </w:p>
    <w:p w14:paraId="379C4A2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DPD presented the right to erasure in three different scenarios. First, in accordance with Article 6(1)(e), personal data must be ‘kept in a form which permits identification of data subjects for no longer than is necessary for the purposes for which the data were collected or for which they are further processed’.</w:t>
      </w:r>
      <w:r w:rsidRPr="00A43DB3">
        <w:rPr>
          <w:rStyle w:val="Refdenotaderodap"/>
          <w:rFonts w:ascii="Times New Roman" w:hAnsi="Times New Roman" w:cs="Times New Roman"/>
          <w:sz w:val="24"/>
          <w:szCs w:val="24"/>
        </w:rPr>
        <w:footnoteReference w:id="35"/>
      </w:r>
      <w:r w:rsidRPr="00A43DB3">
        <w:rPr>
          <w:rFonts w:ascii="Times New Roman" w:hAnsi="Times New Roman" w:cs="Times New Roman"/>
          <w:sz w:val="24"/>
          <w:szCs w:val="24"/>
        </w:rPr>
        <w:t xml:space="preserve"> Nonetheless, the objective of such statement could also be achieved through the anonymisation process, thus not only being restricted to the deletion of personal data. In this sense, it cannot be said that there is a clear establishment of a right to erasure in this provision. </w:t>
      </w:r>
    </w:p>
    <w:p w14:paraId="01D57A1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Second, Article 12(b) DPD provides data subjects with the right to obtain from the controller ‘the rectification, erasure or blocking of data the processing of which does not comply with the provisions of this Directive, in particular because of the incomplete or inaccurate nature of the data’.</w:t>
      </w:r>
      <w:r w:rsidRPr="00A43DB3">
        <w:rPr>
          <w:rStyle w:val="Refdenotaderodap"/>
          <w:rFonts w:ascii="Times New Roman" w:hAnsi="Times New Roman" w:cs="Times New Roman"/>
          <w:sz w:val="24"/>
          <w:szCs w:val="24"/>
        </w:rPr>
        <w:footnoteReference w:id="36"/>
      </w:r>
      <w:r w:rsidRPr="00A43DB3">
        <w:rPr>
          <w:rFonts w:ascii="Times New Roman" w:hAnsi="Times New Roman" w:cs="Times New Roman"/>
          <w:sz w:val="24"/>
          <w:szCs w:val="24"/>
        </w:rPr>
        <w:t xml:space="preserve"> Although this appears to give a right to apply for the erasure of data, it is subject to two conditions: the processing must infringe the provisions encompassed in the DPD, and the expression ‘in particular’ may indicate that the application of such right is conditional on processing where the personal data are incomplete or inaccurate.</w:t>
      </w:r>
      <w:r w:rsidRPr="00A43DB3">
        <w:rPr>
          <w:rStyle w:val="Refdenotaderodap"/>
          <w:rFonts w:ascii="Times New Roman" w:hAnsi="Times New Roman" w:cs="Times New Roman"/>
          <w:sz w:val="24"/>
          <w:szCs w:val="24"/>
        </w:rPr>
        <w:footnoteReference w:id="37"/>
      </w:r>
      <w:r w:rsidRPr="00A43DB3">
        <w:rPr>
          <w:rFonts w:ascii="Times New Roman" w:hAnsi="Times New Roman" w:cs="Times New Roman"/>
          <w:sz w:val="24"/>
          <w:szCs w:val="24"/>
        </w:rPr>
        <w:t xml:space="preserve"> </w:t>
      </w:r>
    </w:p>
    <w:p w14:paraId="75B94F24"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Third, Article 14(a) DPD grants to data subjects the right to object based on ‘compelling legitimate grounds relating to his particular situation’.</w:t>
      </w:r>
      <w:r w:rsidRPr="00A43DB3">
        <w:rPr>
          <w:rStyle w:val="Refdenotaderodap"/>
          <w:rFonts w:ascii="Times New Roman" w:hAnsi="Times New Roman" w:cs="Times New Roman"/>
          <w:sz w:val="24"/>
          <w:szCs w:val="24"/>
        </w:rPr>
        <w:footnoteReference w:id="38"/>
      </w:r>
      <w:r w:rsidRPr="00A43DB3">
        <w:rPr>
          <w:rFonts w:ascii="Times New Roman" w:hAnsi="Times New Roman" w:cs="Times New Roman"/>
          <w:sz w:val="24"/>
          <w:szCs w:val="24"/>
        </w:rPr>
        <w:t xml:space="preserve"> Despite the right to erasure being less apparent from the wording of Article 14, the interpretation of such article in conjunction with Articles (6)(1)(e) and 12(b) DPD supports the implicit existence of the first roots of the codification such right in Europe. In this sense, although the DPD did not explicitly designate a right to erasure, this could be achieved through an extensive interpretation of its provisions. </w:t>
      </w:r>
    </w:p>
    <w:p w14:paraId="611E1E46"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lastRenderedPageBreak/>
        <w:t>Concerning the processing of personal data solely for journalistic purposes or the purpose of artistic or literary expression, Article 9 DPD,</w:t>
      </w:r>
      <w:r w:rsidRPr="00A43DB3">
        <w:rPr>
          <w:rStyle w:val="Refdenotaderodap"/>
          <w:rFonts w:ascii="Times New Roman" w:hAnsi="Times New Roman" w:cs="Times New Roman"/>
          <w:sz w:val="24"/>
          <w:szCs w:val="24"/>
        </w:rPr>
        <w:footnoteReference w:id="39"/>
      </w:r>
      <w:r w:rsidRPr="00A43DB3">
        <w:rPr>
          <w:rFonts w:ascii="Times New Roman" w:hAnsi="Times New Roman" w:cs="Times New Roman"/>
          <w:sz w:val="24"/>
          <w:szCs w:val="24"/>
        </w:rPr>
        <w:t xml:space="preserve"> however, provides for exceptions or derogations from erasure, enabling Member States to legislate in respect to such subject matters. </w:t>
      </w:r>
    </w:p>
    <w:p w14:paraId="5B7C607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Despite the initial intention of regulating data protection, the right to be forgotten was not formally codified in the Directive. In the absence of robust guidance, a right to erasure was subject to uneven implementation within the Union. Despite having required Member States to implement national legislation in accordance with its guiding rules, the factual outcome did not turn out to be standardised data protection laws throughout the European Union, but dissonant national data protection statutes.</w:t>
      </w:r>
      <w:r w:rsidRPr="00A43DB3">
        <w:rPr>
          <w:rStyle w:val="Refdenotaderodap"/>
          <w:rFonts w:ascii="Times New Roman" w:hAnsi="Times New Roman" w:cs="Times New Roman"/>
          <w:sz w:val="24"/>
          <w:szCs w:val="24"/>
        </w:rPr>
        <w:footnoteReference w:id="40"/>
      </w:r>
      <w:r w:rsidRPr="00A43DB3">
        <w:rPr>
          <w:rFonts w:ascii="Times New Roman" w:hAnsi="Times New Roman" w:cs="Times New Roman"/>
          <w:sz w:val="24"/>
          <w:szCs w:val="24"/>
        </w:rPr>
        <w:t xml:space="preserve"> </w:t>
      </w:r>
    </w:p>
    <w:p w14:paraId="4D8E54F4"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Notwithstanding, by examining the few DPD provisions related to the potential applicability of a right to erasure, it can be inferred that such insufficient material still exceeded previous attempts to codify data protection law in Europe. Indeed, the DPD was the first European legislative act addressing data protection within the continent. Nevertheless, the hypotheses and the extent to which a possible right to erasure would apply remained dubious, consequently preventing the emerging right from being effectively enforceable. </w:t>
      </w:r>
    </w:p>
    <w:p w14:paraId="685E01A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Perhaps the absence of provisions addressing the right to erasure in the DPD may result from the fact that, despite recognising the potential negative consequences of holding personal data, the greater benefits that such retention might provide to data subjects and other concerns about the costs that such requirement might demand from data controllers were regarded as more important.</w:t>
      </w:r>
      <w:r w:rsidRPr="00A43DB3">
        <w:rPr>
          <w:rStyle w:val="Refdenotaderodap"/>
          <w:rFonts w:ascii="Times New Roman" w:hAnsi="Times New Roman" w:cs="Times New Roman"/>
          <w:sz w:val="24"/>
          <w:szCs w:val="24"/>
        </w:rPr>
        <w:footnoteReference w:id="41"/>
      </w:r>
      <w:r w:rsidRPr="00A43DB3">
        <w:rPr>
          <w:rFonts w:ascii="Times New Roman" w:hAnsi="Times New Roman" w:cs="Times New Roman"/>
          <w:sz w:val="24"/>
          <w:szCs w:val="24"/>
        </w:rPr>
        <w:t xml:space="preserve"> Nevertheless, through an extensive interpretation, the CJEU jurisprudence in </w:t>
      </w:r>
      <w:r w:rsidRPr="00A43DB3">
        <w:rPr>
          <w:rFonts w:ascii="Times New Roman" w:hAnsi="Times New Roman" w:cs="Times New Roman"/>
          <w:i/>
          <w:iCs/>
          <w:sz w:val="24"/>
          <w:szCs w:val="24"/>
        </w:rPr>
        <w:t>Google Spain</w:t>
      </w:r>
      <w:r w:rsidRPr="00A43DB3">
        <w:rPr>
          <w:rStyle w:val="Refdenotaderodap"/>
          <w:rFonts w:ascii="Times New Roman" w:hAnsi="Times New Roman" w:cs="Times New Roman"/>
          <w:sz w:val="24"/>
          <w:szCs w:val="24"/>
        </w:rPr>
        <w:footnoteReference w:id="42"/>
      </w:r>
      <w:r w:rsidRPr="00A43DB3">
        <w:rPr>
          <w:rFonts w:ascii="Times New Roman" w:hAnsi="Times New Roman" w:cs="Times New Roman"/>
          <w:sz w:val="24"/>
          <w:szCs w:val="24"/>
        </w:rPr>
        <w:t xml:space="preserve"> recognised an implied right to be forgotten in DPD that should be carried out by search engine operators as data controllers.</w:t>
      </w:r>
      <w:r w:rsidRPr="00A43DB3">
        <w:rPr>
          <w:rStyle w:val="Refdenotaderodap"/>
          <w:rFonts w:ascii="Times New Roman" w:hAnsi="Times New Roman" w:cs="Times New Roman"/>
          <w:sz w:val="24"/>
          <w:szCs w:val="24"/>
        </w:rPr>
        <w:footnoteReference w:id="43"/>
      </w:r>
      <w:r w:rsidRPr="00A43DB3">
        <w:rPr>
          <w:rFonts w:ascii="Times New Roman" w:hAnsi="Times New Roman" w:cs="Times New Roman"/>
          <w:sz w:val="24"/>
          <w:szCs w:val="24"/>
        </w:rPr>
        <w:t xml:space="preserve"> In fact, such landmark case represented the first judicial recognition of the right to be forgotten, which will be analysed in more detail in Chapter 4. </w:t>
      </w:r>
    </w:p>
    <w:p w14:paraId="7972953F" w14:textId="77777777" w:rsidR="00481564" w:rsidRPr="00A43DB3" w:rsidRDefault="00481564" w:rsidP="00481564">
      <w:pPr>
        <w:spacing w:line="360" w:lineRule="auto"/>
        <w:jc w:val="both"/>
        <w:rPr>
          <w:rFonts w:ascii="Times New Roman" w:hAnsi="Times New Roman" w:cs="Times New Roman"/>
          <w:sz w:val="24"/>
          <w:szCs w:val="24"/>
        </w:rPr>
      </w:pPr>
    </w:p>
    <w:p w14:paraId="3BD47E75" w14:textId="77777777" w:rsidR="00481564" w:rsidRPr="00A43DB3" w:rsidRDefault="00481564" w:rsidP="00481564">
      <w:pPr>
        <w:pStyle w:val="PargrafodaLista"/>
        <w:numPr>
          <w:ilvl w:val="1"/>
          <w:numId w:val="11"/>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lastRenderedPageBreak/>
        <w:t>General Data Protection Regulation (Regulation 2016/679)</w:t>
      </w:r>
    </w:p>
    <w:p w14:paraId="62042FF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January 2012, the European Commission presented the proposal for a General Data Protection Regulation. In elucidating the proposed EU reform package, Viviane Reding has clarified that, because of the vast capacity of digital memory, all personal information can have a huge impact on data subjects lives, even if publicised years later.</w:t>
      </w:r>
      <w:r w:rsidRPr="00A43DB3">
        <w:rPr>
          <w:rStyle w:val="Refdenotaderodap"/>
          <w:rFonts w:ascii="Times New Roman" w:hAnsi="Times New Roman" w:cs="Times New Roman"/>
          <w:sz w:val="24"/>
          <w:szCs w:val="24"/>
        </w:rPr>
        <w:footnoteReference w:id="44"/>
      </w:r>
      <w:r w:rsidRPr="00A43DB3">
        <w:rPr>
          <w:rFonts w:ascii="Times New Roman" w:hAnsi="Times New Roman" w:cs="Times New Roman"/>
          <w:sz w:val="24"/>
          <w:szCs w:val="24"/>
        </w:rPr>
        <w:t xml:space="preserve"> The principal objective of the GDPR was to address uncovered data protection issues that had arisen following the rapid technological changes that had occurred since then.</w:t>
      </w:r>
      <w:r w:rsidRPr="00A43DB3">
        <w:rPr>
          <w:rStyle w:val="Refdenotaderodap"/>
          <w:rFonts w:ascii="Times New Roman" w:hAnsi="Times New Roman" w:cs="Times New Roman"/>
          <w:sz w:val="24"/>
          <w:szCs w:val="24"/>
        </w:rPr>
        <w:footnoteReference w:id="45"/>
      </w:r>
      <w:r w:rsidRPr="00A43DB3">
        <w:rPr>
          <w:rFonts w:ascii="Times New Roman" w:hAnsi="Times New Roman" w:cs="Times New Roman"/>
          <w:sz w:val="24"/>
          <w:szCs w:val="24"/>
        </w:rPr>
        <w:t xml:space="preserve"> This initiative culminated in the adoption of the GDPR on 14 May 2016 and its entry into force in the Member States on </w:t>
      </w:r>
      <w:r w:rsidRPr="00A43DB3">
        <w:rPr>
          <w:rFonts w:ascii="Times New Roman" w:hAnsi="Times New Roman" w:cs="Times New Roman"/>
          <w:color w:val="202122"/>
          <w:sz w:val="24"/>
          <w:szCs w:val="24"/>
          <w:shd w:val="clear" w:color="auto" w:fill="FFFFFF"/>
        </w:rPr>
        <w:t>25 May 2018, when the DPD was repealed.</w:t>
      </w:r>
    </w:p>
    <w:p w14:paraId="55B1BC73"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this sense, the GDPR represents the factual codification of the right to be forgotten, whose application is not only confined to search engines but also to webmasters, media outlets and other data controllers.</w:t>
      </w:r>
      <w:r w:rsidRPr="00A43DB3">
        <w:rPr>
          <w:rStyle w:val="Refdenotaderodap"/>
          <w:rFonts w:ascii="Times New Roman" w:hAnsi="Times New Roman" w:cs="Times New Roman"/>
          <w:sz w:val="24"/>
          <w:szCs w:val="24"/>
        </w:rPr>
        <w:footnoteReference w:id="46"/>
      </w:r>
      <w:r w:rsidRPr="00A43DB3">
        <w:rPr>
          <w:rFonts w:ascii="Times New Roman" w:hAnsi="Times New Roman" w:cs="Times New Roman"/>
          <w:sz w:val="24"/>
          <w:szCs w:val="24"/>
        </w:rPr>
        <w:t xml:space="preserve"> The Regulation extends the data subjects’ control over personal data related to them, in addition to expanding the right to be forgotten posterior to its judicial recognition by the CJEU in the 2014 judgment in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The right to be forgotten in the specific context of search engines is also termed the right to de-referencing, the right to de-indexing or even the right to de-listing.</w:t>
      </w:r>
    </w:p>
    <w:p w14:paraId="1E9762D1"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As a Regulation, it applies directly to the national laws of the EU Member States, resulting in a higher degree of uniformity in respect to data protection amongst the Union, contrasting to the applicability of the DPD, as a Directive.</w:t>
      </w:r>
      <w:r w:rsidRPr="00A43DB3">
        <w:rPr>
          <w:rStyle w:val="Refdenotaderodap"/>
          <w:rFonts w:ascii="Times New Roman" w:hAnsi="Times New Roman" w:cs="Times New Roman"/>
          <w:sz w:val="24"/>
          <w:szCs w:val="24"/>
        </w:rPr>
        <w:footnoteReference w:id="47"/>
      </w:r>
      <w:r w:rsidRPr="00A43DB3">
        <w:rPr>
          <w:rFonts w:ascii="Times New Roman" w:hAnsi="Times New Roman" w:cs="Times New Roman"/>
          <w:sz w:val="24"/>
          <w:szCs w:val="24"/>
        </w:rPr>
        <w:t xml:space="preserve"> In this sense, the GDPR aimed to rectify the substantive disparity between the treatment of data protection in diverse national legal frameworks, representing a critical deficiency which could not be addressed by the previous DPD. </w:t>
      </w:r>
    </w:p>
    <w:p w14:paraId="30B6BA01"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lastRenderedPageBreak/>
        <w:t xml:space="preserve">The right to erasure, also named right to be forgotten in the GDPR, was enshrined in Article 17 of the Regulation, which, despite some remaining gaps, has portrayed a meaningful innovation, not merely a duplication of the DPD approach to data protection. </w:t>
      </w:r>
    </w:p>
    <w:p w14:paraId="6D0A762D" w14:textId="77777777" w:rsidR="00481564" w:rsidRPr="00A43DB3" w:rsidRDefault="00481564" w:rsidP="00481564">
      <w:pPr>
        <w:spacing w:line="360" w:lineRule="auto"/>
        <w:jc w:val="both"/>
        <w:rPr>
          <w:rFonts w:ascii="Times New Roman" w:hAnsi="Times New Roman" w:cs="Times New Roman"/>
          <w:color w:val="000000" w:themeColor="text1"/>
          <w:sz w:val="24"/>
          <w:szCs w:val="24"/>
        </w:rPr>
      </w:pPr>
      <w:r w:rsidRPr="00A43DB3">
        <w:rPr>
          <w:rFonts w:ascii="Times New Roman" w:hAnsi="Times New Roman" w:cs="Times New Roman"/>
          <w:color w:val="000000" w:themeColor="text1"/>
          <w:sz w:val="24"/>
          <w:szCs w:val="24"/>
        </w:rPr>
        <w:t xml:space="preserve">Accordingly, the data subjects’ right to obtain from the controller the erasure of personal data relating to them arise when one of the six following grounds provided by Article 17(1) of the GDPR applies:  </w:t>
      </w:r>
    </w:p>
    <w:p w14:paraId="456496EE"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 xml:space="preserve">(a) the personal data are no longer necessary in relation to the purposes for which they were collected or otherwise </w:t>
      </w:r>
      <w:proofErr w:type="gramStart"/>
      <w:r w:rsidRPr="00A43DB3">
        <w:rPr>
          <w:rFonts w:ascii="Times New Roman" w:hAnsi="Times New Roman" w:cs="Times New Roman"/>
          <w:sz w:val="24"/>
          <w:szCs w:val="24"/>
        </w:rPr>
        <w:t>processed;</w:t>
      </w:r>
      <w:proofErr w:type="gramEnd"/>
      <w:r w:rsidRPr="00A43DB3">
        <w:rPr>
          <w:rFonts w:ascii="Times New Roman" w:hAnsi="Times New Roman" w:cs="Times New Roman"/>
          <w:sz w:val="24"/>
          <w:szCs w:val="24"/>
        </w:rPr>
        <w:t xml:space="preserve"> </w:t>
      </w:r>
    </w:p>
    <w:p w14:paraId="3EFF0898"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 xml:space="preserve">(b) the data subject withdraws consent on which the processing is based according to point (a) of Article 6(1), or point (a) of Article 9(2), and where there is no other legal ground for the </w:t>
      </w:r>
      <w:proofErr w:type="gramStart"/>
      <w:r w:rsidRPr="00A43DB3">
        <w:rPr>
          <w:rFonts w:ascii="Times New Roman" w:hAnsi="Times New Roman" w:cs="Times New Roman"/>
          <w:sz w:val="24"/>
          <w:szCs w:val="24"/>
        </w:rPr>
        <w:t>processing;</w:t>
      </w:r>
      <w:proofErr w:type="gramEnd"/>
    </w:p>
    <w:p w14:paraId="58F98AC8"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 xml:space="preserve">(c) the data subject objects to the processing pursuant to Article 21(1) and there are no overriding legitimate grounds for the processing, or the data subject objects to the processing pursuant to Article </w:t>
      </w:r>
      <w:proofErr w:type="gramStart"/>
      <w:r w:rsidRPr="00A43DB3">
        <w:rPr>
          <w:rFonts w:ascii="Times New Roman" w:hAnsi="Times New Roman" w:cs="Times New Roman"/>
          <w:sz w:val="24"/>
          <w:szCs w:val="24"/>
        </w:rPr>
        <w:t>21(2);</w:t>
      </w:r>
      <w:proofErr w:type="gramEnd"/>
    </w:p>
    <w:p w14:paraId="784DF325"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 xml:space="preserve">(d) the personal data have been unlawfully </w:t>
      </w:r>
      <w:proofErr w:type="gramStart"/>
      <w:r w:rsidRPr="00A43DB3">
        <w:rPr>
          <w:rFonts w:ascii="Times New Roman" w:hAnsi="Times New Roman" w:cs="Times New Roman"/>
          <w:sz w:val="24"/>
          <w:szCs w:val="24"/>
        </w:rPr>
        <w:t>processed;</w:t>
      </w:r>
      <w:proofErr w:type="gramEnd"/>
    </w:p>
    <w:p w14:paraId="6175C022"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 xml:space="preserve">(e) the personal data have to be erased for compliance with a legal obligation in Union or Member State law to which the controller is </w:t>
      </w:r>
      <w:proofErr w:type="gramStart"/>
      <w:r w:rsidRPr="00A43DB3">
        <w:rPr>
          <w:rFonts w:ascii="Times New Roman" w:hAnsi="Times New Roman" w:cs="Times New Roman"/>
          <w:sz w:val="24"/>
          <w:szCs w:val="24"/>
        </w:rPr>
        <w:t>subject;</w:t>
      </w:r>
      <w:proofErr w:type="gramEnd"/>
    </w:p>
    <w:p w14:paraId="7D58D58E"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(f) the personal data have been collected in relation to the offer of information society services referred to in Article 8(1).</w:t>
      </w:r>
      <w:r w:rsidRPr="00A43DB3">
        <w:rPr>
          <w:rStyle w:val="Refdenotaderodap"/>
          <w:rFonts w:ascii="Times New Roman" w:hAnsi="Times New Roman" w:cs="Times New Roman"/>
          <w:sz w:val="24"/>
          <w:szCs w:val="24"/>
        </w:rPr>
        <w:footnoteReference w:id="48"/>
      </w:r>
    </w:p>
    <w:p w14:paraId="5405966E"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European Data Protection Board (the ‘Board’ or ‘EDPB’) was implemented by the GDPR</w:t>
      </w:r>
      <w:r w:rsidRPr="00A43DB3">
        <w:rPr>
          <w:rStyle w:val="Refdenotaderodap"/>
          <w:rFonts w:ascii="Times New Roman" w:hAnsi="Times New Roman" w:cs="Times New Roman"/>
          <w:sz w:val="24"/>
          <w:szCs w:val="24"/>
        </w:rPr>
        <w:footnoteReference w:id="49"/>
      </w:r>
      <w:r w:rsidRPr="00A43DB3">
        <w:rPr>
          <w:rFonts w:ascii="Times New Roman" w:hAnsi="Times New Roman" w:cs="Times New Roman"/>
          <w:sz w:val="24"/>
          <w:szCs w:val="24"/>
        </w:rPr>
        <w:t xml:space="preserve"> and replaced the corresponding WP29, established by the DPD. In 2019, the EDPB issued the Guidelines 5/2019</w:t>
      </w:r>
      <w:r w:rsidRPr="00A43DB3">
        <w:rPr>
          <w:rStyle w:val="Refdenotaderodap"/>
          <w:rFonts w:ascii="Times New Roman" w:hAnsi="Times New Roman" w:cs="Times New Roman"/>
          <w:sz w:val="24"/>
          <w:szCs w:val="24"/>
        </w:rPr>
        <w:footnoteReference w:id="50"/>
      </w:r>
      <w:r w:rsidRPr="00A43DB3">
        <w:rPr>
          <w:rFonts w:ascii="Times New Roman" w:hAnsi="Times New Roman" w:cs="Times New Roman"/>
          <w:sz w:val="24"/>
          <w:szCs w:val="24"/>
        </w:rPr>
        <w:t xml:space="preserve"> addressing the right to be forgotten in the context of search engines, providing some clarification as regards Article 17 GDPR.</w:t>
      </w:r>
    </w:p>
    <w:p w14:paraId="7568DEE3"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relation to subparagraph (a) of Article 17(1) GDPR, the search engine operator must assess whether personal data have become outdated, whose result may vary according to the original purposes of processing. The EDPB exemplifies that it may occur when the information has been removed from the public register, when the data subject has his or </w:t>
      </w:r>
      <w:r w:rsidRPr="00A43DB3">
        <w:rPr>
          <w:rFonts w:ascii="Times New Roman" w:hAnsi="Times New Roman" w:cs="Times New Roman"/>
          <w:sz w:val="24"/>
          <w:szCs w:val="24"/>
        </w:rPr>
        <w:lastRenderedPageBreak/>
        <w:t>her contact details displayed on a company’s website for which he or she no longer works and when certain information was published in accordance with a legal obligation but remained available longer than the time limit legally stipulated.</w:t>
      </w:r>
      <w:r w:rsidRPr="00A43DB3">
        <w:rPr>
          <w:rStyle w:val="Refdenotaderodap"/>
          <w:rFonts w:ascii="Times New Roman" w:hAnsi="Times New Roman" w:cs="Times New Roman"/>
          <w:sz w:val="24"/>
          <w:szCs w:val="24"/>
        </w:rPr>
        <w:footnoteReference w:id="51"/>
      </w:r>
    </w:p>
    <w:p w14:paraId="533B9E01"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Article 17(1)(b) GDPR, regarding the withdrawal of consent, is unlikely to apply to search engines, once data subjects would rather give their consent to the original publisher. In any event, as the EDPB indicates, when such a situation occurs, the publisher should inform search engine operators pursuant to Article 17(2) GDPR.</w:t>
      </w:r>
      <w:r w:rsidRPr="00A43DB3">
        <w:rPr>
          <w:rStyle w:val="Refdenotaderodap"/>
          <w:rFonts w:ascii="Times New Roman" w:hAnsi="Times New Roman" w:cs="Times New Roman"/>
          <w:sz w:val="24"/>
          <w:szCs w:val="24"/>
        </w:rPr>
        <w:footnoteReference w:id="52"/>
      </w:r>
      <w:r w:rsidRPr="00A43DB3">
        <w:rPr>
          <w:rFonts w:ascii="Times New Roman" w:hAnsi="Times New Roman" w:cs="Times New Roman"/>
          <w:sz w:val="24"/>
          <w:szCs w:val="24"/>
        </w:rPr>
        <w:t xml:space="preserve"> In this case, the data subject would be able to submit a removal request to the search engine operator, but under his or her right to object according to Article 17(1)(c)</w:t>
      </w:r>
      <w:r>
        <w:rPr>
          <w:rFonts w:ascii="Times New Roman" w:hAnsi="Times New Roman" w:cs="Times New Roman"/>
          <w:sz w:val="24"/>
          <w:szCs w:val="24"/>
        </w:rPr>
        <w:t xml:space="preserve"> GDPR</w:t>
      </w:r>
      <w:r w:rsidRPr="00A43DB3">
        <w:rPr>
          <w:rFonts w:ascii="Times New Roman" w:hAnsi="Times New Roman" w:cs="Times New Roman"/>
          <w:sz w:val="24"/>
          <w:szCs w:val="24"/>
        </w:rPr>
        <w:t>.</w:t>
      </w:r>
    </w:p>
    <w:p w14:paraId="312969CD"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As regards the right to object, it is essential to appreciate the connection between Articles 17(1)(c) and 21 GDPR. The latter places the onus to demonstrate compelling legitimate grounds to justify data processing on the data controller,</w:t>
      </w:r>
      <w:r w:rsidRPr="00A43DB3">
        <w:rPr>
          <w:rStyle w:val="Refdenotaderodap"/>
          <w:rFonts w:ascii="Times New Roman" w:hAnsi="Times New Roman" w:cs="Times New Roman"/>
          <w:sz w:val="24"/>
          <w:szCs w:val="24"/>
        </w:rPr>
        <w:footnoteReference w:id="53"/>
      </w:r>
      <w:r w:rsidRPr="00A43DB3">
        <w:rPr>
          <w:rFonts w:ascii="Times New Roman" w:hAnsi="Times New Roman" w:cs="Times New Roman"/>
          <w:sz w:val="24"/>
          <w:szCs w:val="24"/>
        </w:rPr>
        <w:t xml:space="preserve"> as opposed to the DPD, which imposed such a burden of proof on data subjects.</w:t>
      </w:r>
      <w:r w:rsidRPr="00A43DB3">
        <w:rPr>
          <w:rStyle w:val="Refdenotaderodap"/>
          <w:rFonts w:ascii="Times New Roman" w:hAnsi="Times New Roman" w:cs="Times New Roman"/>
          <w:sz w:val="24"/>
          <w:szCs w:val="24"/>
        </w:rPr>
        <w:footnoteReference w:id="54"/>
      </w:r>
      <w:r w:rsidRPr="00A43DB3">
        <w:rPr>
          <w:rFonts w:ascii="Times New Roman" w:hAnsi="Times New Roman" w:cs="Times New Roman"/>
          <w:sz w:val="24"/>
          <w:szCs w:val="24"/>
        </w:rPr>
        <w:t xml:space="preserve"> On the other hand, Article 17(1)(c) GDPR may grant a right to be forgotten where the data subject exercises the right to object, enshrined in Article 21 of the Regulation. In this sense, the search engine operator can invoke one of the exemptions of Article 17(3) GDPR as ‘overriding legitimate grounds’ to refuse the removal request. The ‘particular situation’ of data subjects, in their turn, which supports a de-referencing request, may be, as illustrated by the EDPB, related to information regarded as hate speech, slander, libel, as well as information merely reflecting personal opinions or minor criminal offences committed a long time ago.</w:t>
      </w:r>
      <w:r w:rsidRPr="00A43DB3">
        <w:rPr>
          <w:rStyle w:val="Refdenotaderodap"/>
          <w:rFonts w:ascii="Times New Roman" w:hAnsi="Times New Roman" w:cs="Times New Roman"/>
          <w:sz w:val="24"/>
          <w:szCs w:val="24"/>
        </w:rPr>
        <w:footnoteReference w:id="55"/>
      </w:r>
    </w:p>
    <w:p w14:paraId="1CCCA45B" w14:textId="77777777" w:rsidR="00481564" w:rsidRPr="00A43DB3" w:rsidRDefault="00481564" w:rsidP="00481564">
      <w:pPr>
        <w:spacing w:line="360" w:lineRule="auto"/>
        <w:jc w:val="both"/>
        <w:rPr>
          <w:rFonts w:ascii="Times New Roman" w:hAnsi="Times New Roman" w:cs="Times New Roman"/>
          <w:color w:val="000000" w:themeColor="text1"/>
          <w:sz w:val="24"/>
          <w:szCs w:val="24"/>
        </w:rPr>
      </w:pPr>
      <w:r w:rsidRPr="00A43DB3">
        <w:rPr>
          <w:rFonts w:ascii="Times New Roman" w:hAnsi="Times New Roman" w:cs="Times New Roman"/>
          <w:color w:val="000000" w:themeColor="text1"/>
          <w:sz w:val="24"/>
          <w:szCs w:val="24"/>
        </w:rPr>
        <w:t>Subparagraph (d) of Article 17(1) GDPR stresses the importance of processing personal data only under one of the lawful bases catalogued in Article 6 of the Regulation, otherwise the right to erasure applies. Furthermore, as the EDPB notes, such provision must be broadly interpreted, including the infringement of legislations other than the GDPR.</w:t>
      </w:r>
      <w:r w:rsidRPr="00A43DB3">
        <w:rPr>
          <w:rStyle w:val="Refdenotaderodap"/>
          <w:rFonts w:ascii="Times New Roman" w:hAnsi="Times New Roman" w:cs="Times New Roman"/>
          <w:color w:val="000000" w:themeColor="text1"/>
          <w:sz w:val="24"/>
          <w:szCs w:val="24"/>
        </w:rPr>
        <w:footnoteReference w:id="56"/>
      </w:r>
    </w:p>
    <w:p w14:paraId="71CA0A73" w14:textId="77777777" w:rsidR="00481564" w:rsidRPr="00A43DB3" w:rsidRDefault="00481564" w:rsidP="00481564">
      <w:pPr>
        <w:spacing w:line="360" w:lineRule="auto"/>
        <w:jc w:val="both"/>
        <w:rPr>
          <w:rFonts w:ascii="Times New Roman" w:hAnsi="Times New Roman" w:cs="Times New Roman"/>
          <w:color w:val="000000" w:themeColor="text1"/>
          <w:sz w:val="24"/>
          <w:szCs w:val="24"/>
        </w:rPr>
      </w:pPr>
      <w:r w:rsidRPr="00A43DB3">
        <w:rPr>
          <w:rFonts w:ascii="Times New Roman" w:hAnsi="Times New Roman" w:cs="Times New Roman"/>
          <w:color w:val="000000" w:themeColor="text1"/>
          <w:sz w:val="24"/>
          <w:szCs w:val="24"/>
        </w:rPr>
        <w:lastRenderedPageBreak/>
        <w:t>Regarding Article 17(1)(e) GDPR, which establishes the erasure for compliance with a legal obligation, it can derive from an injunction, a requirement under Union or Member State law or the breach of the storage period by the search engine operator.</w:t>
      </w:r>
      <w:r w:rsidRPr="00A43DB3">
        <w:rPr>
          <w:rStyle w:val="Refdenotaderodap"/>
          <w:rFonts w:ascii="Times New Roman" w:hAnsi="Times New Roman" w:cs="Times New Roman"/>
          <w:color w:val="000000" w:themeColor="text1"/>
          <w:sz w:val="24"/>
          <w:szCs w:val="24"/>
        </w:rPr>
        <w:footnoteReference w:id="57"/>
      </w:r>
    </w:p>
    <w:p w14:paraId="6EFFE459" w14:textId="77777777" w:rsidR="00481564" w:rsidRPr="00A43DB3" w:rsidRDefault="00481564" w:rsidP="00481564">
      <w:pPr>
        <w:spacing w:line="360" w:lineRule="auto"/>
        <w:jc w:val="both"/>
        <w:rPr>
          <w:rFonts w:ascii="Times New Roman" w:hAnsi="Times New Roman" w:cs="Times New Roman"/>
          <w:color w:val="000000" w:themeColor="text1"/>
          <w:sz w:val="24"/>
          <w:szCs w:val="24"/>
        </w:rPr>
      </w:pPr>
      <w:r w:rsidRPr="00A43DB3">
        <w:rPr>
          <w:rFonts w:ascii="Times New Roman" w:hAnsi="Times New Roman" w:cs="Times New Roman"/>
          <w:color w:val="000000" w:themeColor="text1"/>
          <w:sz w:val="24"/>
          <w:szCs w:val="24"/>
        </w:rPr>
        <w:t xml:space="preserve">Lastly, concerning Article 17(1)(f) GDPR, personal data can be deleted when collected in conjunction with the offer of information society services, such as online sales of goods, social </w:t>
      </w:r>
      <w:proofErr w:type="gramStart"/>
      <w:r w:rsidRPr="00A43DB3">
        <w:rPr>
          <w:rFonts w:ascii="Times New Roman" w:hAnsi="Times New Roman" w:cs="Times New Roman"/>
          <w:color w:val="000000" w:themeColor="text1"/>
          <w:sz w:val="24"/>
          <w:szCs w:val="24"/>
        </w:rPr>
        <w:t>networks</w:t>
      </w:r>
      <w:proofErr w:type="gramEnd"/>
      <w:r w:rsidRPr="00A43DB3">
        <w:rPr>
          <w:rFonts w:ascii="Times New Roman" w:hAnsi="Times New Roman" w:cs="Times New Roman"/>
          <w:color w:val="000000" w:themeColor="text1"/>
          <w:sz w:val="24"/>
          <w:szCs w:val="24"/>
        </w:rPr>
        <w:t xml:space="preserve"> and web hosting services, directly to a child. The EDPB points out that search engine operators do not distinguish whether the personal data it processes are related to a child, however they would have to delist such content and </w:t>
      </w:r>
      <w:proofErr w:type="gramStart"/>
      <w:r w:rsidRPr="00A43DB3">
        <w:rPr>
          <w:rFonts w:ascii="Times New Roman" w:hAnsi="Times New Roman" w:cs="Times New Roman"/>
          <w:color w:val="000000" w:themeColor="text1"/>
          <w:sz w:val="24"/>
          <w:szCs w:val="24"/>
        </w:rPr>
        <w:t>take into account</w:t>
      </w:r>
      <w:proofErr w:type="gramEnd"/>
      <w:r w:rsidRPr="00A43DB3">
        <w:rPr>
          <w:rFonts w:ascii="Times New Roman" w:hAnsi="Times New Roman" w:cs="Times New Roman"/>
          <w:color w:val="000000" w:themeColor="text1"/>
          <w:sz w:val="24"/>
          <w:szCs w:val="24"/>
        </w:rPr>
        <w:t xml:space="preserve">, in particular, the date when the processing by the source website has started in relation to the date when the data subject has requested the removal of information. </w:t>
      </w:r>
    </w:p>
    <w:p w14:paraId="69E80CDC"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Furthermore, the Regulation imposes the obligation on the data controller who has made the personal data public, rather than on the data subject, to notify third-party controllers, such as websites that have been processing such information, that a removal request was received.</w:t>
      </w:r>
      <w:r w:rsidRPr="00A43DB3">
        <w:rPr>
          <w:rStyle w:val="Refdenotaderodap"/>
          <w:rFonts w:ascii="Times New Roman" w:hAnsi="Times New Roman" w:cs="Times New Roman"/>
          <w:sz w:val="24"/>
          <w:szCs w:val="24"/>
        </w:rPr>
        <w:footnoteReference w:id="58"/>
      </w:r>
      <w:r w:rsidRPr="00A43DB3">
        <w:rPr>
          <w:rFonts w:ascii="Times New Roman" w:hAnsi="Times New Roman" w:cs="Times New Roman"/>
          <w:sz w:val="24"/>
          <w:szCs w:val="24"/>
        </w:rPr>
        <w:t xml:space="preserve"> In this sense, Article 17(2) could be understood as an attempt at implementing the </w:t>
      </w:r>
      <w:r w:rsidRPr="00A43DB3">
        <w:rPr>
          <w:rFonts w:ascii="Times New Roman" w:hAnsi="Times New Roman" w:cs="Times New Roman"/>
          <w:i/>
          <w:iCs/>
          <w:sz w:val="24"/>
          <w:szCs w:val="24"/>
        </w:rPr>
        <w:t xml:space="preserve">droit à </w:t>
      </w:r>
      <w:proofErr w:type="spellStart"/>
      <w:r w:rsidRPr="00A43DB3">
        <w:rPr>
          <w:rFonts w:ascii="Times New Roman" w:hAnsi="Times New Roman" w:cs="Times New Roman"/>
          <w:i/>
          <w:iCs/>
          <w:sz w:val="24"/>
          <w:szCs w:val="24"/>
        </w:rPr>
        <w:t>l’oubli</w:t>
      </w:r>
      <w:proofErr w:type="spellEnd"/>
      <w:r w:rsidRPr="00A43DB3">
        <w:rPr>
          <w:rFonts w:ascii="Times New Roman" w:hAnsi="Times New Roman" w:cs="Times New Roman"/>
          <w:i/>
          <w:iCs/>
          <w:sz w:val="24"/>
          <w:szCs w:val="24"/>
        </w:rPr>
        <w:t xml:space="preserve"> </w:t>
      </w:r>
      <w:r w:rsidRPr="00A43DB3">
        <w:rPr>
          <w:rFonts w:ascii="Times New Roman" w:hAnsi="Times New Roman" w:cs="Times New Roman"/>
          <w:sz w:val="24"/>
          <w:szCs w:val="24"/>
        </w:rPr>
        <w:t>into data protection law,</w:t>
      </w:r>
      <w:r w:rsidRPr="00A43DB3">
        <w:rPr>
          <w:rStyle w:val="Refdenotaderodap"/>
          <w:rFonts w:ascii="Times New Roman" w:hAnsi="Times New Roman" w:cs="Times New Roman"/>
          <w:sz w:val="24"/>
          <w:szCs w:val="24"/>
        </w:rPr>
        <w:footnoteReference w:id="59"/>
      </w:r>
      <w:r w:rsidRPr="00A43DB3">
        <w:rPr>
          <w:rFonts w:ascii="Times New Roman" w:hAnsi="Times New Roman" w:cs="Times New Roman"/>
          <w:sz w:val="24"/>
          <w:szCs w:val="24"/>
        </w:rPr>
        <w:t xml:space="preserve"> namely in relation to information technologies and communication, such as the online environment. Nevertheless, the EDPB argues that such provision does not apply to search engines, but to original controllers.</w:t>
      </w:r>
      <w:r w:rsidRPr="00A43DB3">
        <w:rPr>
          <w:rStyle w:val="Refdenotaderodap"/>
          <w:rFonts w:ascii="Times New Roman" w:hAnsi="Times New Roman" w:cs="Times New Roman"/>
          <w:sz w:val="24"/>
          <w:szCs w:val="24"/>
        </w:rPr>
        <w:footnoteReference w:id="60"/>
      </w:r>
    </w:p>
    <w:p w14:paraId="06424EB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As opposed to the DPD, by addressing the right to be forgotten in more detail, the GDPR stipulates exceptions to the application of such right. It must be emphasised, however, that the burden of proof that the proportionality test was made is on the side of the data controller.</w:t>
      </w:r>
      <w:r w:rsidRPr="00A43DB3">
        <w:rPr>
          <w:rStyle w:val="Refdenotaderodap"/>
          <w:rFonts w:ascii="Times New Roman" w:hAnsi="Times New Roman" w:cs="Times New Roman"/>
          <w:sz w:val="24"/>
          <w:szCs w:val="24"/>
        </w:rPr>
        <w:footnoteReference w:id="61"/>
      </w:r>
      <w:r w:rsidRPr="00A43DB3">
        <w:rPr>
          <w:rFonts w:ascii="Times New Roman" w:hAnsi="Times New Roman" w:cs="Times New Roman"/>
          <w:sz w:val="24"/>
          <w:szCs w:val="24"/>
        </w:rPr>
        <w:t xml:space="preserve"> Accordingly, as enshrined in Article 17(3) GDPR, the right to erasure will not apply to personal data whose processing is necessary: </w:t>
      </w:r>
    </w:p>
    <w:p w14:paraId="38D32A9C"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 xml:space="preserve">(a) for exercising the right of freedom of expression and </w:t>
      </w:r>
      <w:proofErr w:type="gramStart"/>
      <w:r w:rsidRPr="00A43DB3">
        <w:rPr>
          <w:rFonts w:ascii="Times New Roman" w:hAnsi="Times New Roman" w:cs="Times New Roman"/>
          <w:sz w:val="24"/>
          <w:szCs w:val="24"/>
        </w:rPr>
        <w:t>information;</w:t>
      </w:r>
      <w:proofErr w:type="gramEnd"/>
    </w:p>
    <w:p w14:paraId="181671E0"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 xml:space="preserve">(b) for compliance with a legal obligation which requires processing by Union or Member State law to which the controller is subject or for the performance of a task carried out in the public interest or in the exercise of official authority vested in the </w:t>
      </w:r>
      <w:proofErr w:type="gramStart"/>
      <w:r w:rsidRPr="00A43DB3">
        <w:rPr>
          <w:rFonts w:ascii="Times New Roman" w:hAnsi="Times New Roman" w:cs="Times New Roman"/>
          <w:sz w:val="24"/>
          <w:szCs w:val="24"/>
        </w:rPr>
        <w:t>controller;</w:t>
      </w:r>
      <w:proofErr w:type="gramEnd"/>
    </w:p>
    <w:p w14:paraId="301B51A1"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lastRenderedPageBreak/>
        <w:t>(c) for reasons of public interest in the area of public health in accordance with points (h) and (</w:t>
      </w:r>
      <w:proofErr w:type="spellStart"/>
      <w:r w:rsidRPr="00A43DB3">
        <w:rPr>
          <w:rFonts w:ascii="Times New Roman" w:hAnsi="Times New Roman" w:cs="Times New Roman"/>
          <w:sz w:val="24"/>
          <w:szCs w:val="24"/>
        </w:rPr>
        <w:t>i</w:t>
      </w:r>
      <w:proofErr w:type="spellEnd"/>
      <w:r w:rsidRPr="00A43DB3">
        <w:rPr>
          <w:rFonts w:ascii="Times New Roman" w:hAnsi="Times New Roman" w:cs="Times New Roman"/>
          <w:sz w:val="24"/>
          <w:szCs w:val="24"/>
        </w:rPr>
        <w:t xml:space="preserve">) of Article 9(2) as well as Article </w:t>
      </w:r>
      <w:proofErr w:type="gramStart"/>
      <w:r w:rsidRPr="00A43DB3">
        <w:rPr>
          <w:rFonts w:ascii="Times New Roman" w:hAnsi="Times New Roman" w:cs="Times New Roman"/>
          <w:sz w:val="24"/>
          <w:szCs w:val="24"/>
        </w:rPr>
        <w:t>9(3);</w:t>
      </w:r>
      <w:proofErr w:type="gramEnd"/>
    </w:p>
    <w:p w14:paraId="23174A42"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(d) for archiving purposes in the public interest, scientific or historical research purposes or statistical purposes in accordance with Article 89(1) in so far as the right referred to in paragraph 1 is likely to render impossible or seriously impair the achievement of the objectives of that processing; or</w:t>
      </w:r>
    </w:p>
    <w:p w14:paraId="4F88855E" w14:textId="77777777" w:rsidR="00481564" w:rsidRPr="00A43DB3" w:rsidRDefault="00481564" w:rsidP="00DE5011">
      <w:pPr>
        <w:spacing w:line="240" w:lineRule="auto"/>
        <w:ind w:left="1701" w:right="1134"/>
        <w:jc w:val="both"/>
        <w:rPr>
          <w:rFonts w:ascii="Times New Roman" w:hAnsi="Times New Roman" w:cs="Times New Roman"/>
          <w:sz w:val="24"/>
          <w:szCs w:val="24"/>
        </w:rPr>
      </w:pPr>
      <w:r w:rsidRPr="00A43DB3">
        <w:rPr>
          <w:rFonts w:ascii="Times New Roman" w:hAnsi="Times New Roman" w:cs="Times New Roman"/>
          <w:sz w:val="24"/>
          <w:szCs w:val="24"/>
        </w:rPr>
        <w:t xml:space="preserve">(e) for the establishment, </w:t>
      </w:r>
      <w:proofErr w:type="gramStart"/>
      <w:r w:rsidRPr="00A43DB3">
        <w:rPr>
          <w:rFonts w:ascii="Times New Roman" w:hAnsi="Times New Roman" w:cs="Times New Roman"/>
          <w:sz w:val="24"/>
          <w:szCs w:val="24"/>
        </w:rPr>
        <w:t>exercise</w:t>
      </w:r>
      <w:proofErr w:type="gramEnd"/>
      <w:r w:rsidRPr="00A43DB3">
        <w:rPr>
          <w:rFonts w:ascii="Times New Roman" w:hAnsi="Times New Roman" w:cs="Times New Roman"/>
          <w:sz w:val="24"/>
          <w:szCs w:val="24"/>
        </w:rPr>
        <w:t xml:space="preserve"> or defence of legal claims.</w:t>
      </w:r>
      <w:r w:rsidRPr="00A43DB3">
        <w:rPr>
          <w:rStyle w:val="Refdenotaderodap"/>
          <w:rFonts w:ascii="Times New Roman" w:hAnsi="Times New Roman" w:cs="Times New Roman"/>
          <w:sz w:val="24"/>
          <w:szCs w:val="24"/>
        </w:rPr>
        <w:footnoteReference w:id="62"/>
      </w:r>
    </w:p>
    <w:p w14:paraId="43713440"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EDPB states that such exceptions, apart from the subparagraph (a) of Article 17(3) GDPR, do not appear to be suitable in the context of search engines, but can be invoked under the right to object pursuant to Article 17(1)(c) as ‘compelling legitimate grounds’ for refusing to grant a de-referencing request. </w:t>
      </w:r>
    </w:p>
    <w:p w14:paraId="68EE5191"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As regards Article 17(3)(a), which stipulates that the personal data will not be deleted when the right of freedom of expression and information justifies the processing by the controller, the previous chapter of this paper discusses this point in more detail. Furthermore, Article 85 GDPR establishes that Member State law legislate as to reconcile the right to the protection of personal data with the right of freedom of expression and information, stipulating exemptions and derogations, notably in relation to the processing performed solely for journalistic purposes or for the purpose of artistic or literary expression.</w:t>
      </w:r>
      <w:r w:rsidRPr="00A43DB3">
        <w:rPr>
          <w:rStyle w:val="Refdenotaderodap"/>
          <w:rFonts w:ascii="Times New Roman" w:hAnsi="Times New Roman" w:cs="Times New Roman"/>
          <w:sz w:val="24"/>
          <w:szCs w:val="24"/>
        </w:rPr>
        <w:footnoteReference w:id="63"/>
      </w:r>
      <w:r w:rsidRPr="00A43DB3">
        <w:rPr>
          <w:rFonts w:ascii="Times New Roman" w:hAnsi="Times New Roman" w:cs="Times New Roman"/>
          <w:sz w:val="24"/>
          <w:szCs w:val="24"/>
        </w:rPr>
        <w:t xml:space="preserve"> </w:t>
      </w:r>
    </w:p>
    <w:p w14:paraId="19BC0B1C" w14:textId="77777777" w:rsidR="00481564"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remaining hypotheses are very unlikely to apply in the context of search engines and thus will not be discussed in depth. In this sense, a search engine operator cannot, in general, deny a removal request on those grounds. Nevertheless, in case one of those hypotheses is present, they may invoke the corresponding exception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maintain the disputed links in the online list of results.</w:t>
      </w:r>
    </w:p>
    <w:p w14:paraId="5E02E612" w14:textId="77777777" w:rsidR="00481564" w:rsidRPr="00A43DB3" w:rsidRDefault="00481564" w:rsidP="00481564">
      <w:pPr>
        <w:spacing w:line="360" w:lineRule="auto"/>
        <w:jc w:val="both"/>
        <w:rPr>
          <w:rFonts w:ascii="Times New Roman" w:hAnsi="Times New Roman" w:cs="Times New Roman"/>
          <w:sz w:val="24"/>
          <w:szCs w:val="24"/>
        </w:rPr>
      </w:pPr>
    </w:p>
    <w:p w14:paraId="30412385" w14:textId="77777777" w:rsidR="00481564" w:rsidRPr="00A43DB3" w:rsidRDefault="00481564" w:rsidP="00481564">
      <w:pPr>
        <w:spacing w:line="360" w:lineRule="auto"/>
        <w:jc w:val="both"/>
        <w:rPr>
          <w:rFonts w:ascii="Times New Roman" w:hAnsi="Times New Roman" w:cs="Times New Roman"/>
          <w:sz w:val="24"/>
          <w:szCs w:val="24"/>
        </w:rPr>
      </w:pPr>
    </w:p>
    <w:p w14:paraId="4DFC7D22" w14:textId="77777777" w:rsidR="00481564" w:rsidRPr="00A43DB3" w:rsidRDefault="00481564" w:rsidP="00481564">
      <w:pPr>
        <w:spacing w:line="360" w:lineRule="auto"/>
        <w:jc w:val="both"/>
        <w:rPr>
          <w:rFonts w:ascii="Times New Roman" w:hAnsi="Times New Roman" w:cs="Times New Roman"/>
          <w:sz w:val="24"/>
          <w:szCs w:val="24"/>
        </w:rPr>
      </w:pPr>
    </w:p>
    <w:p w14:paraId="6A5956B1" w14:textId="77777777" w:rsidR="00481564" w:rsidRPr="00A43DB3" w:rsidRDefault="00481564" w:rsidP="00481564">
      <w:pPr>
        <w:pStyle w:val="PargrafodaLista"/>
        <w:numPr>
          <w:ilvl w:val="0"/>
          <w:numId w:val="6"/>
        </w:numPr>
        <w:spacing w:line="360" w:lineRule="auto"/>
        <w:jc w:val="both"/>
        <w:rPr>
          <w:rFonts w:ascii="Times New Roman" w:hAnsi="Times New Roman" w:cs="Times New Roman"/>
          <w:b/>
          <w:bCs/>
          <w:sz w:val="24"/>
          <w:szCs w:val="24"/>
        </w:rPr>
      </w:pPr>
      <w:bookmarkStart w:id="25" w:name="_Hlk111704998"/>
      <w:r w:rsidRPr="00A43DB3">
        <w:rPr>
          <w:rFonts w:ascii="Times New Roman" w:hAnsi="Times New Roman" w:cs="Times New Roman"/>
          <w:b/>
          <w:bCs/>
          <w:i/>
          <w:iCs/>
          <w:sz w:val="24"/>
          <w:szCs w:val="24"/>
        </w:rPr>
        <w:lastRenderedPageBreak/>
        <w:t>Google Spain v AEPD</w:t>
      </w:r>
      <w:r w:rsidRPr="00A43DB3">
        <w:rPr>
          <w:rFonts w:ascii="Times New Roman" w:hAnsi="Times New Roman" w:cs="Times New Roman"/>
          <w:b/>
          <w:bCs/>
          <w:sz w:val="24"/>
          <w:szCs w:val="24"/>
        </w:rPr>
        <w:t xml:space="preserve"> (C-131/12): the landmark decision</w:t>
      </w:r>
    </w:p>
    <w:bookmarkEnd w:id="25"/>
    <w:p w14:paraId="005FC03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i/>
          <w:iCs/>
          <w:sz w:val="24"/>
          <w:szCs w:val="24"/>
        </w:rPr>
        <w:t xml:space="preserve">Google Spain </w:t>
      </w:r>
      <w:r w:rsidRPr="00A43DB3">
        <w:rPr>
          <w:rFonts w:ascii="Times New Roman" w:hAnsi="Times New Roman" w:cs="Times New Roman"/>
          <w:sz w:val="24"/>
          <w:szCs w:val="24"/>
        </w:rPr>
        <w:t>was the milestone Court of Justice of the European Union (hereinafter, the ‘CJEU’ or the ‘Court’) case which represented the judicial recognition of the right to be forgotten. It is noteworthy to recall that by the time of the decision, on 13 May 2014, the DPD did not expressly provide for a right to be forgotten and a corresponding duty for search engine operators to decouple links containing personal information that violates individuals’ data protection and privacy.</w:t>
      </w:r>
    </w:p>
    <w:p w14:paraId="745E81E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Opportunely, however, the Court found itself qualified to apply the DPD to a novel scenario. On this occasion, the CJEU drew upon Article 12(b) DPD to recognise a right to be forgotten. It was established that search engine providers are controllers of personal data and consequently responsible for assessing the removal request at hand and, when appropriate, de-referencing links containing information published by third-party websites, even if the original publisher has not removed the content and the personal data is truthful or otherwise lawful. </w:t>
      </w:r>
      <w:proofErr w:type="gramStart"/>
      <w:r w:rsidRPr="00A43DB3">
        <w:rPr>
          <w:rFonts w:ascii="Times New Roman" w:hAnsi="Times New Roman" w:cs="Times New Roman"/>
          <w:sz w:val="24"/>
          <w:szCs w:val="24"/>
        </w:rPr>
        <w:t>As a general rule</w:t>
      </w:r>
      <w:proofErr w:type="gramEnd"/>
      <w:r w:rsidRPr="00A43DB3">
        <w:rPr>
          <w:rFonts w:ascii="Times New Roman" w:hAnsi="Times New Roman" w:cs="Times New Roman"/>
          <w:sz w:val="24"/>
          <w:szCs w:val="24"/>
        </w:rPr>
        <w:t xml:space="preserve">, the data subjects’ right to privacy and data protection override both the search engine operators’ economic interest and the Internet users’ right to information. Nevertheless, the result of the balancing act may vary when the data subject in question is a public figure and the display of information concerning him or her can be justified. </w:t>
      </w:r>
    </w:p>
    <w:p w14:paraId="68AA7F64" w14:textId="77777777" w:rsidR="00481564" w:rsidRPr="00A43DB3" w:rsidRDefault="00481564" w:rsidP="00481564">
      <w:pPr>
        <w:spacing w:line="360" w:lineRule="auto"/>
        <w:jc w:val="both"/>
        <w:rPr>
          <w:rFonts w:ascii="Times New Roman" w:hAnsi="Times New Roman" w:cs="Times New Roman"/>
          <w:sz w:val="24"/>
          <w:szCs w:val="24"/>
        </w:rPr>
      </w:pPr>
    </w:p>
    <w:p w14:paraId="6FE60CF2" w14:textId="77777777" w:rsidR="00481564" w:rsidRPr="00A43DB3" w:rsidRDefault="00481564" w:rsidP="00481564">
      <w:pPr>
        <w:spacing w:line="360" w:lineRule="auto"/>
        <w:jc w:val="both"/>
        <w:rPr>
          <w:rFonts w:ascii="Times New Roman" w:hAnsi="Times New Roman" w:cs="Times New Roman"/>
          <w:sz w:val="24"/>
          <w:szCs w:val="24"/>
        </w:rPr>
      </w:pPr>
    </w:p>
    <w:p w14:paraId="678B9626" w14:textId="77777777" w:rsidR="00481564" w:rsidRPr="00A43DB3" w:rsidRDefault="00481564" w:rsidP="00481564">
      <w:pPr>
        <w:pStyle w:val="PargrafodaLista"/>
        <w:numPr>
          <w:ilvl w:val="1"/>
          <w:numId w:val="6"/>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t xml:space="preserve">Facts </w:t>
      </w:r>
    </w:p>
    <w:p w14:paraId="710C21EB"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In March 2010, Mario Costeja González, a Spanish lawyer, lodged a complaint with the Spanish data protection authority, </w:t>
      </w:r>
      <w:proofErr w:type="spellStart"/>
      <w:r w:rsidRPr="00A43DB3">
        <w:rPr>
          <w:rFonts w:ascii="Times New Roman" w:hAnsi="Times New Roman" w:cs="Times New Roman"/>
          <w:i/>
          <w:iCs/>
          <w:sz w:val="24"/>
          <w:szCs w:val="24"/>
        </w:rPr>
        <w:t>Agencia</w:t>
      </w:r>
      <w:proofErr w:type="spellEnd"/>
      <w:r w:rsidRPr="00A43DB3">
        <w:rPr>
          <w:rFonts w:ascii="Times New Roman" w:hAnsi="Times New Roman" w:cs="Times New Roman"/>
          <w:i/>
          <w:iCs/>
          <w:sz w:val="24"/>
          <w:szCs w:val="24"/>
        </w:rPr>
        <w:t xml:space="preserve"> Española de </w:t>
      </w:r>
      <w:proofErr w:type="spellStart"/>
      <w:r w:rsidRPr="00A43DB3">
        <w:rPr>
          <w:rFonts w:ascii="Times New Roman" w:hAnsi="Times New Roman" w:cs="Times New Roman"/>
          <w:i/>
          <w:iCs/>
          <w:sz w:val="24"/>
          <w:szCs w:val="24"/>
        </w:rPr>
        <w:t>Protección</w:t>
      </w:r>
      <w:proofErr w:type="spellEnd"/>
      <w:r w:rsidRPr="00A43DB3">
        <w:rPr>
          <w:rFonts w:ascii="Times New Roman" w:hAnsi="Times New Roman" w:cs="Times New Roman"/>
          <w:i/>
          <w:iCs/>
          <w:sz w:val="24"/>
          <w:szCs w:val="24"/>
        </w:rPr>
        <w:t xml:space="preserve"> de </w:t>
      </w:r>
      <w:proofErr w:type="spellStart"/>
      <w:r w:rsidRPr="00A43DB3">
        <w:rPr>
          <w:rFonts w:ascii="Times New Roman" w:hAnsi="Times New Roman" w:cs="Times New Roman"/>
          <w:i/>
          <w:iCs/>
          <w:sz w:val="24"/>
          <w:szCs w:val="24"/>
        </w:rPr>
        <w:t>Datos</w:t>
      </w:r>
      <w:proofErr w:type="spellEnd"/>
      <w:r w:rsidRPr="00A43DB3">
        <w:rPr>
          <w:rFonts w:ascii="Times New Roman" w:hAnsi="Times New Roman" w:cs="Times New Roman"/>
          <w:sz w:val="24"/>
          <w:szCs w:val="24"/>
        </w:rPr>
        <w:t xml:space="preserve"> (‘AEPD’), against the newspaper </w:t>
      </w:r>
      <w:r w:rsidRPr="00A43DB3">
        <w:rPr>
          <w:rFonts w:ascii="Times New Roman" w:hAnsi="Times New Roman" w:cs="Times New Roman"/>
          <w:i/>
          <w:iCs/>
          <w:sz w:val="24"/>
          <w:szCs w:val="24"/>
        </w:rPr>
        <w:t xml:space="preserve">La </w:t>
      </w:r>
      <w:proofErr w:type="spellStart"/>
      <w:r w:rsidRPr="00A43DB3">
        <w:rPr>
          <w:rFonts w:ascii="Times New Roman" w:hAnsi="Times New Roman" w:cs="Times New Roman"/>
          <w:i/>
          <w:iCs/>
          <w:sz w:val="24"/>
          <w:szCs w:val="24"/>
        </w:rPr>
        <w:t>Vanguardia</w:t>
      </w:r>
      <w:proofErr w:type="spellEnd"/>
      <w:r w:rsidRPr="00A43DB3">
        <w:rPr>
          <w:rFonts w:ascii="Times New Roman" w:hAnsi="Times New Roman" w:cs="Times New Roman"/>
          <w:sz w:val="24"/>
          <w:szCs w:val="24"/>
        </w:rPr>
        <w:t xml:space="preserve"> and against Google Spain and Google Inc. on the ground that when an Internet user typed his name on Google Search, it would return articles originally published on the newspaper’s printed version of 1998 and that were later digitised and published on its corresponding website. The articles were related to his past social security debts which culminated in a real-estate auction upon order of the Ministry of Labour and Social Affairs. González argued that the debts had been fully resolved for many years and connecting his name to it was now irrelevant. He demanded that the newspaper either removed or altered the pages for his name to be hidden or used </w:t>
      </w:r>
      <w:r w:rsidRPr="00A43DB3">
        <w:rPr>
          <w:rFonts w:ascii="Times New Roman" w:hAnsi="Times New Roman" w:cs="Times New Roman"/>
          <w:sz w:val="24"/>
          <w:szCs w:val="24"/>
        </w:rPr>
        <w:lastRenderedPageBreak/>
        <w:t xml:space="preserve">available tools to protect such data. In relation to Google Spain and Google Inc., he requested that the personal data relating to him were removed or concealed by delisting links following online searches. </w:t>
      </w:r>
    </w:p>
    <w:p w14:paraId="797E26B5" w14:textId="77777777" w:rsidR="00481564" w:rsidRPr="00A43DB3" w:rsidRDefault="00481564" w:rsidP="00481564">
      <w:pPr>
        <w:spacing w:line="360" w:lineRule="auto"/>
        <w:jc w:val="both"/>
        <w:rPr>
          <w:rFonts w:ascii="Times New Roman" w:hAnsi="Times New Roman" w:cs="Times New Roman"/>
          <w:color w:val="000000" w:themeColor="text1"/>
          <w:sz w:val="24"/>
          <w:szCs w:val="24"/>
        </w:rPr>
      </w:pPr>
      <w:r w:rsidRPr="00A43DB3">
        <w:rPr>
          <w:rFonts w:ascii="Times New Roman" w:hAnsi="Times New Roman" w:cs="Times New Roman"/>
          <w:color w:val="000000" w:themeColor="text1"/>
          <w:sz w:val="24"/>
          <w:szCs w:val="24"/>
        </w:rPr>
        <w:t xml:space="preserve">The AEPD, in July 2010, rejected the complaint regarding </w:t>
      </w:r>
      <w:r w:rsidRPr="00A43DB3">
        <w:rPr>
          <w:rFonts w:ascii="Times New Roman" w:hAnsi="Times New Roman" w:cs="Times New Roman"/>
          <w:i/>
          <w:iCs/>
          <w:color w:val="000000" w:themeColor="text1"/>
          <w:sz w:val="24"/>
          <w:szCs w:val="24"/>
        </w:rPr>
        <w:t xml:space="preserve">La </w:t>
      </w:r>
      <w:proofErr w:type="spellStart"/>
      <w:r w:rsidRPr="00A43DB3">
        <w:rPr>
          <w:rFonts w:ascii="Times New Roman" w:hAnsi="Times New Roman" w:cs="Times New Roman"/>
          <w:i/>
          <w:iCs/>
          <w:color w:val="000000" w:themeColor="text1"/>
          <w:sz w:val="24"/>
          <w:szCs w:val="24"/>
        </w:rPr>
        <w:t>Vanguardia</w:t>
      </w:r>
      <w:proofErr w:type="spellEnd"/>
      <w:r w:rsidRPr="00A43DB3">
        <w:rPr>
          <w:rFonts w:ascii="Times New Roman" w:hAnsi="Times New Roman" w:cs="Times New Roman"/>
          <w:color w:val="000000" w:themeColor="text1"/>
          <w:sz w:val="24"/>
          <w:szCs w:val="24"/>
        </w:rPr>
        <w:t xml:space="preserve"> on the basis that such publication was legally justified. Nevertheless, it upheld the complaint against Google Spain and Google Inc., reasoning that, as intermediaries of information society, search engine operators are responsible for the data they process and are subject to data protection law. Therefore, data subjects have a right to have information relating to them removed from search engines, even if such information remains available on the source website. Google Spain and Google Inc. brought two appeals against that decision before the </w:t>
      </w:r>
      <w:r w:rsidRPr="00A43DB3">
        <w:rPr>
          <w:rFonts w:ascii="Times New Roman" w:hAnsi="Times New Roman" w:cs="Times New Roman"/>
          <w:i/>
          <w:iCs/>
          <w:color w:val="000000" w:themeColor="text1"/>
          <w:sz w:val="24"/>
          <w:szCs w:val="24"/>
        </w:rPr>
        <w:t>Audiencia Nacional</w:t>
      </w:r>
      <w:r w:rsidRPr="00A43DB3">
        <w:rPr>
          <w:rFonts w:ascii="Times New Roman" w:hAnsi="Times New Roman" w:cs="Times New Roman"/>
          <w:color w:val="000000" w:themeColor="text1"/>
          <w:sz w:val="24"/>
          <w:szCs w:val="24"/>
        </w:rPr>
        <w:t xml:space="preserve"> (National High Court, Spain), which referred the following questions to the CJEU for a preliminary ruling.  </w:t>
      </w:r>
    </w:p>
    <w:p w14:paraId="779FF525" w14:textId="77777777" w:rsidR="00481564" w:rsidRPr="00A43DB3" w:rsidRDefault="00481564" w:rsidP="00481564">
      <w:pPr>
        <w:spacing w:line="360" w:lineRule="auto"/>
        <w:jc w:val="both"/>
        <w:rPr>
          <w:rFonts w:ascii="Times New Roman" w:hAnsi="Times New Roman" w:cs="Times New Roman"/>
          <w:color w:val="000000" w:themeColor="text1"/>
          <w:sz w:val="24"/>
          <w:szCs w:val="24"/>
        </w:rPr>
      </w:pPr>
    </w:p>
    <w:p w14:paraId="4E8C9556" w14:textId="77777777" w:rsidR="00481564" w:rsidRPr="00A43DB3" w:rsidRDefault="00481564" w:rsidP="00481564">
      <w:pPr>
        <w:spacing w:line="360" w:lineRule="auto"/>
        <w:jc w:val="both"/>
        <w:rPr>
          <w:rFonts w:ascii="Times New Roman" w:hAnsi="Times New Roman" w:cs="Times New Roman"/>
          <w:color w:val="000000" w:themeColor="text1"/>
          <w:sz w:val="24"/>
          <w:szCs w:val="24"/>
        </w:rPr>
      </w:pPr>
    </w:p>
    <w:p w14:paraId="0249D8B1" w14:textId="77777777" w:rsidR="00481564" w:rsidRPr="00A43DB3" w:rsidRDefault="00481564" w:rsidP="00481564">
      <w:pPr>
        <w:pStyle w:val="PargrafodaLista"/>
        <w:numPr>
          <w:ilvl w:val="1"/>
          <w:numId w:val="6"/>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t xml:space="preserve">Material scope of the DPD </w:t>
      </w:r>
    </w:p>
    <w:p w14:paraId="660AA69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Court started by answering the second group of questions, which involved the material scope of the DPD, </w:t>
      </w:r>
      <w:proofErr w:type="gramStart"/>
      <w:r w:rsidRPr="00A43DB3">
        <w:rPr>
          <w:rFonts w:ascii="Times New Roman" w:hAnsi="Times New Roman" w:cs="Times New Roman"/>
          <w:sz w:val="24"/>
          <w:szCs w:val="24"/>
        </w:rPr>
        <w:t>in particular by</w:t>
      </w:r>
      <w:proofErr w:type="gramEnd"/>
      <w:r w:rsidRPr="00A43DB3">
        <w:rPr>
          <w:rFonts w:ascii="Times New Roman" w:hAnsi="Times New Roman" w:cs="Times New Roman"/>
          <w:sz w:val="24"/>
          <w:szCs w:val="24"/>
        </w:rPr>
        <w:t xml:space="preserve"> asking whether the activities exercised by Google amounted to processing of personal data within the meaning of article 2(b) and whether article 2(d) could be interpreted as regarding such undertaking as a controller in relation to personal data it processes. Additionally, in case of an affirmative response, whether the AEPD could impose on Google a requirement that it withdrew from its search results information contained on third-party websites, without contacting the source page in advance or simultaneously, and if such requirement would be excluded where the information was lawfully published and remained accessible on the source website. </w:t>
      </w:r>
    </w:p>
    <w:p w14:paraId="41A6A43D"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Both the A</w:t>
      </w:r>
      <w:r>
        <w:rPr>
          <w:rFonts w:ascii="Times New Roman" w:hAnsi="Times New Roman" w:cs="Times New Roman"/>
          <w:sz w:val="24"/>
          <w:szCs w:val="24"/>
        </w:rPr>
        <w:t>dvocate</w:t>
      </w:r>
      <w:r w:rsidRPr="00A43DB3">
        <w:rPr>
          <w:rFonts w:ascii="Times New Roman" w:hAnsi="Times New Roman" w:cs="Times New Roman"/>
          <w:sz w:val="24"/>
          <w:szCs w:val="24"/>
        </w:rPr>
        <w:t xml:space="preserve"> General </w:t>
      </w:r>
      <w:proofErr w:type="spellStart"/>
      <w:r w:rsidRPr="00A43DB3">
        <w:rPr>
          <w:rFonts w:ascii="Times New Roman" w:hAnsi="Times New Roman" w:cs="Times New Roman"/>
          <w:sz w:val="24"/>
          <w:szCs w:val="24"/>
        </w:rPr>
        <w:t>Niilo</w:t>
      </w:r>
      <w:proofErr w:type="spellEnd"/>
      <w:r w:rsidRPr="00A43DB3">
        <w:rPr>
          <w:rFonts w:ascii="Times New Roman" w:hAnsi="Times New Roman" w:cs="Times New Roman"/>
          <w:sz w:val="24"/>
          <w:szCs w:val="24"/>
        </w:rPr>
        <w:t xml:space="preserve"> </w:t>
      </w:r>
      <w:proofErr w:type="spellStart"/>
      <w:r w:rsidRPr="00A43DB3">
        <w:rPr>
          <w:rFonts w:ascii="Times New Roman" w:hAnsi="Times New Roman" w:cs="Times New Roman"/>
          <w:sz w:val="24"/>
          <w:szCs w:val="24"/>
        </w:rPr>
        <w:t>Jääskinen</w:t>
      </w:r>
      <w:proofErr w:type="spellEnd"/>
      <w:r w:rsidRPr="00A43DB3">
        <w:rPr>
          <w:rFonts w:ascii="Times New Roman" w:hAnsi="Times New Roman" w:cs="Times New Roman"/>
          <w:sz w:val="24"/>
          <w:szCs w:val="24"/>
        </w:rPr>
        <w:t xml:space="preserve"> and the Court recognised that search engine activities engage personal data processing, </w:t>
      </w:r>
      <w:proofErr w:type="gramStart"/>
      <w:r w:rsidRPr="00A43DB3">
        <w:rPr>
          <w:rFonts w:ascii="Times New Roman" w:hAnsi="Times New Roman" w:cs="Times New Roman"/>
          <w:sz w:val="24"/>
          <w:szCs w:val="24"/>
        </w:rPr>
        <w:t>regardless of the fact that</w:t>
      </w:r>
      <w:proofErr w:type="gramEnd"/>
      <w:r w:rsidRPr="00A43DB3">
        <w:rPr>
          <w:rFonts w:ascii="Times New Roman" w:hAnsi="Times New Roman" w:cs="Times New Roman"/>
          <w:sz w:val="24"/>
          <w:szCs w:val="24"/>
        </w:rPr>
        <w:t xml:space="preserve"> the search engine makes no distinction between personal and regular data, since the processing of information occurs without any human intervention. Similarly, processing of personal data is manifest on such occasions despite its publication being made by webmasters, </w:t>
      </w:r>
      <w:r w:rsidRPr="00A43DB3">
        <w:rPr>
          <w:rFonts w:ascii="Times New Roman" w:hAnsi="Times New Roman" w:cs="Times New Roman"/>
          <w:sz w:val="24"/>
          <w:szCs w:val="24"/>
        </w:rPr>
        <w:lastRenderedPageBreak/>
        <w:t>rather than by search engine operators, and even when the latter are not able to alter such information.</w:t>
      </w:r>
      <w:r w:rsidRPr="00A43DB3">
        <w:rPr>
          <w:rStyle w:val="Refdenotaderodap"/>
          <w:rFonts w:ascii="Times New Roman" w:hAnsi="Times New Roman" w:cs="Times New Roman"/>
          <w:sz w:val="24"/>
          <w:szCs w:val="24"/>
        </w:rPr>
        <w:footnoteReference w:id="64"/>
      </w:r>
      <w:r w:rsidRPr="00A43DB3">
        <w:rPr>
          <w:rFonts w:ascii="Times New Roman" w:hAnsi="Times New Roman" w:cs="Times New Roman"/>
          <w:sz w:val="24"/>
          <w:szCs w:val="24"/>
        </w:rPr>
        <w:t xml:space="preserve"> </w:t>
      </w:r>
    </w:p>
    <w:p w14:paraId="30F7826A"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Nonetheless, despite understanding that search engine operators process personal data, the AG did not consider them as controllers.</w:t>
      </w:r>
      <w:r w:rsidRPr="00A43DB3">
        <w:rPr>
          <w:rStyle w:val="Refdenotaderodap"/>
          <w:rFonts w:ascii="Times New Roman" w:hAnsi="Times New Roman" w:cs="Times New Roman"/>
          <w:sz w:val="24"/>
          <w:szCs w:val="24"/>
        </w:rPr>
        <w:footnoteReference w:id="65"/>
      </w:r>
      <w:r w:rsidRPr="00A43DB3">
        <w:rPr>
          <w:rFonts w:ascii="Times New Roman" w:hAnsi="Times New Roman" w:cs="Times New Roman"/>
          <w:sz w:val="24"/>
          <w:szCs w:val="24"/>
        </w:rPr>
        <w:t xml:space="preserve"> </w:t>
      </w:r>
      <w:bookmarkStart w:id="26" w:name="_Hlk111715943"/>
      <w:proofErr w:type="spellStart"/>
      <w:r w:rsidRPr="00A43DB3">
        <w:rPr>
          <w:rFonts w:ascii="Times New Roman" w:hAnsi="Times New Roman" w:cs="Times New Roman"/>
          <w:sz w:val="24"/>
          <w:szCs w:val="24"/>
        </w:rPr>
        <w:t>Jääskinen</w:t>
      </w:r>
      <w:bookmarkEnd w:id="26"/>
      <w:proofErr w:type="spellEnd"/>
      <w:r w:rsidRPr="00A43DB3">
        <w:rPr>
          <w:rFonts w:ascii="Times New Roman" w:hAnsi="Times New Roman" w:cs="Times New Roman"/>
          <w:sz w:val="24"/>
          <w:szCs w:val="24"/>
        </w:rPr>
        <w:t xml:space="preserve"> based his finding on his interpretation of the Directive, stating that the controller, to be regarded as such, must be aware of the existence of personal data as a distinct category of information and process it accordingly. In this sense, a search engine operator would only be considered a controller in relation to data it controls, which only represent a small part of its processing. Further, if the search engine provider was considered the controller, responsible for personal data on third-party websites, it would have to put itself in the position of the latter to analyse whether the publication of personal data would be compatible with the Directive.</w:t>
      </w:r>
      <w:r w:rsidRPr="00A43DB3">
        <w:rPr>
          <w:rStyle w:val="Refdenotaderodap"/>
          <w:rFonts w:ascii="Times New Roman" w:hAnsi="Times New Roman" w:cs="Times New Roman"/>
          <w:sz w:val="24"/>
          <w:szCs w:val="24"/>
        </w:rPr>
        <w:footnoteReference w:id="66"/>
      </w:r>
      <w:r w:rsidRPr="00A43DB3">
        <w:rPr>
          <w:rFonts w:ascii="Times New Roman" w:hAnsi="Times New Roman" w:cs="Times New Roman"/>
          <w:sz w:val="24"/>
          <w:szCs w:val="24"/>
        </w:rPr>
        <w:t xml:space="preserve"> Similarly, Google argued that a removal request should be addressed to the publisher, following the proportionality principle, as the latter publishes the information and assesses the legality of such content.</w:t>
      </w:r>
      <w:r w:rsidRPr="00A43DB3">
        <w:rPr>
          <w:rStyle w:val="Refdenotaderodap"/>
          <w:rFonts w:ascii="Times New Roman" w:hAnsi="Times New Roman" w:cs="Times New Roman"/>
          <w:sz w:val="24"/>
          <w:szCs w:val="24"/>
        </w:rPr>
        <w:footnoteReference w:id="67"/>
      </w:r>
      <w:r w:rsidRPr="00A43DB3">
        <w:rPr>
          <w:rFonts w:ascii="Times New Roman" w:hAnsi="Times New Roman" w:cs="Times New Roman"/>
          <w:sz w:val="24"/>
          <w:szCs w:val="24"/>
        </w:rPr>
        <w:t xml:space="preserve"> </w:t>
      </w:r>
    </w:p>
    <w:p w14:paraId="2252F693"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Search engine providers, as explained by the AG, control the manner online indexes are structured and may block specific search results by not displaying URL addresses to certain countries or domains. For example, in most States, Google suppresses search results that infringe intellectual property rights. In some countries Google also filters results that threatens democracy. Website publishers, in their turn, may make use of exclusion codes, which indicate that they do not want certain information to be available in the online indexes of search engines. Nevertheless, the latter decide whether to comply with such exclusion codes or not.</w:t>
      </w:r>
      <w:r w:rsidRPr="00A43DB3">
        <w:rPr>
          <w:rStyle w:val="Refdenotaderodap"/>
          <w:rFonts w:ascii="Times New Roman" w:hAnsi="Times New Roman" w:cs="Times New Roman"/>
          <w:sz w:val="24"/>
          <w:szCs w:val="24"/>
        </w:rPr>
        <w:footnoteReference w:id="68"/>
      </w:r>
      <w:r w:rsidRPr="00A43DB3">
        <w:rPr>
          <w:rFonts w:ascii="Times New Roman" w:hAnsi="Times New Roman" w:cs="Times New Roman"/>
          <w:sz w:val="24"/>
          <w:szCs w:val="24"/>
        </w:rPr>
        <w:t xml:space="preserve"> This attitude translates into control over personal data. As regards its cache memory, however, once it only involves completely technical and automated processing, the search engine operator does not control it in general.</w:t>
      </w:r>
      <w:r w:rsidRPr="00A43DB3">
        <w:rPr>
          <w:rStyle w:val="Refdenotaderodap"/>
          <w:rFonts w:ascii="Times New Roman" w:hAnsi="Times New Roman" w:cs="Times New Roman"/>
          <w:sz w:val="24"/>
          <w:szCs w:val="24"/>
        </w:rPr>
        <w:footnoteReference w:id="69"/>
      </w:r>
      <w:r w:rsidRPr="00A43DB3">
        <w:rPr>
          <w:rFonts w:ascii="Times New Roman" w:hAnsi="Times New Roman" w:cs="Times New Roman"/>
          <w:sz w:val="24"/>
          <w:szCs w:val="24"/>
        </w:rPr>
        <w:t xml:space="preserve"> Accordingly, the AG argued that search engine operators should not be regarded as controllers, save when they decide not to comply with exclusion codes or do not update the display of a website in the cache when requested. Thus, a data protection authority </w:t>
      </w:r>
      <w:r w:rsidRPr="00A43DB3">
        <w:rPr>
          <w:rFonts w:ascii="Times New Roman" w:hAnsi="Times New Roman" w:cs="Times New Roman"/>
          <w:sz w:val="24"/>
          <w:szCs w:val="24"/>
        </w:rPr>
        <w:lastRenderedPageBreak/>
        <w:t xml:space="preserve">could only require a search engine provider to remove information from its index in these cases. </w:t>
      </w:r>
    </w:p>
    <w:p w14:paraId="63CA259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Notwithstanding, the Court highlighted the power of search engines to disseminate information, allowing web users to form a more or less accurate profile of data subjects that, without search engines, would not be possible, or would be possible with great difficulty. Moreover, the potential to interfere into data subjects’ rights is greater due to the role the Internet and search engines play,</w:t>
      </w:r>
      <w:r w:rsidRPr="00A43DB3">
        <w:rPr>
          <w:rStyle w:val="Refdenotaderodap"/>
          <w:rFonts w:ascii="Times New Roman" w:hAnsi="Times New Roman" w:cs="Times New Roman"/>
          <w:sz w:val="24"/>
          <w:szCs w:val="24"/>
        </w:rPr>
        <w:footnoteReference w:id="70"/>
      </w:r>
      <w:r w:rsidRPr="00A43DB3">
        <w:rPr>
          <w:rFonts w:ascii="Times New Roman" w:hAnsi="Times New Roman" w:cs="Times New Roman"/>
          <w:sz w:val="24"/>
          <w:szCs w:val="24"/>
        </w:rPr>
        <w:t xml:space="preserve"> being more adequate to consider the latter as controllers in accordance with Article 2(d) DPD, as they determine the purposes and means of processing personal data. It would be antagonistic to the objective of the Directive if they were not recognised as such for not exercising control over information located on third-party websites.</w:t>
      </w:r>
      <w:r w:rsidRPr="00A43DB3">
        <w:rPr>
          <w:rStyle w:val="Refdenotaderodap"/>
          <w:rFonts w:ascii="Times New Roman" w:hAnsi="Times New Roman" w:cs="Times New Roman"/>
          <w:sz w:val="24"/>
          <w:szCs w:val="24"/>
        </w:rPr>
        <w:footnoteReference w:id="71"/>
      </w:r>
      <w:r w:rsidRPr="00A43DB3">
        <w:rPr>
          <w:rFonts w:ascii="Times New Roman" w:hAnsi="Times New Roman" w:cs="Times New Roman"/>
          <w:sz w:val="24"/>
          <w:szCs w:val="24"/>
        </w:rPr>
        <w:t xml:space="preserve"> </w:t>
      </w:r>
    </w:p>
    <w:p w14:paraId="5D11EB6C"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In this sense, Google, as a controller, must comply with the requirements of the Directive, in accordance with its responsibilities, powers and capabilities.</w:t>
      </w:r>
      <w:r w:rsidRPr="00A43DB3">
        <w:rPr>
          <w:rStyle w:val="Refdenotaderodap"/>
          <w:rFonts w:ascii="Times New Roman" w:hAnsi="Times New Roman" w:cs="Times New Roman"/>
          <w:sz w:val="24"/>
          <w:szCs w:val="24"/>
        </w:rPr>
        <w:footnoteReference w:id="72"/>
      </w:r>
      <w:r w:rsidRPr="00A43DB3">
        <w:rPr>
          <w:rFonts w:ascii="Times New Roman" w:hAnsi="Times New Roman" w:cs="Times New Roman"/>
          <w:sz w:val="24"/>
          <w:szCs w:val="24"/>
        </w:rPr>
        <w:t xml:space="preserve"> This solution was able to maintain a broad scope of application of the Directive and ensure the responsibilities of controllers at the same time. Additionally, according to the Court, even if publishers do not resort to exclusion codes, the search engine operator remains responsible for the processing of personal data that it carries out in the context of its activities.</w:t>
      </w:r>
      <w:r w:rsidRPr="00A43DB3">
        <w:rPr>
          <w:rStyle w:val="Refdenotaderodap"/>
          <w:rFonts w:ascii="Times New Roman" w:hAnsi="Times New Roman" w:cs="Times New Roman"/>
          <w:sz w:val="24"/>
          <w:szCs w:val="24"/>
        </w:rPr>
        <w:footnoteReference w:id="73"/>
      </w:r>
      <w:r w:rsidRPr="00A43DB3">
        <w:rPr>
          <w:rFonts w:ascii="Times New Roman" w:hAnsi="Times New Roman" w:cs="Times New Roman"/>
          <w:sz w:val="24"/>
          <w:szCs w:val="24"/>
        </w:rPr>
        <w:t xml:space="preserve"> The Court did not discuss, however, whether Google should also take proactive measures to comply with data protection law.</w:t>
      </w:r>
    </w:p>
    <w:p w14:paraId="138183F3"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Nevertheless, this solution was regarded by some scholars</w:t>
      </w:r>
      <w:r w:rsidRPr="00A43DB3">
        <w:rPr>
          <w:rStyle w:val="Refdenotaderodap"/>
          <w:rFonts w:ascii="Times New Roman" w:hAnsi="Times New Roman" w:cs="Times New Roman"/>
          <w:sz w:val="24"/>
          <w:szCs w:val="24"/>
        </w:rPr>
        <w:footnoteReference w:id="74"/>
      </w:r>
      <w:r w:rsidRPr="00A43DB3">
        <w:rPr>
          <w:rFonts w:ascii="Times New Roman" w:hAnsi="Times New Roman" w:cs="Times New Roman"/>
          <w:sz w:val="24"/>
          <w:szCs w:val="24"/>
        </w:rPr>
        <w:t xml:space="preserve"> as appropriate. On most occasions it may be enough to minimise the prominence of information, without excluding it at source - which is translated into the idea of ‘obscurity’</w:t>
      </w:r>
      <w:r w:rsidRPr="00A43DB3">
        <w:rPr>
          <w:rStyle w:val="Refdenotaderodap"/>
          <w:rFonts w:ascii="Times New Roman" w:hAnsi="Times New Roman" w:cs="Times New Roman"/>
          <w:sz w:val="24"/>
          <w:szCs w:val="24"/>
        </w:rPr>
        <w:footnoteReference w:id="75"/>
      </w:r>
      <w:r w:rsidRPr="00A43DB3">
        <w:rPr>
          <w:rFonts w:ascii="Times New Roman" w:hAnsi="Times New Roman" w:cs="Times New Roman"/>
          <w:sz w:val="24"/>
          <w:szCs w:val="24"/>
        </w:rPr>
        <w:t xml:space="preserve"> or ‘good enough privacy’ - rather than being necessary to completely remove it from the Internet, especially </w:t>
      </w:r>
      <w:proofErr w:type="gramStart"/>
      <w:r w:rsidRPr="00A43DB3">
        <w:rPr>
          <w:rFonts w:ascii="Times New Roman" w:hAnsi="Times New Roman" w:cs="Times New Roman"/>
          <w:sz w:val="24"/>
          <w:szCs w:val="24"/>
        </w:rPr>
        <w:t>due to the fact that</w:t>
      </w:r>
      <w:proofErr w:type="gramEnd"/>
      <w:r w:rsidRPr="00A43DB3">
        <w:rPr>
          <w:rFonts w:ascii="Times New Roman" w:hAnsi="Times New Roman" w:cs="Times New Roman"/>
          <w:sz w:val="24"/>
          <w:szCs w:val="24"/>
        </w:rPr>
        <w:t xml:space="preserve"> such proposal may be impossible to achieve. </w:t>
      </w:r>
    </w:p>
    <w:p w14:paraId="6AAFC27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lastRenderedPageBreak/>
        <w:t>The CJEU also asserted that the processing of personal data in the context of the activities of search engine providers is distinct from and additional to the processing in the context of the activities of website publishers.</w:t>
      </w:r>
      <w:r w:rsidRPr="00A43DB3">
        <w:rPr>
          <w:rStyle w:val="Refdenotaderodap"/>
          <w:rFonts w:ascii="Times New Roman" w:hAnsi="Times New Roman" w:cs="Times New Roman"/>
          <w:sz w:val="24"/>
          <w:szCs w:val="24"/>
        </w:rPr>
        <w:footnoteReference w:id="76"/>
      </w:r>
      <w:r w:rsidRPr="00A43DB3">
        <w:rPr>
          <w:rFonts w:ascii="Times New Roman" w:hAnsi="Times New Roman" w:cs="Times New Roman"/>
          <w:sz w:val="24"/>
          <w:szCs w:val="24"/>
        </w:rPr>
        <w:t xml:space="preserve"> For instance, in </w:t>
      </w:r>
      <w:r w:rsidRPr="00A43DB3">
        <w:rPr>
          <w:rFonts w:ascii="Times New Roman" w:hAnsi="Times New Roman" w:cs="Times New Roman"/>
          <w:i/>
          <w:iCs/>
          <w:sz w:val="24"/>
          <w:szCs w:val="24"/>
        </w:rPr>
        <w:t>M.L. and W.W. v Germany</w:t>
      </w:r>
      <w:r w:rsidRPr="00A43DB3">
        <w:rPr>
          <w:rFonts w:ascii="Times New Roman" w:hAnsi="Times New Roman" w:cs="Times New Roman"/>
          <w:sz w:val="24"/>
          <w:szCs w:val="24"/>
        </w:rPr>
        <w:t>, the ECHR noted that, depending on whether the removal request is addressed to the original publisher or the search engine operator, the outcome may differ.</w:t>
      </w:r>
      <w:r w:rsidRPr="00A43DB3">
        <w:rPr>
          <w:rStyle w:val="Refdenotaderodap"/>
          <w:rFonts w:ascii="Times New Roman" w:hAnsi="Times New Roman" w:cs="Times New Roman"/>
          <w:sz w:val="24"/>
          <w:szCs w:val="24"/>
        </w:rPr>
        <w:footnoteReference w:id="77"/>
      </w:r>
      <w:r w:rsidRPr="00A43DB3">
        <w:rPr>
          <w:rFonts w:ascii="Times New Roman" w:hAnsi="Times New Roman" w:cs="Times New Roman"/>
          <w:sz w:val="24"/>
          <w:szCs w:val="24"/>
        </w:rPr>
        <w:t xml:space="preserve"> </w:t>
      </w:r>
    </w:p>
    <w:p w14:paraId="73C42A1E"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On these grounds, the erasure, blocking and objection requests should be addressed directly to the controller or, in this instance, the search engine operator. In the event it denies the removal, the data subject may lodge a complaint with the supervisory authority or the judicial authority.</w:t>
      </w:r>
      <w:r w:rsidRPr="00A43DB3">
        <w:rPr>
          <w:rStyle w:val="Refdenotaderodap"/>
          <w:rFonts w:ascii="Times New Roman" w:hAnsi="Times New Roman" w:cs="Times New Roman"/>
          <w:sz w:val="24"/>
          <w:szCs w:val="24"/>
        </w:rPr>
        <w:footnoteReference w:id="78"/>
      </w:r>
      <w:r w:rsidRPr="00A43DB3">
        <w:rPr>
          <w:rFonts w:ascii="Times New Roman" w:hAnsi="Times New Roman" w:cs="Times New Roman"/>
          <w:sz w:val="24"/>
          <w:szCs w:val="24"/>
        </w:rPr>
        <w:t xml:space="preserve"> Such procedure is critiqued to some extent since the controller, a private entity, plays a factual judicial role by deciding the matter prior to the judicial authority itself. It may be against the neutrality principle the fact that search engine operators are not committed with impartiality, as Google's founders Sergey Brin and Larry Page have admitted that ‘advertising funded search engines will be inherently biased towards the advertisers and away from the needs of the consumers.’</w:t>
      </w:r>
      <w:r w:rsidRPr="00A43DB3">
        <w:rPr>
          <w:rStyle w:val="Refdenotaderodap"/>
          <w:rFonts w:ascii="Times New Roman" w:hAnsi="Times New Roman" w:cs="Times New Roman"/>
          <w:sz w:val="24"/>
          <w:szCs w:val="24"/>
        </w:rPr>
        <w:footnoteReference w:id="79"/>
      </w:r>
      <w:r w:rsidRPr="00A43DB3">
        <w:rPr>
          <w:rFonts w:ascii="Times New Roman" w:hAnsi="Times New Roman" w:cs="Times New Roman"/>
          <w:b/>
          <w:bCs/>
          <w:sz w:val="24"/>
          <w:szCs w:val="24"/>
        </w:rPr>
        <w:t xml:space="preserve"> </w:t>
      </w:r>
      <w:proofErr w:type="spellStart"/>
      <w:r w:rsidRPr="00A43DB3">
        <w:rPr>
          <w:rFonts w:ascii="Times New Roman" w:hAnsi="Times New Roman" w:cs="Times New Roman"/>
          <w:sz w:val="24"/>
          <w:szCs w:val="24"/>
        </w:rPr>
        <w:t>Floridi</w:t>
      </w:r>
      <w:proofErr w:type="spellEnd"/>
      <w:r w:rsidRPr="00A43DB3">
        <w:rPr>
          <w:rFonts w:ascii="Times New Roman" w:hAnsi="Times New Roman" w:cs="Times New Roman"/>
          <w:sz w:val="24"/>
          <w:szCs w:val="24"/>
        </w:rPr>
        <w:t xml:space="preserve"> advocates that, in such cases, publishers should be consulted first, rather than search engine operators.</w:t>
      </w:r>
      <w:r w:rsidRPr="00A43DB3">
        <w:rPr>
          <w:rStyle w:val="Refdenotaderodap"/>
          <w:rFonts w:ascii="Times New Roman" w:hAnsi="Times New Roman" w:cs="Times New Roman"/>
          <w:sz w:val="24"/>
          <w:szCs w:val="24"/>
        </w:rPr>
        <w:footnoteReference w:id="80"/>
      </w:r>
      <w:r w:rsidRPr="00A43DB3">
        <w:rPr>
          <w:rFonts w:ascii="Times New Roman" w:hAnsi="Times New Roman" w:cs="Times New Roman"/>
          <w:sz w:val="24"/>
          <w:szCs w:val="24"/>
        </w:rPr>
        <w:t xml:space="preserve"> Nevertheless, as held by the Court, the power of search engines in disseminating information is greater than the original publishers’. Accordingly, it is more coherent and effective to hide the information displayed on the online indexes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protect the privacy of data subjects.</w:t>
      </w:r>
    </w:p>
    <w:p w14:paraId="4790A766"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Further, the Court stated that the obligation to delete imposed on the search engine operator, stemming from an order of the supervisory authority or the judicial authority, does not presuppose the previous or simultaneous removal from the source web page,</w:t>
      </w:r>
      <w:r w:rsidRPr="00A43DB3">
        <w:rPr>
          <w:rStyle w:val="Refdenotaderodap"/>
          <w:rFonts w:ascii="Times New Roman" w:hAnsi="Times New Roman" w:cs="Times New Roman"/>
          <w:sz w:val="24"/>
          <w:szCs w:val="24"/>
        </w:rPr>
        <w:footnoteReference w:id="81"/>
      </w:r>
      <w:r w:rsidRPr="00A43DB3">
        <w:rPr>
          <w:rFonts w:ascii="Times New Roman" w:hAnsi="Times New Roman" w:cs="Times New Roman"/>
          <w:sz w:val="24"/>
          <w:szCs w:val="24"/>
        </w:rPr>
        <w:t xml:space="preserve"> especially because the persons responsible for its publication may not be subject to European jurisdiction.</w:t>
      </w:r>
      <w:r w:rsidRPr="00A43DB3">
        <w:rPr>
          <w:rStyle w:val="Refdenotaderodap"/>
          <w:rFonts w:ascii="Times New Roman" w:hAnsi="Times New Roman" w:cs="Times New Roman"/>
          <w:sz w:val="24"/>
          <w:szCs w:val="24"/>
        </w:rPr>
        <w:footnoteReference w:id="82"/>
      </w:r>
      <w:r w:rsidRPr="00A43DB3">
        <w:rPr>
          <w:rFonts w:ascii="Times New Roman" w:hAnsi="Times New Roman" w:cs="Times New Roman"/>
          <w:sz w:val="24"/>
          <w:szCs w:val="24"/>
        </w:rPr>
        <w:t xml:space="preserve"> Hence, if data subjects had to obtain before or simultaneously the deletion of information concerning them from publishers, their effective protection could not be reached. However, it is important to stress that such ruling may result in an economic incentive towards removal, as it already occurs with ‘the copyright </w:t>
      </w:r>
      <w:r w:rsidRPr="00A43DB3">
        <w:rPr>
          <w:rFonts w:ascii="Times New Roman" w:hAnsi="Times New Roman" w:cs="Times New Roman"/>
          <w:sz w:val="24"/>
          <w:szCs w:val="24"/>
        </w:rPr>
        <w:lastRenderedPageBreak/>
        <w:t>infringement notices,</w:t>
      </w:r>
      <w:r w:rsidRPr="00A43DB3">
        <w:rPr>
          <w:rStyle w:val="Refdenotaderodap"/>
          <w:rFonts w:ascii="Times New Roman" w:hAnsi="Times New Roman" w:cs="Times New Roman"/>
          <w:sz w:val="24"/>
          <w:szCs w:val="24"/>
        </w:rPr>
        <w:footnoteReference w:id="83"/>
      </w:r>
      <w:r w:rsidRPr="00A43DB3">
        <w:rPr>
          <w:rFonts w:ascii="Times New Roman" w:hAnsi="Times New Roman" w:cs="Times New Roman"/>
          <w:sz w:val="24"/>
          <w:szCs w:val="24"/>
        </w:rPr>
        <w:t xml:space="preserve"> once it becomes safer for controllers to delete information rather than being subject to stringent penalties. </w:t>
      </w:r>
    </w:p>
    <w:p w14:paraId="1372E07B"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this sense, it was established that, </w:t>
      </w:r>
      <w:proofErr w:type="gramStart"/>
      <w:r w:rsidRPr="00A43DB3">
        <w:rPr>
          <w:rFonts w:ascii="Times New Roman" w:hAnsi="Times New Roman" w:cs="Times New Roman"/>
          <w:sz w:val="24"/>
          <w:szCs w:val="24"/>
        </w:rPr>
        <w:t>as a general rule</w:t>
      </w:r>
      <w:proofErr w:type="gramEnd"/>
      <w:r w:rsidRPr="00A43DB3">
        <w:rPr>
          <w:rFonts w:ascii="Times New Roman" w:hAnsi="Times New Roman" w:cs="Times New Roman"/>
          <w:sz w:val="24"/>
          <w:szCs w:val="24"/>
        </w:rPr>
        <w:t>, the rights of data subjects overcome the economic interest of the search engine operator as well as the right of access to information of users. Nevertheless, in certain circumstances such balancing may vary according to the nature of information, its sensitivity to the private life of data subjects and the public’s interest in accessing such content, which may prevail depending on the relevance of the data subject in public life.</w:t>
      </w:r>
      <w:r w:rsidRPr="00A43DB3">
        <w:rPr>
          <w:rStyle w:val="Refdenotaderodap"/>
          <w:rFonts w:ascii="Times New Roman" w:hAnsi="Times New Roman" w:cs="Times New Roman"/>
          <w:sz w:val="24"/>
          <w:szCs w:val="24"/>
        </w:rPr>
        <w:footnoteReference w:id="84"/>
      </w:r>
      <w:r w:rsidRPr="00A43DB3">
        <w:rPr>
          <w:rFonts w:ascii="Times New Roman" w:hAnsi="Times New Roman" w:cs="Times New Roman"/>
          <w:sz w:val="24"/>
          <w:szCs w:val="24"/>
        </w:rPr>
        <w:t xml:space="preserve"> </w:t>
      </w:r>
    </w:p>
    <w:p w14:paraId="391A7BCB"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Regarding processing of personal data solely for journalistic purposes,</w:t>
      </w:r>
      <w:r w:rsidRPr="00A43DB3">
        <w:rPr>
          <w:rStyle w:val="Refdenotaderodap"/>
          <w:rFonts w:ascii="Times New Roman" w:hAnsi="Times New Roman" w:cs="Times New Roman"/>
          <w:sz w:val="24"/>
          <w:szCs w:val="24"/>
        </w:rPr>
        <w:footnoteReference w:id="85"/>
      </w:r>
      <w:r w:rsidRPr="00A43DB3">
        <w:rPr>
          <w:rFonts w:ascii="Times New Roman" w:hAnsi="Times New Roman" w:cs="Times New Roman"/>
          <w:sz w:val="24"/>
          <w:szCs w:val="24"/>
        </w:rPr>
        <w:t xml:space="preserve"> this hypothesis does not seem to be part of the processing executed by search engines but may occur when a publisher imparts information comprising a data subject on his web page, as reported by the Court. Notwithstanding, this does not mean that an individual can only exercise his rights against the search engine provider, since the journalistic exemption does not apply to it, but not against the website publisher.</w:t>
      </w:r>
      <w:r w:rsidRPr="00A43DB3">
        <w:rPr>
          <w:rStyle w:val="Refdenotaderodap"/>
          <w:rFonts w:ascii="Times New Roman" w:hAnsi="Times New Roman" w:cs="Times New Roman"/>
          <w:sz w:val="24"/>
          <w:szCs w:val="24"/>
        </w:rPr>
        <w:footnoteReference w:id="86"/>
      </w:r>
      <w:r w:rsidRPr="00A43DB3">
        <w:rPr>
          <w:rFonts w:ascii="Times New Roman" w:hAnsi="Times New Roman" w:cs="Times New Roman"/>
          <w:sz w:val="24"/>
          <w:szCs w:val="24"/>
        </w:rPr>
        <w:t xml:space="preserve"> According to Wrigley and Klinefelter, the CJEU only considered the search engines’ ‘economic interests in displaying search results, rather than its journalistic role’.</w:t>
      </w:r>
      <w:r w:rsidRPr="00A43DB3">
        <w:rPr>
          <w:rStyle w:val="Refdenotaderodap"/>
          <w:rFonts w:ascii="Times New Roman" w:hAnsi="Times New Roman" w:cs="Times New Roman"/>
          <w:sz w:val="24"/>
          <w:szCs w:val="24"/>
        </w:rPr>
        <w:footnoteReference w:id="87"/>
      </w:r>
      <w:r w:rsidRPr="00A43DB3">
        <w:rPr>
          <w:rFonts w:ascii="Times New Roman" w:hAnsi="Times New Roman" w:cs="Times New Roman"/>
          <w:sz w:val="24"/>
          <w:szCs w:val="24"/>
        </w:rPr>
        <w:t xml:space="preserve"> In any event, however, data subjects may request both source websites and search engine operators to erase the information concerning themselves. </w:t>
      </w:r>
    </w:p>
    <w:p w14:paraId="480BDB8F"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On the basis of this reasoning, the Court held that where the right to erasure is recognised, search engine providers are obliged to supress links from their index, even if such information has been lawfully published by the source pages and when it has not been beforehand or simultaneously removed from those pages.</w:t>
      </w:r>
      <w:r w:rsidRPr="00A43DB3">
        <w:rPr>
          <w:rStyle w:val="Refdenotaderodap"/>
          <w:rFonts w:ascii="Times New Roman" w:hAnsi="Times New Roman" w:cs="Times New Roman"/>
          <w:sz w:val="24"/>
          <w:szCs w:val="24"/>
        </w:rPr>
        <w:footnoteReference w:id="88"/>
      </w:r>
      <w:r w:rsidRPr="00A43DB3">
        <w:rPr>
          <w:rFonts w:ascii="Times New Roman" w:hAnsi="Times New Roman" w:cs="Times New Roman"/>
          <w:sz w:val="24"/>
          <w:szCs w:val="24"/>
        </w:rPr>
        <w:t xml:space="preserve"> The information object to erasure is merely deleted from online indexes but remains available to Internet users that directly access the website where such information has been originally published. </w:t>
      </w:r>
    </w:p>
    <w:p w14:paraId="09F2DB5D"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lastRenderedPageBreak/>
        <w:t>In other words, the right to be forgotten is not about deleting or forgetting information but making it more laborious to be found.</w:t>
      </w:r>
      <w:r w:rsidRPr="00A43DB3">
        <w:rPr>
          <w:rStyle w:val="Refdenotaderodap"/>
          <w:rFonts w:ascii="Times New Roman" w:hAnsi="Times New Roman" w:cs="Times New Roman"/>
          <w:sz w:val="24"/>
          <w:szCs w:val="24"/>
        </w:rPr>
        <w:footnoteReference w:id="89"/>
      </w:r>
      <w:r w:rsidRPr="00A43DB3">
        <w:rPr>
          <w:rFonts w:ascii="Times New Roman" w:hAnsi="Times New Roman" w:cs="Times New Roman"/>
          <w:sz w:val="24"/>
          <w:szCs w:val="24"/>
        </w:rPr>
        <w:t xml:space="preserve"> However, it can be accessed under alternative search queries, through the search of a partial or modified name, or when users know other facts connected to it, for example.</w:t>
      </w:r>
      <w:r w:rsidRPr="00A43DB3">
        <w:rPr>
          <w:rStyle w:val="Refdenotaderodap"/>
          <w:rFonts w:ascii="Times New Roman" w:hAnsi="Times New Roman" w:cs="Times New Roman"/>
          <w:sz w:val="24"/>
          <w:szCs w:val="24"/>
        </w:rPr>
        <w:footnoteReference w:id="90"/>
      </w:r>
      <w:r w:rsidRPr="00A43DB3">
        <w:rPr>
          <w:rFonts w:ascii="Times New Roman" w:hAnsi="Times New Roman" w:cs="Times New Roman"/>
          <w:sz w:val="24"/>
          <w:szCs w:val="24"/>
        </w:rPr>
        <w:t xml:space="preserve"> Another issue is that the deleted link could still remain in the search engine operator’s backup files. For this reasons, transparency and stringent checks and balances are crucial to prevent deviation of purposes. </w:t>
      </w:r>
    </w:p>
    <w:p w14:paraId="44D62D2A"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light of the fact that surveillance is fluid nowadays, in a post-panoptic world,</w:t>
      </w:r>
      <w:r w:rsidRPr="00A43DB3">
        <w:rPr>
          <w:rStyle w:val="Refdenotaderodap"/>
          <w:rFonts w:ascii="Times New Roman" w:hAnsi="Times New Roman" w:cs="Times New Roman"/>
          <w:sz w:val="24"/>
          <w:szCs w:val="24"/>
        </w:rPr>
        <w:footnoteReference w:id="91"/>
      </w:r>
      <w:r w:rsidRPr="00A43DB3">
        <w:rPr>
          <w:rFonts w:ascii="Times New Roman" w:hAnsi="Times New Roman" w:cs="Times New Roman"/>
          <w:sz w:val="24"/>
          <w:szCs w:val="24"/>
        </w:rPr>
        <w:t xml:space="preserve"> if the aim of the right to be forgotten is to protect the privacy of data subjects, conversely there is some contradiction where private companies, which are considered controllers with the objective to effect data protection rights, may have more access to information than Internet users, once data continue stored in their databases, as well as the government itself. The outcome may be greater private and public surveillance regarding personal information, a consequence hardly intended by data subjects. </w:t>
      </w:r>
    </w:p>
    <w:p w14:paraId="678F8ECE" w14:textId="77777777" w:rsidR="00481564" w:rsidRPr="00A43DB3" w:rsidRDefault="00481564" w:rsidP="00481564">
      <w:pPr>
        <w:spacing w:line="360" w:lineRule="auto"/>
        <w:jc w:val="both"/>
        <w:rPr>
          <w:rFonts w:ascii="Times New Roman" w:hAnsi="Times New Roman" w:cs="Times New Roman"/>
          <w:color w:val="000000" w:themeColor="text1"/>
          <w:sz w:val="24"/>
          <w:szCs w:val="24"/>
        </w:rPr>
      </w:pPr>
    </w:p>
    <w:p w14:paraId="096659EB" w14:textId="77777777" w:rsidR="00481564" w:rsidRPr="00A43DB3" w:rsidRDefault="00481564" w:rsidP="00481564">
      <w:pPr>
        <w:spacing w:line="360" w:lineRule="auto"/>
        <w:jc w:val="both"/>
        <w:rPr>
          <w:rFonts w:ascii="Times New Roman" w:hAnsi="Times New Roman" w:cs="Times New Roman"/>
          <w:b/>
          <w:bCs/>
          <w:sz w:val="24"/>
          <w:szCs w:val="24"/>
        </w:rPr>
      </w:pPr>
    </w:p>
    <w:p w14:paraId="3694411F" w14:textId="77777777" w:rsidR="00481564" w:rsidRPr="00A43DB3" w:rsidRDefault="00481564" w:rsidP="00481564">
      <w:pPr>
        <w:pStyle w:val="PargrafodaLista"/>
        <w:numPr>
          <w:ilvl w:val="1"/>
          <w:numId w:val="6"/>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t xml:space="preserve"> Territorial scope of the DPD </w:t>
      </w:r>
    </w:p>
    <w:p w14:paraId="7093174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Having decided that Google processes personal data and is the controller of such processing, the CJEU returned to consider the first set of questions, divided in four sub-questions, forwarded by the Spanish court, regarding the territorial scope of the DPD. The delimitation of the jurisdiction was fundamental to establish whether the Directive could be applicable to Google Spain. </w:t>
      </w:r>
    </w:p>
    <w:p w14:paraId="55F1EB65"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By the first sub-question, regarding the concept of ‘establishment’ within the meaning of Article 4(1)(a) DPD, it was asked whether it encompassed any one or more of the three following circumstances: when an undertaking that offers online search establishes a branch or subsidiary in one Member State for the purposes of promoting and selling advertising spaces on that search engine, or when that subsidiary is designated as the parent company’s representative and controller for filing systems which relate to data of </w:t>
      </w:r>
      <w:r w:rsidRPr="00A43DB3">
        <w:rPr>
          <w:rFonts w:ascii="Times New Roman" w:hAnsi="Times New Roman" w:cs="Times New Roman"/>
          <w:sz w:val="24"/>
          <w:szCs w:val="24"/>
        </w:rPr>
        <w:lastRenderedPageBreak/>
        <w:t xml:space="preserve">customers in that State, or when such branch or subsidiary receives requests and requirements from data subjects and data protection authorities and forwards them to the parent company located outside Europe. </w:t>
      </w:r>
    </w:p>
    <w:p w14:paraId="3CE05670"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Primarily, it was essential to distinguish the activities of each Google Inc. and Google Spain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define the application of the Directive to the case at stake, as it depended on where the processing of personal data took place. It is noteworthy to mention that in 2017 Google Inc. changed to Google LLC, a subsidiary of the holding company Alphabet Inc. Therefore, the decisions related to Google Inc. apply to Google LLC at present.</w:t>
      </w:r>
    </w:p>
    <w:p w14:paraId="0560CAE0"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Google Search offers its services around the world, having established many subsidiaries in Europe. In various countries there is an adapted version of its search engine, with a national domain, such as ‘google.es’, ‘google.fr’ and ‘google.de’, and corresponding language. Google Search was operated by Google Inc. (now Google LLC), which was headquartered in the United States, and not only concedes access to content published in the websites that it indexes, but also includes paid targeted advertisements associated with the search terms entered by users. Nevertheless, it does not inform the exact geographic location where online information indexed by it is temporarily archived, for reasons of competition, but claims that there is no processing of personal data related to its search engine in Spain.</w:t>
      </w:r>
      <w:r w:rsidRPr="00A43DB3">
        <w:rPr>
          <w:rStyle w:val="Refdenotaderodap"/>
          <w:rFonts w:ascii="Times New Roman" w:hAnsi="Times New Roman" w:cs="Times New Roman"/>
          <w:sz w:val="24"/>
          <w:szCs w:val="24"/>
        </w:rPr>
        <w:footnoteReference w:id="92"/>
      </w:r>
      <w:r w:rsidRPr="00A43DB3">
        <w:rPr>
          <w:rFonts w:ascii="Times New Roman" w:hAnsi="Times New Roman" w:cs="Times New Roman"/>
          <w:sz w:val="24"/>
          <w:szCs w:val="24"/>
        </w:rPr>
        <w:t xml:space="preserve"> </w:t>
      </w:r>
    </w:p>
    <w:p w14:paraId="6D53B21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Google Spain, as its subsidiary, has separate legal personality and was designated by Google Inc. as a controller, in Spain, regarding two filing systems that process personal data of Spanish customers who concluded advertising services with Google Inc. On this basis, Google Spain acts as a commercial agent in that State, responsible for the sale and marketing of online advertising.</w:t>
      </w:r>
      <w:r w:rsidRPr="00A43DB3">
        <w:rPr>
          <w:rStyle w:val="Refdenotaderodap"/>
          <w:rFonts w:ascii="Times New Roman" w:hAnsi="Times New Roman" w:cs="Times New Roman"/>
          <w:sz w:val="24"/>
          <w:szCs w:val="24"/>
        </w:rPr>
        <w:footnoteReference w:id="93"/>
      </w:r>
      <w:r w:rsidRPr="00A43DB3">
        <w:rPr>
          <w:rFonts w:ascii="Times New Roman" w:hAnsi="Times New Roman" w:cs="Times New Roman"/>
          <w:sz w:val="24"/>
          <w:szCs w:val="24"/>
        </w:rPr>
        <w:t xml:space="preserve"> </w:t>
      </w:r>
    </w:p>
    <w:p w14:paraId="3EE3F778"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Even if it had not been established that Google Spain carried out activities in that State directly linked to the indexing or storage of data contained in third-party websites, the Court held that its activity of promoting and selling advertising space constitutes the main part of the commercial activities of the Google group and could be considered closely linked to Google Search.</w:t>
      </w:r>
      <w:r w:rsidRPr="00A43DB3">
        <w:rPr>
          <w:rStyle w:val="Refdenotaderodap"/>
          <w:rFonts w:ascii="Times New Roman" w:hAnsi="Times New Roman" w:cs="Times New Roman"/>
          <w:sz w:val="24"/>
          <w:szCs w:val="24"/>
        </w:rPr>
        <w:footnoteReference w:id="94"/>
      </w:r>
      <w:r w:rsidRPr="00A43DB3">
        <w:rPr>
          <w:rFonts w:ascii="Times New Roman" w:hAnsi="Times New Roman" w:cs="Times New Roman"/>
          <w:sz w:val="24"/>
          <w:szCs w:val="24"/>
        </w:rPr>
        <w:t xml:space="preserve"> The AG also clarified that the profit of search engine providers does not derive from the users who make a free search, but from the advertisers who pay </w:t>
      </w:r>
      <w:r w:rsidRPr="00A43DB3">
        <w:rPr>
          <w:rFonts w:ascii="Times New Roman" w:hAnsi="Times New Roman" w:cs="Times New Roman"/>
          <w:sz w:val="24"/>
          <w:szCs w:val="24"/>
        </w:rPr>
        <w:lastRenderedPageBreak/>
        <w:t>for their publicity to be displayed in connection with certain keywords on the search results.</w:t>
      </w:r>
      <w:r w:rsidRPr="00A43DB3">
        <w:rPr>
          <w:rStyle w:val="Refdenotaderodap"/>
          <w:rFonts w:ascii="Times New Roman" w:hAnsi="Times New Roman" w:cs="Times New Roman"/>
          <w:sz w:val="24"/>
          <w:szCs w:val="24"/>
        </w:rPr>
        <w:footnoteReference w:id="95"/>
      </w:r>
      <w:r w:rsidRPr="00A43DB3">
        <w:rPr>
          <w:rFonts w:ascii="Times New Roman" w:hAnsi="Times New Roman" w:cs="Times New Roman"/>
          <w:sz w:val="24"/>
          <w:szCs w:val="24"/>
        </w:rPr>
        <w:t xml:space="preserve"> </w:t>
      </w:r>
    </w:p>
    <w:p w14:paraId="4A998BA3"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Court contemplated Recital 19 of the Directive and concluded that Google Spain fulfilled the requirements to be considered an establishment, since it carried out effective and real activity through stable arrangements. In relation to the provision of Article 4(1)(a) DPD that the data processing should also occur 'in the context of the activities' of an establishment of the controller in a Member State, Google argued that the data processing was performed exclusively by Google Inc., which operated Google Search without any intervention of Google Spain, the latter's activity being restricted to promoting the advertising services, which was separate from its search service.</w:t>
      </w:r>
      <w:r w:rsidRPr="00A43DB3">
        <w:rPr>
          <w:rStyle w:val="Refdenotaderodap"/>
          <w:rFonts w:ascii="Times New Roman" w:hAnsi="Times New Roman" w:cs="Times New Roman"/>
          <w:sz w:val="24"/>
          <w:szCs w:val="24"/>
        </w:rPr>
        <w:footnoteReference w:id="96"/>
      </w:r>
      <w:r w:rsidRPr="00A43DB3">
        <w:rPr>
          <w:rFonts w:ascii="Times New Roman" w:hAnsi="Times New Roman" w:cs="Times New Roman"/>
          <w:sz w:val="24"/>
          <w:szCs w:val="24"/>
        </w:rPr>
        <w:t xml:space="preserve"> </w:t>
      </w:r>
    </w:p>
    <w:p w14:paraId="7F8ECC45"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Nonetheless, the CJEU pointed out that the objective of the Directive could not be interpreted restrictively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safeguard data protection rights in an effective manner. Hence, by interpreting the purpose of the DPD in conjunction with its Article 4(1)(a), the Court found that the processing of personal data by search engine operators is carried out ‘in the context of the activities’ of an establishment that promotes and sells keyword advertising offered by the search engine in the Member State where the establishment is situated.</w:t>
      </w:r>
      <w:r w:rsidRPr="00A43DB3">
        <w:rPr>
          <w:rStyle w:val="Refdenotaderodap"/>
          <w:rFonts w:ascii="Times New Roman" w:hAnsi="Times New Roman" w:cs="Times New Roman"/>
          <w:sz w:val="24"/>
          <w:szCs w:val="24"/>
        </w:rPr>
        <w:footnoteReference w:id="97"/>
      </w:r>
      <w:r w:rsidRPr="00A43DB3">
        <w:rPr>
          <w:rFonts w:ascii="Times New Roman" w:hAnsi="Times New Roman" w:cs="Times New Roman"/>
          <w:sz w:val="24"/>
          <w:szCs w:val="24"/>
        </w:rPr>
        <w:t xml:space="preserve"> Later, in </w:t>
      </w:r>
      <w:proofErr w:type="spellStart"/>
      <w:r w:rsidRPr="00A43DB3">
        <w:rPr>
          <w:rFonts w:ascii="Times New Roman" w:hAnsi="Times New Roman" w:cs="Times New Roman"/>
          <w:i/>
          <w:iCs/>
          <w:sz w:val="24"/>
          <w:szCs w:val="24"/>
        </w:rPr>
        <w:t>Weltimmo</w:t>
      </w:r>
      <w:proofErr w:type="spellEnd"/>
      <w:r w:rsidRPr="00A43DB3">
        <w:rPr>
          <w:rFonts w:ascii="Times New Roman" w:hAnsi="Times New Roman" w:cs="Times New Roman"/>
          <w:sz w:val="24"/>
          <w:szCs w:val="24"/>
        </w:rPr>
        <w:t>, the Court also interpreted the concept of ‘establishment’ broadly, including a minimal real and effective activity ‘exercised through stable arrangements’.</w:t>
      </w:r>
      <w:r w:rsidRPr="00A43DB3">
        <w:rPr>
          <w:rStyle w:val="Refdenotaderodap"/>
          <w:rFonts w:ascii="Times New Roman" w:hAnsi="Times New Roman" w:cs="Times New Roman"/>
          <w:sz w:val="24"/>
          <w:szCs w:val="24"/>
        </w:rPr>
        <w:footnoteReference w:id="98"/>
      </w:r>
      <w:r w:rsidRPr="00A43DB3">
        <w:rPr>
          <w:rFonts w:ascii="Times New Roman" w:hAnsi="Times New Roman" w:cs="Times New Roman"/>
          <w:sz w:val="24"/>
          <w:szCs w:val="24"/>
        </w:rPr>
        <w:t xml:space="preserve"> In this connection, the goals of EU data protection law</w:t>
      </w:r>
      <w:r w:rsidRPr="00A43DB3">
        <w:rPr>
          <w:rStyle w:val="Refdenotaderodap"/>
          <w:rFonts w:ascii="Times New Roman" w:hAnsi="Times New Roman" w:cs="Times New Roman"/>
          <w:sz w:val="24"/>
          <w:szCs w:val="24"/>
        </w:rPr>
        <w:footnoteReference w:id="99"/>
      </w:r>
      <w:r w:rsidRPr="00A43DB3">
        <w:rPr>
          <w:rFonts w:ascii="Times New Roman" w:hAnsi="Times New Roman" w:cs="Times New Roman"/>
          <w:sz w:val="24"/>
          <w:szCs w:val="24"/>
        </w:rPr>
        <w:t xml:space="preserve"> would not have been preserved in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xml:space="preserve"> if the CJEU had not adopted an extensive interpretation, once the Directive did not offer any other suitable guidance to regulate its applicability. </w:t>
      </w:r>
    </w:p>
    <w:p w14:paraId="243F6E0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On the basis of this reasoning, the Court affirmed that the activities related to advertising spaces, performed by the establishment, are considered as inextricably linked to the activities of the search engine provider, once the latter enables advertising activities to be performed whereas the former renders the search engine economically profitable.</w:t>
      </w:r>
      <w:r w:rsidRPr="00A43DB3">
        <w:rPr>
          <w:rStyle w:val="Refdenotaderodap"/>
          <w:rFonts w:ascii="Times New Roman" w:hAnsi="Times New Roman" w:cs="Times New Roman"/>
          <w:sz w:val="24"/>
          <w:szCs w:val="24"/>
        </w:rPr>
        <w:footnoteReference w:id="100"/>
      </w:r>
      <w:r w:rsidRPr="00A43DB3">
        <w:rPr>
          <w:rFonts w:ascii="Times New Roman" w:hAnsi="Times New Roman" w:cs="Times New Roman"/>
          <w:sz w:val="24"/>
          <w:szCs w:val="24"/>
        </w:rPr>
        <w:t xml:space="preserve"> Furthermore, the very display of personal data as online search results constitutes data processing and, as they are accompanied by advertisements corresponding to the </w:t>
      </w:r>
      <w:r w:rsidRPr="00A43DB3">
        <w:rPr>
          <w:rFonts w:ascii="Times New Roman" w:hAnsi="Times New Roman" w:cs="Times New Roman"/>
          <w:sz w:val="24"/>
          <w:szCs w:val="24"/>
        </w:rPr>
        <w:lastRenderedPageBreak/>
        <w:t>keywords used, it is patently clear that the processing of such data was carried out in the context of the commercial and advertising activities of Google Spain.</w:t>
      </w:r>
      <w:r w:rsidRPr="00A43DB3">
        <w:rPr>
          <w:rStyle w:val="Refdenotaderodap"/>
          <w:rFonts w:ascii="Times New Roman" w:hAnsi="Times New Roman" w:cs="Times New Roman"/>
          <w:sz w:val="24"/>
          <w:szCs w:val="24"/>
        </w:rPr>
        <w:footnoteReference w:id="101"/>
      </w:r>
      <w:r w:rsidRPr="00A43DB3">
        <w:rPr>
          <w:rFonts w:ascii="Times New Roman" w:hAnsi="Times New Roman" w:cs="Times New Roman"/>
          <w:sz w:val="24"/>
          <w:szCs w:val="24"/>
        </w:rPr>
        <w:t xml:space="preserve"> The AG added that irrespective of individual activities an economic operator must be considered a single unit.</w:t>
      </w:r>
      <w:r w:rsidRPr="00A43DB3">
        <w:rPr>
          <w:rStyle w:val="Refdenotaderodap"/>
          <w:rFonts w:ascii="Times New Roman" w:hAnsi="Times New Roman" w:cs="Times New Roman"/>
          <w:sz w:val="24"/>
          <w:szCs w:val="24"/>
        </w:rPr>
        <w:footnoteReference w:id="102"/>
      </w:r>
      <w:r w:rsidRPr="00A43DB3">
        <w:rPr>
          <w:rFonts w:ascii="Times New Roman" w:hAnsi="Times New Roman" w:cs="Times New Roman"/>
          <w:sz w:val="24"/>
          <w:szCs w:val="24"/>
        </w:rPr>
        <w:t xml:space="preserve"> In this capacity, the processing of personal data also takes place in the context of the controller’s establishment, even if the very technical data processing operations occur in other Member States or third countries.</w:t>
      </w:r>
      <w:r w:rsidRPr="00A43DB3">
        <w:rPr>
          <w:rStyle w:val="Refdenotaderodap"/>
          <w:rFonts w:ascii="Times New Roman" w:hAnsi="Times New Roman" w:cs="Times New Roman"/>
          <w:sz w:val="24"/>
          <w:szCs w:val="24"/>
        </w:rPr>
        <w:footnoteReference w:id="103"/>
      </w:r>
      <w:r w:rsidRPr="00A43DB3">
        <w:rPr>
          <w:rFonts w:ascii="Times New Roman" w:hAnsi="Times New Roman" w:cs="Times New Roman"/>
          <w:sz w:val="24"/>
          <w:szCs w:val="24"/>
        </w:rPr>
        <w:t xml:space="preserve"> </w:t>
      </w:r>
    </w:p>
    <w:p w14:paraId="306CB8DE"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relation to the second sub-question, making reference to Article 4(1)(c) DPD, which applies to situations where the controller is located outside the European Union, but makes use of equipment placed in its territory, the referring court inquired whether ‘use of equipment’ includes the employment of crawlers or robots to locate and index information found on third-party web pages of that Member State, or when the search engine uses a domain name pertaining to a Member State and adjust it to the corresponding language. Further, by the third sub-question, it was asked whether the temporary storage of information was also considered ‘use of equipment’ by the search engine, </w:t>
      </w:r>
      <w:proofErr w:type="gramStart"/>
      <w:r w:rsidRPr="00A43DB3">
        <w:rPr>
          <w:rFonts w:ascii="Times New Roman" w:hAnsi="Times New Roman" w:cs="Times New Roman"/>
          <w:sz w:val="24"/>
          <w:szCs w:val="24"/>
        </w:rPr>
        <w:t>in particular because</w:t>
      </w:r>
      <w:proofErr w:type="gramEnd"/>
      <w:r w:rsidRPr="00A43DB3">
        <w:rPr>
          <w:rFonts w:ascii="Times New Roman" w:hAnsi="Times New Roman" w:cs="Times New Roman"/>
          <w:sz w:val="24"/>
          <w:szCs w:val="24"/>
        </w:rPr>
        <w:t xml:space="preserve"> article 4(1)(c) DPD excludes from its applicability the equipment used ‘only for purposes of transit’ through the European Union. In case of an affirmative answer, the national court also inquired whether a connecting factor could be presumed when the undertaking does not reveal the location where information is stored. The fourth and last sub-question asked whether the Directive should be applied, in the light of Article 8 of the Charter, in the Member State where the centre of gravity of the dispute was situated and where a higher level of protection of the rights of European Union citizens was possible.</w:t>
      </w:r>
    </w:p>
    <w:p w14:paraId="55FCEA93"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The Court considered the foregoing explanations regarding the first sub-question to be sufficient to answer the following ones. Accordingly, ‘use of equipment’ encompassed the use of crawlers or robots as well as the use of a national domain of a Member State. Similarly, even the temporary storage of information amounted to ‘use of equipment’, including when the undertaking did not inform where it was located, and, according to the extensive interpretation adopted by the Court, the DPD should be applied in the centre of gravity of the dispute</w:t>
      </w:r>
      <w:proofErr w:type="gramStart"/>
      <w:r w:rsidRPr="00A43DB3">
        <w:rPr>
          <w:rFonts w:ascii="Times New Roman" w:hAnsi="Times New Roman" w:cs="Times New Roman"/>
          <w:sz w:val="24"/>
          <w:szCs w:val="24"/>
        </w:rPr>
        <w:t>, that is to say, in</w:t>
      </w:r>
      <w:proofErr w:type="gramEnd"/>
      <w:r w:rsidRPr="00A43DB3">
        <w:rPr>
          <w:rFonts w:ascii="Times New Roman" w:hAnsi="Times New Roman" w:cs="Times New Roman"/>
          <w:sz w:val="24"/>
          <w:szCs w:val="24"/>
        </w:rPr>
        <w:t xml:space="preserve"> the Spanish territory. Such outcome was crucial to provide for more protection regarding personal data of European citizens, otherwise </w:t>
      </w:r>
      <w:r w:rsidRPr="00A43DB3">
        <w:rPr>
          <w:rFonts w:ascii="Times New Roman" w:hAnsi="Times New Roman" w:cs="Times New Roman"/>
          <w:sz w:val="24"/>
          <w:szCs w:val="24"/>
        </w:rPr>
        <w:lastRenderedPageBreak/>
        <w:t>the matter could have been subject to U.S. law, where the First Amendment favours freedom of expression over privacy and data protection.</w:t>
      </w:r>
    </w:p>
    <w:p w14:paraId="62BFDFA5" w14:textId="77777777" w:rsidR="00481564" w:rsidRPr="00A43DB3" w:rsidRDefault="00481564" w:rsidP="00481564">
      <w:pPr>
        <w:spacing w:line="360" w:lineRule="auto"/>
        <w:jc w:val="both"/>
        <w:rPr>
          <w:rFonts w:ascii="Times New Roman" w:hAnsi="Times New Roman" w:cs="Times New Roman"/>
          <w:color w:val="202122"/>
          <w:sz w:val="24"/>
          <w:szCs w:val="24"/>
          <w:shd w:val="clear" w:color="auto" w:fill="FFFFFF"/>
        </w:rPr>
      </w:pPr>
      <w:r w:rsidRPr="00A43DB3">
        <w:rPr>
          <w:rFonts w:ascii="Times New Roman" w:hAnsi="Times New Roman" w:cs="Times New Roman"/>
          <w:sz w:val="24"/>
          <w:szCs w:val="24"/>
        </w:rPr>
        <w:t>Unfortunately, however, the Court did not examine in depth the geographical scope of the implementation of de-indexing and the possibility that a European citizen could resort to the data protection authority of his or her Member State to require that an undertaking headquartered outside the Union complies with a de-indexing obligation based on the European law. Article 29 Data Protection Working Party (‘WP29’), on the other hand, has expressly proposed that, for the decision to be effective, de-indexing should take place in all domains,</w:t>
      </w:r>
      <w:r w:rsidRPr="00A43DB3">
        <w:rPr>
          <w:rStyle w:val="Refdenotaderodap"/>
          <w:rFonts w:ascii="Times New Roman" w:hAnsi="Times New Roman" w:cs="Times New Roman"/>
          <w:sz w:val="24"/>
          <w:szCs w:val="24"/>
        </w:rPr>
        <w:footnoteReference w:id="104"/>
      </w:r>
      <w:r w:rsidRPr="00A43DB3">
        <w:rPr>
          <w:rFonts w:ascii="Times New Roman" w:hAnsi="Times New Roman" w:cs="Times New Roman"/>
          <w:color w:val="202122"/>
          <w:sz w:val="24"/>
          <w:szCs w:val="24"/>
          <w:shd w:val="clear" w:color="auto" w:fill="FFFFFF"/>
        </w:rPr>
        <w:t xml:space="preserve"> recommendation which has resulted in more uncertainty as regards </w:t>
      </w:r>
      <w:r w:rsidRPr="00A43DB3">
        <w:rPr>
          <w:rFonts w:ascii="Times New Roman" w:hAnsi="Times New Roman" w:cs="Times New Roman"/>
          <w:sz w:val="24"/>
          <w:szCs w:val="24"/>
        </w:rPr>
        <w:t xml:space="preserve">democratic legitimacy beyond the European Union. </w:t>
      </w:r>
    </w:p>
    <w:p w14:paraId="75F39966" w14:textId="77777777" w:rsidR="00481564" w:rsidRPr="00A43DB3" w:rsidRDefault="00481564" w:rsidP="00481564">
      <w:pPr>
        <w:spacing w:line="360" w:lineRule="auto"/>
        <w:jc w:val="both"/>
        <w:rPr>
          <w:rFonts w:ascii="Times New Roman" w:hAnsi="Times New Roman" w:cs="Times New Roman"/>
          <w:color w:val="202122"/>
          <w:sz w:val="24"/>
          <w:szCs w:val="24"/>
          <w:shd w:val="clear" w:color="auto" w:fill="FFFFFF"/>
        </w:rPr>
      </w:pPr>
    </w:p>
    <w:p w14:paraId="1D50E3CE" w14:textId="77777777" w:rsidR="00481564" w:rsidRPr="00A43DB3" w:rsidRDefault="00481564" w:rsidP="00481564">
      <w:pPr>
        <w:spacing w:line="360" w:lineRule="auto"/>
        <w:jc w:val="both"/>
        <w:rPr>
          <w:rFonts w:ascii="Times New Roman" w:hAnsi="Times New Roman" w:cs="Times New Roman"/>
          <w:color w:val="202122"/>
          <w:sz w:val="24"/>
          <w:szCs w:val="24"/>
          <w:shd w:val="clear" w:color="auto" w:fill="FFFFFF"/>
        </w:rPr>
      </w:pPr>
    </w:p>
    <w:p w14:paraId="43401227" w14:textId="77777777" w:rsidR="00481564" w:rsidRPr="00A43DB3" w:rsidRDefault="00481564" w:rsidP="00481564">
      <w:pPr>
        <w:pStyle w:val="PargrafodaLista"/>
        <w:numPr>
          <w:ilvl w:val="1"/>
          <w:numId w:val="6"/>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t xml:space="preserve">An implicit right to be forgotten in the DPD </w:t>
      </w:r>
    </w:p>
    <w:p w14:paraId="0C05447A"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By the third group of questions the referring court inquired, summarily, whether Articles 12(b) and 14(a) DPD were to be interpreted as including an implicit right to be forgotten against search engine operators even when personal data were published lawfully by third parties on web pages and contained true information, on the ground that such information could be prejudicial to the data subject or in case he or she wished that it sinks into oblivion after a certain time. </w:t>
      </w:r>
    </w:p>
    <w:p w14:paraId="4120BBC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AG pointed out that the right to rectification, erasure and blocking enshrined in Article 12(b) DPD only arose when the processing of personal data did not occur in conformity with the Directive, notably when data were incomplete or incorrect, which was not observed in González case neither concerning the publication on </w:t>
      </w:r>
      <w:r w:rsidRPr="00A43DB3">
        <w:rPr>
          <w:rFonts w:ascii="Times New Roman" w:hAnsi="Times New Roman" w:cs="Times New Roman"/>
          <w:i/>
          <w:iCs/>
          <w:sz w:val="24"/>
          <w:szCs w:val="24"/>
        </w:rPr>
        <w:t xml:space="preserve">La </w:t>
      </w:r>
      <w:proofErr w:type="spellStart"/>
      <w:r w:rsidRPr="00A43DB3">
        <w:rPr>
          <w:rFonts w:ascii="Times New Roman" w:hAnsi="Times New Roman" w:cs="Times New Roman"/>
          <w:i/>
          <w:iCs/>
          <w:sz w:val="24"/>
          <w:szCs w:val="24"/>
        </w:rPr>
        <w:t>Vanguardia</w:t>
      </w:r>
      <w:r w:rsidRPr="00A43DB3">
        <w:rPr>
          <w:rFonts w:ascii="Times New Roman" w:hAnsi="Times New Roman" w:cs="Times New Roman"/>
          <w:sz w:val="24"/>
          <w:szCs w:val="24"/>
        </w:rPr>
        <w:t>’s</w:t>
      </w:r>
      <w:proofErr w:type="spellEnd"/>
      <w:r w:rsidRPr="00A43DB3">
        <w:rPr>
          <w:rFonts w:ascii="Times New Roman" w:hAnsi="Times New Roman" w:cs="Times New Roman"/>
          <w:sz w:val="24"/>
          <w:szCs w:val="24"/>
        </w:rPr>
        <w:t xml:space="preserve"> website nor in relation to the indexing or cache content on Google’s part.</w:t>
      </w:r>
      <w:r w:rsidRPr="00A43DB3">
        <w:rPr>
          <w:rStyle w:val="Refdenotaderodap"/>
          <w:rFonts w:ascii="Times New Roman" w:hAnsi="Times New Roman" w:cs="Times New Roman"/>
          <w:sz w:val="24"/>
          <w:szCs w:val="24"/>
        </w:rPr>
        <w:footnoteReference w:id="105"/>
      </w:r>
      <w:r w:rsidRPr="00A43DB3">
        <w:rPr>
          <w:rFonts w:ascii="Times New Roman" w:hAnsi="Times New Roman" w:cs="Times New Roman"/>
          <w:sz w:val="24"/>
          <w:szCs w:val="24"/>
        </w:rPr>
        <w:t xml:space="preserve"> Similarly, the right to object granted by Article 14(a) DPD emerged when there were compelling legitimate grounds on part of the data subject. Accordingly, </w:t>
      </w:r>
      <w:proofErr w:type="spellStart"/>
      <w:r w:rsidRPr="00A43DB3">
        <w:rPr>
          <w:rFonts w:ascii="Times New Roman" w:hAnsi="Times New Roman" w:cs="Times New Roman"/>
          <w:sz w:val="24"/>
          <w:szCs w:val="24"/>
        </w:rPr>
        <w:t>Jääskinen</w:t>
      </w:r>
      <w:proofErr w:type="spellEnd"/>
      <w:r w:rsidRPr="00A43DB3">
        <w:rPr>
          <w:rFonts w:ascii="Times New Roman" w:hAnsi="Times New Roman" w:cs="Times New Roman"/>
          <w:sz w:val="24"/>
          <w:szCs w:val="24"/>
        </w:rPr>
        <w:t xml:space="preserve"> did not recognise that a subjective preference alone, when the data subject understands that the diffusion of personal information may be prejudicial or contrary to his or her interests, </w:t>
      </w:r>
      <w:r w:rsidRPr="00A43DB3">
        <w:rPr>
          <w:rFonts w:ascii="Times New Roman" w:hAnsi="Times New Roman" w:cs="Times New Roman"/>
          <w:sz w:val="24"/>
          <w:szCs w:val="24"/>
        </w:rPr>
        <w:lastRenderedPageBreak/>
        <w:t>translated into compelling legitimate grounds</w:t>
      </w:r>
      <w:r w:rsidRPr="00A43DB3">
        <w:rPr>
          <w:rStyle w:val="Refdenotaderodap"/>
          <w:rFonts w:ascii="Times New Roman" w:hAnsi="Times New Roman" w:cs="Times New Roman"/>
          <w:sz w:val="24"/>
          <w:szCs w:val="24"/>
        </w:rPr>
        <w:footnoteReference w:id="106"/>
      </w:r>
      <w:r w:rsidRPr="00A43DB3">
        <w:rPr>
          <w:rFonts w:ascii="Times New Roman" w:hAnsi="Times New Roman" w:cs="Times New Roman"/>
          <w:sz w:val="24"/>
          <w:szCs w:val="24"/>
        </w:rPr>
        <w:t xml:space="preserve"> which would grant him or her a right to erasure. </w:t>
      </w:r>
    </w:p>
    <w:p w14:paraId="1FD0E21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Diversely, the Court interpreted Article 12(b) in conjunction with Article 6(1)(c) to (e) DPD and declared that even information published lawfully by third parties and containing true information may be inadequate, irrelevant or no longer relevant, or excessive, and consequently must be deleted.</w:t>
      </w:r>
      <w:r w:rsidRPr="00A43DB3">
        <w:rPr>
          <w:rStyle w:val="Refdenotaderodap"/>
          <w:rFonts w:ascii="Times New Roman" w:hAnsi="Times New Roman" w:cs="Times New Roman"/>
          <w:sz w:val="24"/>
          <w:szCs w:val="24"/>
        </w:rPr>
        <w:footnoteReference w:id="107"/>
      </w:r>
      <w:r w:rsidRPr="00A43DB3">
        <w:rPr>
          <w:rFonts w:ascii="Times New Roman" w:hAnsi="Times New Roman" w:cs="Times New Roman"/>
          <w:sz w:val="24"/>
          <w:szCs w:val="24"/>
        </w:rPr>
        <w:t xml:space="preserve"> Additionally, it stressed that it is not necessary in order to apply the right to be forgotten that the indexing of the information effectively causes prejudice to the data subject.</w:t>
      </w:r>
      <w:r w:rsidRPr="00A43DB3">
        <w:rPr>
          <w:rStyle w:val="Refdenotaderodap"/>
          <w:rFonts w:ascii="Times New Roman" w:hAnsi="Times New Roman" w:cs="Times New Roman"/>
          <w:sz w:val="24"/>
          <w:szCs w:val="24"/>
        </w:rPr>
        <w:footnoteReference w:id="108"/>
      </w:r>
      <w:r w:rsidRPr="00A43DB3">
        <w:rPr>
          <w:rFonts w:ascii="Times New Roman" w:hAnsi="Times New Roman" w:cs="Times New Roman"/>
          <w:sz w:val="24"/>
          <w:szCs w:val="24"/>
        </w:rPr>
        <w:t xml:space="preserve"> In this sense, the position of the Court clearly prioritised data protection rights, once the application of the right to be forgotten did not demand factual harm to the data subject, the mere irrelevance of information being sufficient to attract it.  </w:t>
      </w:r>
    </w:p>
    <w:p w14:paraId="2B7E5E8E"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The CJEU’s reasoning was contrasting to the position of the AG in relation to the balancing test. The Court gave much importance to the right of protection of private life and right of protection of personal data. The AG, differently, also included in the balancing test other fundamental rights, notably freedom of expression of the publishers and freedom of information of Internet users, as well as freedom to conduct a business, enshrined in Articles 11 and 16 of the Charter, respectively. In this sense, he argued that a newspaper had the right to digitally republish its printed journals on the Internet with the original content, otherwise it would amount to falsification of history. Similarly, the users would have the right to receive information regarding determined data subject from public sources.</w:t>
      </w:r>
      <w:r w:rsidRPr="00A43DB3">
        <w:rPr>
          <w:rStyle w:val="Refdenotaderodap"/>
          <w:rFonts w:ascii="Times New Roman" w:hAnsi="Times New Roman" w:cs="Times New Roman"/>
          <w:sz w:val="24"/>
          <w:szCs w:val="24"/>
        </w:rPr>
        <w:footnoteReference w:id="109"/>
      </w:r>
      <w:r w:rsidRPr="00A43DB3">
        <w:rPr>
          <w:rFonts w:ascii="Times New Roman" w:hAnsi="Times New Roman" w:cs="Times New Roman"/>
          <w:sz w:val="24"/>
          <w:szCs w:val="24"/>
        </w:rPr>
        <w:t xml:space="preserve"> Moreover, </w:t>
      </w:r>
      <w:proofErr w:type="spellStart"/>
      <w:r w:rsidRPr="00A43DB3">
        <w:rPr>
          <w:rFonts w:ascii="Times New Roman" w:hAnsi="Times New Roman" w:cs="Times New Roman"/>
          <w:sz w:val="24"/>
          <w:szCs w:val="24"/>
        </w:rPr>
        <w:t>Jääskinen</w:t>
      </w:r>
      <w:proofErr w:type="spellEnd"/>
      <w:r w:rsidRPr="00A43DB3">
        <w:rPr>
          <w:rFonts w:ascii="Times New Roman" w:hAnsi="Times New Roman" w:cs="Times New Roman"/>
          <w:sz w:val="24"/>
          <w:szCs w:val="24"/>
        </w:rPr>
        <w:t xml:space="preserve"> advocated that the balancing test should not be made on a case by case basis by the search engine provider, once ‘notice and take down procedures’ were likely to result in the automatic removal of links containing any objected information or lead to an exacerbate number of erasure requests that they would not be able to manage. Further, the process would only involve the search engine operator and data subjects, excluding publishers from any decision, which would culminate in private censorship of content placed online by them.</w:t>
      </w:r>
      <w:r w:rsidRPr="00A43DB3">
        <w:rPr>
          <w:rStyle w:val="Refdenotaderodap"/>
          <w:rFonts w:ascii="Times New Roman" w:hAnsi="Times New Roman" w:cs="Times New Roman"/>
          <w:sz w:val="24"/>
          <w:szCs w:val="24"/>
        </w:rPr>
        <w:footnoteReference w:id="110"/>
      </w:r>
      <w:r w:rsidRPr="00A43DB3">
        <w:rPr>
          <w:rFonts w:ascii="Times New Roman" w:hAnsi="Times New Roman" w:cs="Times New Roman"/>
          <w:sz w:val="24"/>
          <w:szCs w:val="24"/>
        </w:rPr>
        <w:t xml:space="preserve"> In addition to the impossibility of accessing the basis used by search engines to grant or not the removal request, there might </w:t>
      </w:r>
      <w:r w:rsidRPr="00A43DB3">
        <w:rPr>
          <w:rFonts w:ascii="Times New Roman" w:hAnsi="Times New Roman" w:cs="Times New Roman"/>
          <w:sz w:val="24"/>
          <w:szCs w:val="24"/>
        </w:rPr>
        <w:lastRenderedPageBreak/>
        <w:t>be a loss of freedom of expression due to the impossibility of publishers to contest the request, which requires little argumentative burden from the data subject.</w:t>
      </w:r>
    </w:p>
    <w:p w14:paraId="29FE2B07"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In the specific case of González, rejecting the AG’s view, the Court held that, considering the sensitivity of the information relating to a real-estate auction connected with attachment proceedings for the recovery of social security debts for his private life, and contemplating the fact that its initial publication on the printed version of the newspaper had occurred 16 years earlier, González had the right to erase links to such information from online search engines. In this sense, there did not seem to exist a preponderant interest of the public in accessing that information, thus a data subject’s right to be forgotten could be inferred from Articles 12(b) and 14(a) DPD, requiring Google to delete links from its list of results.</w:t>
      </w:r>
      <w:r w:rsidRPr="00A43DB3">
        <w:rPr>
          <w:rStyle w:val="Refdenotaderodap"/>
          <w:rFonts w:ascii="Times New Roman" w:hAnsi="Times New Roman" w:cs="Times New Roman"/>
          <w:sz w:val="24"/>
          <w:szCs w:val="24"/>
        </w:rPr>
        <w:footnoteReference w:id="111"/>
      </w:r>
      <w:r w:rsidRPr="00A43DB3">
        <w:rPr>
          <w:rFonts w:ascii="Times New Roman" w:hAnsi="Times New Roman" w:cs="Times New Roman"/>
          <w:sz w:val="24"/>
          <w:szCs w:val="24"/>
        </w:rPr>
        <w:t xml:space="preserve"> The professional role of González as a lawyer did not seem entail public interest to influence the decision but rather the lapse of time that had passed since the article was originally published prevailed.</w:t>
      </w:r>
    </w:p>
    <w:p w14:paraId="16C5834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Indeed, such right is particularly addressed to ordinary people whose information is perhaps mentioned in a notorious news article, or in links indexed on top of search results, and it continues to impact their privacy. As regards the erasure of true information contained in videos, postings, pictures, </w:t>
      </w:r>
      <w:proofErr w:type="gramStart"/>
      <w:r w:rsidRPr="00A43DB3">
        <w:rPr>
          <w:rFonts w:ascii="Times New Roman" w:hAnsi="Times New Roman" w:cs="Times New Roman"/>
          <w:sz w:val="24"/>
          <w:szCs w:val="24"/>
        </w:rPr>
        <w:t>comments</w:t>
      </w:r>
      <w:proofErr w:type="gramEnd"/>
      <w:r w:rsidRPr="00A43DB3">
        <w:rPr>
          <w:rFonts w:ascii="Times New Roman" w:hAnsi="Times New Roman" w:cs="Times New Roman"/>
          <w:sz w:val="24"/>
          <w:szCs w:val="24"/>
        </w:rPr>
        <w:t xml:space="preserve"> and the like, such ruling is controversial once it allows the removal of content that may be of interest to the public.</w:t>
      </w:r>
      <w:r w:rsidRPr="00A43DB3">
        <w:rPr>
          <w:rStyle w:val="Refdenotaderodap"/>
          <w:rFonts w:ascii="Times New Roman" w:hAnsi="Times New Roman" w:cs="Times New Roman"/>
          <w:sz w:val="24"/>
          <w:szCs w:val="24"/>
        </w:rPr>
        <w:footnoteReference w:id="112"/>
      </w:r>
      <w:r w:rsidRPr="00A43DB3">
        <w:rPr>
          <w:rFonts w:ascii="Times New Roman" w:hAnsi="Times New Roman" w:cs="Times New Roman"/>
          <w:sz w:val="24"/>
          <w:szCs w:val="24"/>
        </w:rPr>
        <w:t xml:space="preserve"> In the words of Mitchell, emphasising the importance of true information, ‘I wouldn’t think less of someone because his house was repossessed 16 years ago. But I would if he turned out to be a liar’.</w:t>
      </w:r>
      <w:r w:rsidRPr="00A43DB3">
        <w:rPr>
          <w:rStyle w:val="Refdenotaderodap"/>
          <w:rFonts w:ascii="Times New Roman" w:hAnsi="Times New Roman" w:cs="Times New Roman"/>
          <w:sz w:val="24"/>
          <w:szCs w:val="24"/>
        </w:rPr>
        <w:footnoteReference w:id="113"/>
      </w:r>
      <w:r w:rsidRPr="00A43DB3">
        <w:rPr>
          <w:rFonts w:ascii="Times New Roman" w:hAnsi="Times New Roman" w:cs="Times New Roman"/>
          <w:sz w:val="24"/>
          <w:szCs w:val="24"/>
        </w:rPr>
        <w:t xml:space="preserve"> In this sense, insolvency may be considered of public interest for potential business partners and investors. The possibility of rewriting the past may become even more disquieting considering that it is the search engine operator that has the power to decide that certain content is of public interest or not in most cases.</w:t>
      </w:r>
    </w:p>
    <w:p w14:paraId="324A55E5"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fact, the CJEU did not comment on the general prohibition on processing special categories of personal data, such as data concerning religious beliefs, political </w:t>
      </w:r>
      <w:proofErr w:type="gramStart"/>
      <w:r w:rsidRPr="00A43DB3">
        <w:rPr>
          <w:rFonts w:ascii="Times New Roman" w:hAnsi="Times New Roman" w:cs="Times New Roman"/>
          <w:sz w:val="24"/>
          <w:szCs w:val="24"/>
        </w:rPr>
        <w:t>opinion</w:t>
      </w:r>
      <w:proofErr w:type="gramEnd"/>
      <w:r w:rsidRPr="00A43DB3">
        <w:rPr>
          <w:rFonts w:ascii="Times New Roman" w:hAnsi="Times New Roman" w:cs="Times New Roman"/>
          <w:sz w:val="24"/>
          <w:szCs w:val="24"/>
        </w:rPr>
        <w:t xml:space="preserve"> and sex life, which are characterised by a high level of sensitivity, nor on the territorial </w:t>
      </w:r>
      <w:r w:rsidRPr="00A43DB3">
        <w:rPr>
          <w:rFonts w:ascii="Times New Roman" w:hAnsi="Times New Roman" w:cs="Times New Roman"/>
          <w:sz w:val="24"/>
          <w:szCs w:val="24"/>
        </w:rPr>
        <w:lastRenderedPageBreak/>
        <w:t xml:space="preserve">scope of the right to be forgotten. It has left some uncertainty on the matter, which was posteriorly addressed in </w:t>
      </w:r>
      <w:r w:rsidRPr="00A43DB3">
        <w:rPr>
          <w:rFonts w:ascii="Times New Roman" w:hAnsi="Times New Roman" w:cs="Times New Roman"/>
          <w:i/>
          <w:iCs/>
          <w:sz w:val="24"/>
          <w:szCs w:val="24"/>
        </w:rPr>
        <w:t>GC and Others</w:t>
      </w:r>
      <w:r w:rsidRPr="00A43DB3">
        <w:rPr>
          <w:rStyle w:val="Refdenotaderodap"/>
          <w:rFonts w:ascii="Times New Roman" w:hAnsi="Times New Roman" w:cs="Times New Roman"/>
          <w:i/>
          <w:iCs/>
          <w:sz w:val="24"/>
          <w:szCs w:val="24"/>
        </w:rPr>
        <w:footnoteReference w:id="114"/>
      </w:r>
      <w:r w:rsidRPr="00A43DB3">
        <w:rPr>
          <w:rFonts w:ascii="Times New Roman" w:hAnsi="Times New Roman" w:cs="Times New Roman"/>
          <w:sz w:val="24"/>
          <w:szCs w:val="24"/>
        </w:rPr>
        <w:t xml:space="preserve"> and </w:t>
      </w:r>
      <w:r w:rsidRPr="00A43DB3">
        <w:rPr>
          <w:rFonts w:ascii="Times New Roman" w:hAnsi="Times New Roman" w:cs="Times New Roman"/>
          <w:i/>
          <w:iCs/>
          <w:sz w:val="24"/>
          <w:szCs w:val="24"/>
        </w:rPr>
        <w:t>Google v CNIL.</w:t>
      </w:r>
      <w:r w:rsidRPr="00A43DB3">
        <w:rPr>
          <w:rStyle w:val="Refdenotaderodap"/>
          <w:rFonts w:ascii="Times New Roman" w:hAnsi="Times New Roman" w:cs="Times New Roman"/>
          <w:i/>
          <w:iCs/>
          <w:sz w:val="24"/>
          <w:szCs w:val="24"/>
        </w:rPr>
        <w:footnoteReference w:id="115"/>
      </w:r>
      <w:r w:rsidRPr="00A43DB3">
        <w:rPr>
          <w:rFonts w:ascii="Times New Roman" w:hAnsi="Times New Roman" w:cs="Times New Roman"/>
          <w:sz w:val="24"/>
          <w:szCs w:val="24"/>
        </w:rPr>
        <w:t xml:space="preserve"> In any event, following the recognition of a right to be forgotten by the Court, the necessity for its regulation was brought to attention and such right was codified two years after the CJEU judgment in Regulation 2016/679, the General Data Protection Regulation. </w:t>
      </w:r>
    </w:p>
    <w:p w14:paraId="68CE0BE1" w14:textId="77777777" w:rsidR="00481564" w:rsidRPr="00A43DB3" w:rsidRDefault="00481564" w:rsidP="00481564">
      <w:pPr>
        <w:spacing w:line="360" w:lineRule="auto"/>
        <w:jc w:val="both"/>
        <w:rPr>
          <w:rFonts w:ascii="Times New Roman" w:hAnsi="Times New Roman" w:cs="Times New Roman"/>
          <w:sz w:val="24"/>
          <w:szCs w:val="24"/>
        </w:rPr>
      </w:pPr>
    </w:p>
    <w:p w14:paraId="43AAA0D6" w14:textId="77777777" w:rsidR="00481564" w:rsidRPr="00A43DB3" w:rsidRDefault="00481564" w:rsidP="00481564">
      <w:pPr>
        <w:spacing w:line="360" w:lineRule="auto"/>
        <w:jc w:val="both"/>
        <w:rPr>
          <w:rFonts w:ascii="Times New Roman" w:hAnsi="Times New Roman" w:cs="Times New Roman"/>
          <w:sz w:val="24"/>
          <w:szCs w:val="24"/>
        </w:rPr>
      </w:pPr>
    </w:p>
    <w:p w14:paraId="03E91361" w14:textId="77777777" w:rsidR="00481564" w:rsidRPr="00A43DB3" w:rsidRDefault="00481564" w:rsidP="00481564">
      <w:pPr>
        <w:pStyle w:val="PargrafodaLista"/>
        <w:numPr>
          <w:ilvl w:val="1"/>
          <w:numId w:val="6"/>
        </w:numPr>
        <w:spacing w:line="360" w:lineRule="auto"/>
        <w:jc w:val="both"/>
        <w:rPr>
          <w:rFonts w:ascii="Times New Roman" w:hAnsi="Times New Roman" w:cs="Times New Roman"/>
          <w:b/>
          <w:bCs/>
          <w:sz w:val="24"/>
          <w:szCs w:val="24"/>
        </w:rPr>
      </w:pPr>
      <w:bookmarkStart w:id="40" w:name="_Hlk111705186"/>
      <w:r w:rsidRPr="00A43DB3">
        <w:rPr>
          <w:rFonts w:ascii="Times New Roman" w:hAnsi="Times New Roman" w:cs="Times New Roman"/>
          <w:b/>
          <w:bCs/>
          <w:sz w:val="24"/>
          <w:szCs w:val="24"/>
        </w:rPr>
        <w:t>The aftermath: measures implemented by Google</w:t>
      </w:r>
      <w:bookmarkEnd w:id="40"/>
      <w:r w:rsidRPr="00A43DB3">
        <w:rPr>
          <w:rFonts w:ascii="Times New Roman" w:hAnsi="Times New Roman" w:cs="Times New Roman"/>
          <w:b/>
          <w:bCs/>
          <w:sz w:val="24"/>
          <w:szCs w:val="24"/>
        </w:rPr>
        <w:t xml:space="preserve"> </w:t>
      </w:r>
    </w:p>
    <w:p w14:paraId="1F99175A"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Since the </w:t>
      </w:r>
      <w:proofErr w:type="gramStart"/>
      <w:r w:rsidRPr="00A43DB3">
        <w:rPr>
          <w:rFonts w:ascii="Times New Roman" w:hAnsi="Times New Roman" w:cs="Times New Roman"/>
          <w:sz w:val="24"/>
          <w:szCs w:val="24"/>
        </w:rPr>
        <w:t>aforementioned decision</w:t>
      </w:r>
      <w:proofErr w:type="gramEnd"/>
      <w:r w:rsidRPr="00A43DB3">
        <w:rPr>
          <w:rFonts w:ascii="Times New Roman" w:hAnsi="Times New Roman" w:cs="Times New Roman"/>
          <w:sz w:val="24"/>
          <w:szCs w:val="24"/>
        </w:rPr>
        <w:t>, Google has created a Personal Information Removal Request Form</w:t>
      </w:r>
      <w:r w:rsidRPr="00A43DB3">
        <w:rPr>
          <w:rStyle w:val="Refdenotaderodap"/>
          <w:rFonts w:ascii="Times New Roman" w:hAnsi="Times New Roman" w:cs="Times New Roman"/>
          <w:sz w:val="24"/>
          <w:szCs w:val="24"/>
        </w:rPr>
        <w:footnoteReference w:id="116"/>
      </w:r>
      <w:r w:rsidRPr="00A43DB3">
        <w:rPr>
          <w:rFonts w:ascii="Times New Roman" w:hAnsi="Times New Roman" w:cs="Times New Roman"/>
          <w:sz w:val="24"/>
          <w:szCs w:val="24"/>
        </w:rPr>
        <w:t xml:space="preserve"> destined to individuals who wish to de-index personal information regarding them and constituted the Advisory Council,</w:t>
      </w:r>
      <w:r w:rsidRPr="00A43DB3">
        <w:rPr>
          <w:rStyle w:val="Refdenotaderodap"/>
          <w:rFonts w:ascii="Times New Roman" w:hAnsi="Times New Roman" w:cs="Times New Roman"/>
          <w:sz w:val="24"/>
          <w:szCs w:val="24"/>
        </w:rPr>
        <w:footnoteReference w:id="117"/>
      </w:r>
      <w:r w:rsidRPr="00A43DB3">
        <w:rPr>
          <w:rFonts w:ascii="Times New Roman" w:hAnsi="Times New Roman" w:cs="Times New Roman"/>
          <w:sz w:val="24"/>
          <w:szCs w:val="24"/>
        </w:rPr>
        <w:t xml:space="preserve"> which is composed of several experts on the subject, whose task is to issue reports on its findings and recommendations as to the right to be forgotten. Additionally, it has instituted the Transparency Report</w:t>
      </w:r>
      <w:r w:rsidRPr="00A43DB3">
        <w:rPr>
          <w:rStyle w:val="Refdenotaderodap"/>
          <w:rFonts w:ascii="Times New Roman" w:hAnsi="Times New Roman" w:cs="Times New Roman"/>
          <w:sz w:val="24"/>
          <w:szCs w:val="24"/>
        </w:rPr>
        <w:footnoteReference w:id="118"/>
      </w:r>
      <w:r w:rsidRPr="00A43DB3">
        <w:rPr>
          <w:rFonts w:ascii="Times New Roman" w:hAnsi="Times New Roman" w:cs="Times New Roman"/>
          <w:sz w:val="24"/>
          <w:szCs w:val="24"/>
        </w:rPr>
        <w:t xml:space="preserve"> which publishes samples of requests to delist personal information and the corresponding actions taken by the company. </w:t>
      </w:r>
    </w:p>
    <w:p w14:paraId="4F21AA7E"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As regards the Removal Request Form, Google exemplifies that it ‘may decline to remove certain information about financial scams, professional malpractice, criminal convictions, or public conduct of government officials.’</w:t>
      </w:r>
      <w:r w:rsidRPr="00A43DB3">
        <w:rPr>
          <w:rStyle w:val="Refdenotaderodap"/>
          <w:rFonts w:ascii="Times New Roman" w:hAnsi="Times New Roman" w:cs="Times New Roman"/>
          <w:sz w:val="24"/>
          <w:szCs w:val="24"/>
        </w:rPr>
        <w:footnoteReference w:id="119"/>
      </w:r>
      <w:r w:rsidRPr="00A43DB3">
        <w:rPr>
          <w:rFonts w:ascii="Times New Roman" w:hAnsi="Times New Roman" w:cs="Times New Roman"/>
          <w:sz w:val="24"/>
          <w:szCs w:val="24"/>
        </w:rPr>
        <w:t xml:space="preserve"> Confronting the criticism that Google, as a private entity, should not be responsible for deciding which cases are eligible for erasure from its index, when the number of removal requests received by it - up to 5 million by January 2022</w:t>
      </w:r>
      <w:r w:rsidRPr="00A43DB3">
        <w:rPr>
          <w:rStyle w:val="Refdenotaderodap"/>
          <w:rFonts w:ascii="Times New Roman" w:hAnsi="Times New Roman" w:cs="Times New Roman"/>
          <w:sz w:val="24"/>
          <w:szCs w:val="24"/>
        </w:rPr>
        <w:footnoteReference w:id="120"/>
      </w:r>
      <w:r w:rsidRPr="00A43DB3">
        <w:rPr>
          <w:rFonts w:ascii="Times New Roman" w:hAnsi="Times New Roman" w:cs="Times New Roman"/>
          <w:sz w:val="24"/>
          <w:szCs w:val="24"/>
        </w:rPr>
        <w:t xml:space="preserve"> - is analysed, it is hard to imagine that the Courts or the data protection authorities themselves would be able to handle all these petitions in a timely manner. In this sense, considering Google’s financial resources, as well as the number of its </w:t>
      </w:r>
      <w:r w:rsidRPr="00A43DB3">
        <w:rPr>
          <w:rFonts w:ascii="Times New Roman" w:hAnsi="Times New Roman" w:cs="Times New Roman"/>
          <w:sz w:val="24"/>
          <w:szCs w:val="24"/>
        </w:rPr>
        <w:lastRenderedPageBreak/>
        <w:t xml:space="preserve">employees, the Court’s decision of making the undertaking responsible for handling removal requests is quite plausible.  </w:t>
      </w:r>
    </w:p>
    <w:p w14:paraId="5996729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Nevertheless, Google has adopted the CJEU’s ruling as only requiring a </w:t>
      </w:r>
      <w:r w:rsidRPr="00A43DB3">
        <w:rPr>
          <w:rFonts w:ascii="Times New Roman" w:hAnsi="Times New Roman" w:cs="Times New Roman"/>
          <w:i/>
          <w:iCs/>
          <w:sz w:val="24"/>
          <w:szCs w:val="24"/>
        </w:rPr>
        <w:t>post hoc</w:t>
      </w:r>
      <w:r w:rsidRPr="00A43DB3">
        <w:rPr>
          <w:rFonts w:ascii="Times New Roman" w:hAnsi="Times New Roman" w:cs="Times New Roman"/>
          <w:sz w:val="24"/>
          <w:szCs w:val="24"/>
        </w:rPr>
        <w:t xml:space="preserve"> notification procedure, that is to say, responding after the request is received, rather than taking proactive measures in order to prevent or rectify processing incompatible with data protection law in advance, which would be more compatible with its role as a controller.</w:t>
      </w:r>
      <w:r w:rsidRPr="00A43DB3">
        <w:rPr>
          <w:rStyle w:val="Refdenotaderodap"/>
          <w:rFonts w:ascii="Times New Roman" w:hAnsi="Times New Roman" w:cs="Times New Roman"/>
          <w:sz w:val="24"/>
          <w:szCs w:val="24"/>
        </w:rPr>
        <w:footnoteReference w:id="121"/>
      </w:r>
      <w:r w:rsidRPr="00A43DB3">
        <w:rPr>
          <w:rFonts w:ascii="Times New Roman" w:hAnsi="Times New Roman" w:cs="Times New Roman"/>
          <w:sz w:val="24"/>
          <w:szCs w:val="24"/>
        </w:rPr>
        <w:t xml:space="preserve"> However, Google’s approach cannot be deemed to contradict the Court’s position, since there was no mention as regards the preventive measures that should be taken in relation to removal of content. </w:t>
      </w:r>
    </w:p>
    <w:p w14:paraId="7BB734B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Additionally, the notification to webmasters only occurs after Google has decided to delist links from its index, with no participation of publishers in the decision-making. Undoubtedly, media outlets advocate for freedom of expression and tend to be against the implementation of the right to be forgotten once it may represent an economic loss for them. In a militant reaction, some English newspapers have even published new articles indicating the news links that would have been the subject of deindexation requests.</w:t>
      </w:r>
      <w:r w:rsidRPr="00A43DB3">
        <w:rPr>
          <w:rStyle w:val="Refdenotaderodap"/>
          <w:rFonts w:ascii="Times New Roman" w:hAnsi="Times New Roman" w:cs="Times New Roman"/>
          <w:sz w:val="24"/>
          <w:szCs w:val="24"/>
        </w:rPr>
        <w:footnoteReference w:id="122"/>
      </w:r>
      <w:r w:rsidRPr="00A43DB3">
        <w:rPr>
          <w:rFonts w:ascii="Times New Roman" w:hAnsi="Times New Roman" w:cs="Times New Roman"/>
          <w:sz w:val="24"/>
          <w:szCs w:val="24"/>
        </w:rPr>
        <w:t xml:space="preserve"> Similarly, the Google’s grant of a removal request to supress information regarding the Irish former billionaire Seán Quinn, who was jailed for preventing the seizure of international assets after being adjudicated as bankrupt, resulted in the republication of online articles related to him.</w:t>
      </w:r>
      <w:r w:rsidRPr="00A43DB3">
        <w:rPr>
          <w:rStyle w:val="Refdenotaderodap"/>
          <w:rFonts w:ascii="Times New Roman" w:hAnsi="Times New Roman" w:cs="Times New Roman"/>
          <w:sz w:val="24"/>
          <w:szCs w:val="24"/>
        </w:rPr>
        <w:footnoteReference w:id="123"/>
      </w:r>
      <w:r w:rsidRPr="00A43DB3">
        <w:rPr>
          <w:rFonts w:ascii="Times New Roman" w:hAnsi="Times New Roman" w:cs="Times New Roman"/>
          <w:sz w:val="24"/>
          <w:szCs w:val="24"/>
        </w:rPr>
        <w:t xml:space="preserve"> Such responses by the media illustrate how burdensome it is to effectively erase online content. </w:t>
      </w:r>
    </w:p>
    <w:p w14:paraId="3E6E4837"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The Advisory Council can be understood as a private version of the European Data Protection Board, issuing guidelines establishing the criteria for assessing delisting requests and explaining the meaning of related concepts, for example. Some of these points have now been defined by regulators, while others have been accepted as practice. </w:t>
      </w:r>
    </w:p>
    <w:p w14:paraId="27D54A03"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Regarding the Transparency Report, in 2015 Google accidentally disclosed the source code it used to grant the removal requests and it showed that actually less than five percent </w:t>
      </w:r>
      <w:r w:rsidRPr="00A43DB3">
        <w:rPr>
          <w:rFonts w:ascii="Times New Roman" w:hAnsi="Times New Roman" w:cs="Times New Roman"/>
          <w:sz w:val="24"/>
          <w:szCs w:val="24"/>
        </w:rPr>
        <w:lastRenderedPageBreak/>
        <w:t>of the overall content deleted represented the ones publicly reported by the company.</w:t>
      </w:r>
      <w:r w:rsidRPr="00A43DB3">
        <w:rPr>
          <w:rStyle w:val="Refdenotaderodap"/>
          <w:rFonts w:ascii="Times New Roman" w:hAnsi="Times New Roman" w:cs="Times New Roman"/>
          <w:sz w:val="24"/>
          <w:szCs w:val="24"/>
        </w:rPr>
        <w:footnoteReference w:id="124"/>
      </w:r>
      <w:r w:rsidRPr="00A43DB3">
        <w:rPr>
          <w:rFonts w:ascii="Times New Roman" w:hAnsi="Times New Roman" w:cs="Times New Roman"/>
          <w:sz w:val="24"/>
          <w:szCs w:val="24"/>
        </w:rPr>
        <w:t xml:space="preserve"> By 2022, eight years after the decision, and when the number of erasure requests has exponentially increased,</w:t>
      </w:r>
      <w:r w:rsidRPr="00A43DB3">
        <w:rPr>
          <w:rStyle w:val="Refdenotaderodap"/>
          <w:rFonts w:ascii="Times New Roman" w:hAnsi="Times New Roman" w:cs="Times New Roman"/>
          <w:sz w:val="24"/>
          <w:szCs w:val="24"/>
        </w:rPr>
        <w:t xml:space="preserve"> </w:t>
      </w:r>
      <w:r w:rsidRPr="00A43DB3">
        <w:rPr>
          <w:rStyle w:val="Refdenotaderodap"/>
          <w:rFonts w:ascii="Times New Roman" w:hAnsi="Times New Roman" w:cs="Times New Roman"/>
          <w:sz w:val="24"/>
          <w:szCs w:val="24"/>
        </w:rPr>
        <w:footnoteReference w:id="125"/>
      </w:r>
      <w:r w:rsidRPr="00A43DB3">
        <w:rPr>
          <w:rFonts w:ascii="Times New Roman" w:hAnsi="Times New Roman" w:cs="Times New Roman"/>
          <w:sz w:val="24"/>
          <w:szCs w:val="24"/>
        </w:rPr>
        <w:t xml:space="preserve"> the samples provided still represent the most polemical ones and fall short of the overall number of applications. Further, there is no means to assess the factual applicability of the ruling. The WP29 declares that it ‘strongly encourages the search engines to publish their own de-listing criteria, and make more detailed statistics available’,</w:t>
      </w:r>
      <w:r w:rsidRPr="00A43DB3">
        <w:rPr>
          <w:rStyle w:val="Refdenotaderodap"/>
          <w:rFonts w:ascii="Times New Roman" w:hAnsi="Times New Roman" w:cs="Times New Roman"/>
          <w:sz w:val="24"/>
          <w:szCs w:val="24"/>
        </w:rPr>
        <w:footnoteReference w:id="126"/>
      </w:r>
      <w:r w:rsidRPr="00A43DB3">
        <w:rPr>
          <w:rFonts w:ascii="Times New Roman" w:hAnsi="Times New Roman" w:cs="Times New Roman"/>
          <w:sz w:val="24"/>
          <w:szCs w:val="24"/>
        </w:rPr>
        <w:t xml:space="preserve"> however there is no ruling stipulating any type of external oversight of such activities, which must be promptly provided by regulators, considering the public role a private company plays and the consequences it may entail.</w:t>
      </w:r>
    </w:p>
    <w:p w14:paraId="3C851B60" w14:textId="77777777" w:rsidR="00481564" w:rsidRPr="00A43DB3" w:rsidRDefault="00481564" w:rsidP="00481564">
      <w:pPr>
        <w:spacing w:line="360" w:lineRule="auto"/>
        <w:jc w:val="both"/>
        <w:rPr>
          <w:rFonts w:ascii="Times New Roman" w:hAnsi="Times New Roman" w:cs="Times New Roman"/>
          <w:sz w:val="24"/>
          <w:szCs w:val="24"/>
        </w:rPr>
      </w:pPr>
    </w:p>
    <w:p w14:paraId="5977F3E3" w14:textId="77777777" w:rsidR="00481564" w:rsidRPr="00A43DB3" w:rsidRDefault="00481564" w:rsidP="00481564">
      <w:pPr>
        <w:spacing w:line="360" w:lineRule="auto"/>
        <w:jc w:val="both"/>
        <w:rPr>
          <w:rFonts w:ascii="Times New Roman" w:hAnsi="Times New Roman" w:cs="Times New Roman"/>
          <w:sz w:val="24"/>
          <w:szCs w:val="24"/>
        </w:rPr>
      </w:pPr>
    </w:p>
    <w:p w14:paraId="69D42647" w14:textId="77777777" w:rsidR="00481564" w:rsidRPr="00A43DB3" w:rsidRDefault="00481564" w:rsidP="00481564">
      <w:pPr>
        <w:spacing w:line="360" w:lineRule="auto"/>
        <w:jc w:val="both"/>
        <w:rPr>
          <w:rFonts w:ascii="Times New Roman" w:hAnsi="Times New Roman" w:cs="Times New Roman"/>
          <w:sz w:val="24"/>
          <w:szCs w:val="24"/>
        </w:rPr>
      </w:pPr>
    </w:p>
    <w:p w14:paraId="0ACD5155" w14:textId="77777777" w:rsidR="00481564" w:rsidRPr="00A43DB3" w:rsidRDefault="00481564" w:rsidP="00481564">
      <w:pPr>
        <w:spacing w:line="360" w:lineRule="auto"/>
        <w:jc w:val="both"/>
        <w:rPr>
          <w:rFonts w:ascii="Times New Roman" w:hAnsi="Times New Roman" w:cs="Times New Roman"/>
          <w:sz w:val="24"/>
          <w:szCs w:val="24"/>
        </w:rPr>
      </w:pPr>
    </w:p>
    <w:p w14:paraId="01B5CDB3" w14:textId="77777777" w:rsidR="00481564" w:rsidRPr="00A43DB3" w:rsidRDefault="00481564" w:rsidP="00481564">
      <w:pPr>
        <w:spacing w:line="360" w:lineRule="auto"/>
        <w:jc w:val="both"/>
        <w:rPr>
          <w:rFonts w:ascii="Times New Roman" w:hAnsi="Times New Roman" w:cs="Times New Roman"/>
          <w:sz w:val="24"/>
          <w:szCs w:val="24"/>
        </w:rPr>
      </w:pPr>
    </w:p>
    <w:p w14:paraId="36A0F8C3" w14:textId="77777777" w:rsidR="00481564" w:rsidRPr="00A43DB3" w:rsidRDefault="00481564" w:rsidP="00481564">
      <w:pPr>
        <w:spacing w:line="360" w:lineRule="auto"/>
        <w:jc w:val="both"/>
        <w:rPr>
          <w:rFonts w:ascii="Times New Roman" w:hAnsi="Times New Roman" w:cs="Times New Roman"/>
          <w:sz w:val="24"/>
          <w:szCs w:val="24"/>
        </w:rPr>
      </w:pPr>
    </w:p>
    <w:p w14:paraId="5874152D" w14:textId="77777777" w:rsidR="00481564" w:rsidRPr="00A43DB3" w:rsidRDefault="00481564" w:rsidP="00481564">
      <w:pPr>
        <w:spacing w:line="360" w:lineRule="auto"/>
        <w:jc w:val="both"/>
        <w:rPr>
          <w:rFonts w:ascii="Times New Roman" w:hAnsi="Times New Roman" w:cs="Times New Roman"/>
          <w:sz w:val="24"/>
          <w:szCs w:val="24"/>
        </w:rPr>
      </w:pPr>
    </w:p>
    <w:p w14:paraId="785D4300" w14:textId="77777777" w:rsidR="00481564" w:rsidRPr="00A43DB3" w:rsidRDefault="00481564" w:rsidP="00481564">
      <w:pPr>
        <w:spacing w:line="360" w:lineRule="auto"/>
        <w:jc w:val="both"/>
        <w:rPr>
          <w:rFonts w:ascii="Times New Roman" w:hAnsi="Times New Roman" w:cs="Times New Roman"/>
          <w:sz w:val="24"/>
          <w:szCs w:val="24"/>
        </w:rPr>
      </w:pPr>
    </w:p>
    <w:p w14:paraId="2CE0472B" w14:textId="77777777" w:rsidR="00481564" w:rsidRDefault="00481564" w:rsidP="00481564">
      <w:pPr>
        <w:spacing w:line="360" w:lineRule="auto"/>
        <w:jc w:val="both"/>
        <w:rPr>
          <w:rFonts w:ascii="Times New Roman" w:hAnsi="Times New Roman" w:cs="Times New Roman"/>
          <w:sz w:val="24"/>
          <w:szCs w:val="24"/>
        </w:rPr>
      </w:pPr>
    </w:p>
    <w:p w14:paraId="33171350" w14:textId="77777777" w:rsidR="00481564" w:rsidRDefault="00481564" w:rsidP="00481564">
      <w:pPr>
        <w:spacing w:line="360" w:lineRule="auto"/>
        <w:jc w:val="both"/>
        <w:rPr>
          <w:rFonts w:ascii="Times New Roman" w:hAnsi="Times New Roman" w:cs="Times New Roman"/>
          <w:sz w:val="24"/>
          <w:szCs w:val="24"/>
        </w:rPr>
      </w:pPr>
    </w:p>
    <w:p w14:paraId="174CC3F9" w14:textId="77777777" w:rsidR="00481564" w:rsidRDefault="00481564" w:rsidP="00481564">
      <w:pPr>
        <w:spacing w:line="360" w:lineRule="auto"/>
        <w:jc w:val="both"/>
        <w:rPr>
          <w:rFonts w:ascii="Times New Roman" w:hAnsi="Times New Roman" w:cs="Times New Roman"/>
          <w:sz w:val="24"/>
          <w:szCs w:val="24"/>
        </w:rPr>
      </w:pPr>
    </w:p>
    <w:p w14:paraId="7706EE1D" w14:textId="77777777" w:rsidR="00481564" w:rsidRDefault="00481564" w:rsidP="00481564">
      <w:pPr>
        <w:spacing w:line="360" w:lineRule="auto"/>
        <w:jc w:val="both"/>
        <w:rPr>
          <w:rFonts w:ascii="Times New Roman" w:hAnsi="Times New Roman" w:cs="Times New Roman"/>
          <w:sz w:val="24"/>
          <w:szCs w:val="24"/>
        </w:rPr>
      </w:pPr>
    </w:p>
    <w:p w14:paraId="5FE9B363" w14:textId="77777777" w:rsidR="00481564" w:rsidRDefault="00481564" w:rsidP="00481564">
      <w:pPr>
        <w:spacing w:line="360" w:lineRule="auto"/>
        <w:jc w:val="both"/>
        <w:rPr>
          <w:rFonts w:ascii="Times New Roman" w:hAnsi="Times New Roman" w:cs="Times New Roman"/>
          <w:sz w:val="24"/>
          <w:szCs w:val="24"/>
        </w:rPr>
      </w:pPr>
    </w:p>
    <w:p w14:paraId="2393C9B0" w14:textId="77777777" w:rsidR="00481564" w:rsidRDefault="00481564" w:rsidP="00481564">
      <w:pPr>
        <w:spacing w:line="360" w:lineRule="auto"/>
        <w:jc w:val="both"/>
        <w:rPr>
          <w:rFonts w:ascii="Times New Roman" w:hAnsi="Times New Roman" w:cs="Times New Roman"/>
          <w:sz w:val="24"/>
          <w:szCs w:val="24"/>
        </w:rPr>
      </w:pPr>
    </w:p>
    <w:p w14:paraId="77AD2DEA" w14:textId="77777777" w:rsidR="00481564" w:rsidRPr="00A43DB3" w:rsidRDefault="00481564" w:rsidP="00481564">
      <w:pPr>
        <w:pStyle w:val="PargrafodaLista"/>
        <w:numPr>
          <w:ilvl w:val="0"/>
          <w:numId w:val="8"/>
        </w:numPr>
        <w:spacing w:line="360" w:lineRule="auto"/>
        <w:jc w:val="both"/>
        <w:rPr>
          <w:rFonts w:ascii="Times New Roman" w:hAnsi="Times New Roman" w:cs="Times New Roman"/>
          <w:b/>
          <w:bCs/>
          <w:sz w:val="24"/>
          <w:szCs w:val="24"/>
        </w:rPr>
      </w:pPr>
      <w:bookmarkStart w:id="49" w:name="_Hlk111705228"/>
      <w:r w:rsidRPr="00A43DB3">
        <w:rPr>
          <w:rFonts w:ascii="Times New Roman" w:hAnsi="Times New Roman" w:cs="Times New Roman"/>
          <w:b/>
          <w:bCs/>
          <w:i/>
          <w:iCs/>
          <w:sz w:val="24"/>
          <w:szCs w:val="24"/>
        </w:rPr>
        <w:lastRenderedPageBreak/>
        <w:t>GC and Others</w:t>
      </w:r>
      <w:r w:rsidRPr="00A43DB3">
        <w:rPr>
          <w:rFonts w:ascii="Times New Roman" w:hAnsi="Times New Roman" w:cs="Times New Roman"/>
          <w:b/>
          <w:bCs/>
          <w:sz w:val="24"/>
          <w:szCs w:val="24"/>
        </w:rPr>
        <w:t xml:space="preserve"> (C-136/17)</w:t>
      </w:r>
    </w:p>
    <w:bookmarkEnd w:id="49"/>
    <w:p w14:paraId="49C76710"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Since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the processing of sensitive data had remained undiscussed by the CJEU, as such case only concerned the right to be forgotten in relation to ‘regular’ personal data. The DPD generally prohibited the processing of special categories of personal data which reveal ‘racial or ethnic origin, political opinions, religious or philosophical beliefs, trade-union membership, and the processing of data concerning health or sex life’.</w:t>
      </w:r>
      <w:r w:rsidRPr="00A43DB3">
        <w:rPr>
          <w:rStyle w:val="Refdenotaderodap"/>
          <w:rFonts w:ascii="Times New Roman" w:hAnsi="Times New Roman" w:cs="Times New Roman"/>
          <w:sz w:val="24"/>
          <w:szCs w:val="24"/>
        </w:rPr>
        <w:footnoteReference w:id="127"/>
      </w:r>
      <w:r w:rsidRPr="00A43DB3">
        <w:rPr>
          <w:rFonts w:ascii="Times New Roman" w:hAnsi="Times New Roman" w:cs="Times New Roman"/>
          <w:sz w:val="24"/>
          <w:szCs w:val="24"/>
        </w:rPr>
        <w:t xml:space="preserve"> In 2018, the GDPR has repealed the DPD, reproducing this provision </w:t>
      </w:r>
      <w:proofErr w:type="gramStart"/>
      <w:r w:rsidRPr="00A43DB3">
        <w:rPr>
          <w:rFonts w:ascii="Times New Roman" w:hAnsi="Times New Roman" w:cs="Times New Roman"/>
          <w:sz w:val="24"/>
          <w:szCs w:val="24"/>
        </w:rPr>
        <w:t>and also</w:t>
      </w:r>
      <w:proofErr w:type="gramEnd"/>
      <w:r w:rsidRPr="00A43DB3">
        <w:rPr>
          <w:rFonts w:ascii="Times New Roman" w:hAnsi="Times New Roman" w:cs="Times New Roman"/>
          <w:sz w:val="24"/>
          <w:szCs w:val="24"/>
        </w:rPr>
        <w:t xml:space="preserve"> adding genetic and biometric data</w:t>
      </w:r>
      <w:r w:rsidRPr="00A43DB3">
        <w:rPr>
          <w:rStyle w:val="Refdenotaderodap"/>
          <w:rFonts w:ascii="Times New Roman" w:hAnsi="Times New Roman" w:cs="Times New Roman"/>
          <w:sz w:val="24"/>
          <w:szCs w:val="24"/>
        </w:rPr>
        <w:footnoteReference w:id="128"/>
      </w:r>
      <w:r w:rsidRPr="00A43DB3">
        <w:rPr>
          <w:rFonts w:ascii="Times New Roman" w:hAnsi="Times New Roman" w:cs="Times New Roman"/>
          <w:sz w:val="24"/>
          <w:szCs w:val="24"/>
        </w:rPr>
        <w:t xml:space="preserve"> to such list. Similarly, personal data relating to criminal convictions and offences can only be processed under exceptional circumstances, as enshrined in Article 8(5) DPD and Article 10 GDPR. </w:t>
      </w:r>
    </w:p>
    <w:p w14:paraId="01C9B0C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On 24 September 2019, the CJEU decided in </w:t>
      </w:r>
      <w:r w:rsidRPr="00A43DB3">
        <w:rPr>
          <w:rFonts w:ascii="Times New Roman" w:hAnsi="Times New Roman" w:cs="Times New Roman"/>
          <w:i/>
          <w:iCs/>
          <w:sz w:val="24"/>
          <w:szCs w:val="24"/>
        </w:rPr>
        <w:t>GC and Others</w:t>
      </w:r>
      <w:r w:rsidRPr="00A43DB3">
        <w:rPr>
          <w:rFonts w:ascii="Times New Roman" w:hAnsi="Times New Roman" w:cs="Times New Roman"/>
          <w:sz w:val="24"/>
          <w:szCs w:val="24"/>
        </w:rPr>
        <w:t xml:space="preserve">, considering the DPD, in force at the time of the questions referred by the national court, while also taking the GDPR into account, in force at the time of the judgment. Accordingly, </w:t>
      </w:r>
      <w:proofErr w:type="gramStart"/>
      <w:r w:rsidRPr="00A43DB3">
        <w:rPr>
          <w:rFonts w:ascii="Times New Roman" w:hAnsi="Times New Roman" w:cs="Times New Roman"/>
          <w:sz w:val="24"/>
          <w:szCs w:val="24"/>
        </w:rPr>
        <w:t>despite the fact that</w:t>
      </w:r>
      <w:proofErr w:type="gramEnd"/>
      <w:r w:rsidRPr="00A43DB3">
        <w:rPr>
          <w:rFonts w:ascii="Times New Roman" w:hAnsi="Times New Roman" w:cs="Times New Roman"/>
          <w:sz w:val="24"/>
          <w:szCs w:val="24"/>
        </w:rPr>
        <w:t xml:space="preserve"> </w:t>
      </w:r>
      <w:r w:rsidRPr="00A43DB3">
        <w:rPr>
          <w:rFonts w:ascii="Times New Roman" w:hAnsi="Times New Roman" w:cs="Times New Roman"/>
          <w:i/>
          <w:iCs/>
          <w:sz w:val="24"/>
          <w:szCs w:val="24"/>
        </w:rPr>
        <w:t>GC and Others</w:t>
      </w:r>
      <w:r w:rsidRPr="00A43DB3">
        <w:rPr>
          <w:rFonts w:ascii="Times New Roman" w:hAnsi="Times New Roman" w:cs="Times New Roman"/>
          <w:sz w:val="24"/>
          <w:szCs w:val="24"/>
        </w:rPr>
        <w:t xml:space="preserve"> referred to the previous data protection statute, the findings of the case were also appropriate in the context of the GDPR. It was established that the grant of de-referencing requests addressed by the data subject to the search engine operator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remove links to websites containing sensitive data relating to him or her depends on a balancing test exercised by the search engine operator as the controller, as previously resolved in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xml:space="preserve">, which occurs only after such request is received, in an </w:t>
      </w:r>
      <w:r w:rsidRPr="00A43DB3">
        <w:rPr>
          <w:rFonts w:ascii="Times New Roman" w:hAnsi="Times New Roman" w:cs="Times New Roman"/>
          <w:i/>
          <w:iCs/>
          <w:sz w:val="24"/>
          <w:szCs w:val="24"/>
        </w:rPr>
        <w:t>ex post facto</w:t>
      </w:r>
      <w:r w:rsidRPr="00A43DB3">
        <w:rPr>
          <w:rFonts w:ascii="Times New Roman" w:hAnsi="Times New Roman" w:cs="Times New Roman"/>
          <w:sz w:val="24"/>
          <w:szCs w:val="24"/>
        </w:rPr>
        <w:t xml:space="preserve"> assessment on a case-by-case basis. </w:t>
      </w:r>
    </w:p>
    <w:p w14:paraId="31904FBC" w14:textId="77777777" w:rsidR="00481564" w:rsidRPr="00A43DB3" w:rsidRDefault="00481564" w:rsidP="00481564">
      <w:pPr>
        <w:spacing w:line="360" w:lineRule="auto"/>
        <w:jc w:val="both"/>
        <w:rPr>
          <w:rFonts w:ascii="Times New Roman" w:hAnsi="Times New Roman" w:cs="Times New Roman"/>
          <w:sz w:val="24"/>
          <w:szCs w:val="24"/>
        </w:rPr>
      </w:pPr>
    </w:p>
    <w:p w14:paraId="084FC009" w14:textId="77777777" w:rsidR="00481564" w:rsidRPr="00A43DB3" w:rsidRDefault="00481564" w:rsidP="00481564">
      <w:pPr>
        <w:pStyle w:val="PargrafodaLista"/>
        <w:numPr>
          <w:ilvl w:val="1"/>
          <w:numId w:val="8"/>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t>Facts</w:t>
      </w:r>
    </w:p>
    <w:p w14:paraId="7686D07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Four applicants independently required Google to de-list links containing sensitive data published by third-party websites from its list of results. A satirical photomontage of G.C. was posted on YouTube portraying her and a mayor of a municipality, with whom she had an intimate relationship. An online newspaper article reporting the suicide of a member of the Church of Scientology has also mentioned comments on the event made by A.F. in his capacity of the public relations officer of the institution at the time. B.H. was cited in articles concerning a judicial investigation involving him, from which he was later acquitted, but no mention regarding the outcome appeared in the search results. E.D., </w:t>
      </w:r>
      <w:r w:rsidRPr="00A43DB3">
        <w:rPr>
          <w:rFonts w:ascii="Times New Roman" w:hAnsi="Times New Roman" w:cs="Times New Roman"/>
          <w:sz w:val="24"/>
          <w:szCs w:val="24"/>
        </w:rPr>
        <w:lastRenderedPageBreak/>
        <w:t xml:space="preserve">a convicted for sexual assaults on children, had intimate details revealed at the hearing published on newspaper articles. </w:t>
      </w:r>
    </w:p>
    <w:p w14:paraId="2CF94698"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Following the denial of Google, the applicants lodged complaints before the French Data Protection Authority, the </w:t>
      </w:r>
      <w:r w:rsidRPr="00A43DB3">
        <w:rPr>
          <w:rFonts w:ascii="Times New Roman" w:hAnsi="Times New Roman" w:cs="Times New Roman"/>
          <w:i/>
          <w:iCs/>
          <w:sz w:val="24"/>
          <w:szCs w:val="24"/>
        </w:rPr>
        <w:t xml:space="preserve">Commission </w:t>
      </w:r>
      <w:proofErr w:type="spellStart"/>
      <w:r w:rsidRPr="00A43DB3">
        <w:rPr>
          <w:rFonts w:ascii="Times New Roman" w:hAnsi="Times New Roman" w:cs="Times New Roman"/>
          <w:i/>
          <w:iCs/>
          <w:sz w:val="24"/>
          <w:szCs w:val="24"/>
        </w:rPr>
        <w:t>Nationale</w:t>
      </w:r>
      <w:proofErr w:type="spellEnd"/>
      <w:r w:rsidRPr="00A43DB3">
        <w:rPr>
          <w:rFonts w:ascii="Times New Roman" w:hAnsi="Times New Roman" w:cs="Times New Roman"/>
          <w:i/>
          <w:iCs/>
          <w:sz w:val="24"/>
          <w:szCs w:val="24"/>
        </w:rPr>
        <w:t xml:space="preserve"> de </w:t>
      </w:r>
      <w:proofErr w:type="spellStart"/>
      <w:r w:rsidRPr="00A43DB3">
        <w:rPr>
          <w:rFonts w:ascii="Times New Roman" w:hAnsi="Times New Roman" w:cs="Times New Roman"/>
          <w:i/>
          <w:iCs/>
          <w:sz w:val="24"/>
          <w:szCs w:val="24"/>
        </w:rPr>
        <w:t>l’Informatique</w:t>
      </w:r>
      <w:proofErr w:type="spellEnd"/>
      <w:r w:rsidRPr="00A43DB3">
        <w:rPr>
          <w:rFonts w:ascii="Times New Roman" w:hAnsi="Times New Roman" w:cs="Times New Roman"/>
          <w:i/>
          <w:iCs/>
          <w:sz w:val="24"/>
          <w:szCs w:val="24"/>
        </w:rPr>
        <w:t xml:space="preserve"> et des </w:t>
      </w:r>
      <w:proofErr w:type="spellStart"/>
      <w:r w:rsidRPr="00A43DB3">
        <w:rPr>
          <w:rFonts w:ascii="Times New Roman" w:hAnsi="Times New Roman" w:cs="Times New Roman"/>
          <w:i/>
          <w:iCs/>
          <w:sz w:val="24"/>
          <w:szCs w:val="24"/>
        </w:rPr>
        <w:t>Libertés</w:t>
      </w:r>
      <w:proofErr w:type="spellEnd"/>
      <w:r w:rsidRPr="00A43DB3">
        <w:rPr>
          <w:rFonts w:ascii="Times New Roman" w:hAnsi="Times New Roman" w:cs="Times New Roman"/>
          <w:sz w:val="24"/>
          <w:szCs w:val="24"/>
        </w:rPr>
        <w:t xml:space="preserve"> (CNIL), aiming to order Google to de-reference such links, which </w:t>
      </w:r>
      <w:proofErr w:type="gramStart"/>
      <w:r w:rsidRPr="00A43DB3">
        <w:rPr>
          <w:rFonts w:ascii="Times New Roman" w:hAnsi="Times New Roman" w:cs="Times New Roman"/>
          <w:sz w:val="24"/>
          <w:szCs w:val="24"/>
        </w:rPr>
        <w:t>did not succeed</w:t>
      </w:r>
      <w:proofErr w:type="gramEnd"/>
      <w:r w:rsidRPr="00A43DB3">
        <w:rPr>
          <w:rFonts w:ascii="Times New Roman" w:hAnsi="Times New Roman" w:cs="Times New Roman"/>
          <w:sz w:val="24"/>
          <w:szCs w:val="24"/>
        </w:rPr>
        <w:t xml:space="preserve">. Therefore, the applicants resorted to the </w:t>
      </w:r>
      <w:r w:rsidRPr="00A43DB3">
        <w:rPr>
          <w:rFonts w:ascii="Times New Roman" w:hAnsi="Times New Roman" w:cs="Times New Roman"/>
          <w:i/>
          <w:iCs/>
          <w:sz w:val="24"/>
          <w:szCs w:val="24"/>
        </w:rPr>
        <w:t xml:space="preserve">Counsel </w:t>
      </w:r>
      <w:proofErr w:type="spellStart"/>
      <w:r w:rsidRPr="00A43DB3">
        <w:rPr>
          <w:rFonts w:ascii="Times New Roman" w:hAnsi="Times New Roman" w:cs="Times New Roman"/>
          <w:i/>
          <w:iCs/>
          <w:sz w:val="24"/>
          <w:szCs w:val="24"/>
        </w:rPr>
        <w:t>d’État</w:t>
      </w:r>
      <w:proofErr w:type="spellEnd"/>
      <w:r w:rsidRPr="00A43DB3">
        <w:rPr>
          <w:rFonts w:ascii="Times New Roman" w:hAnsi="Times New Roman" w:cs="Times New Roman"/>
          <w:sz w:val="24"/>
          <w:szCs w:val="24"/>
        </w:rPr>
        <w:t xml:space="preserve"> (Council of State, France), which stayed the proceedings and referred the matter for a preliminary ruling to the CJEU. </w:t>
      </w:r>
    </w:p>
    <w:p w14:paraId="7216005E" w14:textId="77777777" w:rsidR="00481564" w:rsidRPr="00A43DB3" w:rsidRDefault="00481564" w:rsidP="00481564">
      <w:pPr>
        <w:spacing w:line="360" w:lineRule="auto"/>
        <w:jc w:val="both"/>
        <w:rPr>
          <w:rFonts w:ascii="Times New Roman" w:hAnsi="Times New Roman" w:cs="Times New Roman"/>
          <w:sz w:val="24"/>
          <w:szCs w:val="24"/>
        </w:rPr>
      </w:pPr>
    </w:p>
    <w:p w14:paraId="51191D78" w14:textId="77777777" w:rsidR="00481564" w:rsidRPr="00A43DB3" w:rsidRDefault="00481564" w:rsidP="00481564">
      <w:pPr>
        <w:pStyle w:val="PargrafodaLista"/>
        <w:spacing w:line="360" w:lineRule="auto"/>
        <w:jc w:val="both"/>
        <w:rPr>
          <w:rFonts w:ascii="Times New Roman" w:hAnsi="Times New Roman" w:cs="Times New Roman"/>
          <w:sz w:val="24"/>
          <w:szCs w:val="24"/>
        </w:rPr>
      </w:pPr>
    </w:p>
    <w:p w14:paraId="4B8C603B" w14:textId="77777777" w:rsidR="00481564" w:rsidRPr="00A43DB3" w:rsidRDefault="00481564" w:rsidP="00481564">
      <w:pPr>
        <w:pStyle w:val="PargrafodaLista"/>
        <w:numPr>
          <w:ilvl w:val="1"/>
          <w:numId w:val="8"/>
        </w:numPr>
        <w:spacing w:line="360" w:lineRule="auto"/>
        <w:jc w:val="both"/>
        <w:rPr>
          <w:rFonts w:ascii="Times New Roman" w:hAnsi="Times New Roman" w:cs="Times New Roman"/>
          <w:sz w:val="24"/>
          <w:szCs w:val="24"/>
        </w:rPr>
      </w:pPr>
      <w:bookmarkStart w:id="50" w:name="_Hlk111705282"/>
      <w:r w:rsidRPr="00A43DB3">
        <w:rPr>
          <w:rFonts w:ascii="Times New Roman" w:hAnsi="Times New Roman" w:cs="Times New Roman"/>
          <w:b/>
          <w:bCs/>
          <w:sz w:val="24"/>
          <w:szCs w:val="24"/>
        </w:rPr>
        <w:t>The general prohibition of processing sensitive data and its corresponding exceptions</w:t>
      </w:r>
    </w:p>
    <w:bookmarkEnd w:id="50"/>
    <w:p w14:paraId="635496E4"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By the first set of questions, the French court asked whether the prohibition of processing sensitive data enshrined in Article 8(1) and (5) DPD, and in the corresponding Articles 9(1) and 10 GDPR, subject to the exceptions outlined therein, equally applies to search engine operators, in the context of their specific responsibilities, powers and capabilities. </w:t>
      </w:r>
    </w:p>
    <w:p w14:paraId="3F2D926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his Advisory Opinion, the A</w:t>
      </w:r>
      <w:r>
        <w:rPr>
          <w:rFonts w:ascii="Times New Roman" w:hAnsi="Times New Roman" w:cs="Times New Roman"/>
          <w:sz w:val="24"/>
          <w:szCs w:val="24"/>
        </w:rPr>
        <w:t>dvocate</w:t>
      </w:r>
      <w:r w:rsidRPr="00A43DB3">
        <w:rPr>
          <w:rFonts w:ascii="Times New Roman" w:hAnsi="Times New Roman" w:cs="Times New Roman"/>
          <w:sz w:val="24"/>
          <w:szCs w:val="24"/>
        </w:rPr>
        <w:t xml:space="preserve"> General Maciej </w:t>
      </w:r>
      <w:proofErr w:type="spellStart"/>
      <w:r w:rsidRPr="00A43DB3">
        <w:rPr>
          <w:rFonts w:ascii="Times New Roman" w:hAnsi="Times New Roman" w:cs="Times New Roman"/>
          <w:sz w:val="24"/>
          <w:szCs w:val="24"/>
        </w:rPr>
        <w:t>Szpunar</w:t>
      </w:r>
      <w:proofErr w:type="spellEnd"/>
      <w:r w:rsidRPr="00A43DB3">
        <w:rPr>
          <w:rFonts w:ascii="Times New Roman" w:hAnsi="Times New Roman" w:cs="Times New Roman"/>
          <w:sz w:val="24"/>
          <w:szCs w:val="24"/>
        </w:rPr>
        <w:t xml:space="preserve"> rightly that the fact that </w:t>
      </w:r>
      <w:r w:rsidRPr="00A43DB3">
        <w:rPr>
          <w:rFonts w:ascii="Times New Roman" w:hAnsi="Times New Roman" w:cs="Times New Roman"/>
          <w:i/>
          <w:iCs/>
          <w:sz w:val="24"/>
          <w:szCs w:val="24"/>
        </w:rPr>
        <w:t xml:space="preserve">Google Spain </w:t>
      </w:r>
      <w:r w:rsidRPr="00A43DB3">
        <w:rPr>
          <w:rFonts w:ascii="Times New Roman" w:hAnsi="Times New Roman" w:cs="Times New Roman"/>
          <w:sz w:val="24"/>
          <w:szCs w:val="24"/>
        </w:rPr>
        <w:t>did not expressly refer to sensitive data within the meaning of Article 8(1) DPD does not exclude search engine operators from the provision’s realm,</w:t>
      </w:r>
      <w:r w:rsidRPr="00A43DB3">
        <w:rPr>
          <w:rStyle w:val="Refdenotaderodap"/>
          <w:rFonts w:ascii="Times New Roman" w:hAnsi="Times New Roman" w:cs="Times New Roman"/>
          <w:sz w:val="24"/>
          <w:szCs w:val="24"/>
        </w:rPr>
        <w:footnoteReference w:id="129"/>
      </w:r>
      <w:r w:rsidRPr="00A43DB3">
        <w:rPr>
          <w:rFonts w:ascii="Times New Roman" w:hAnsi="Times New Roman" w:cs="Times New Roman"/>
          <w:sz w:val="24"/>
          <w:szCs w:val="24"/>
        </w:rPr>
        <w:t xml:space="preserve"> and nothing indicates that a strict interpretation should be adopted.</w:t>
      </w:r>
      <w:r w:rsidRPr="00A43DB3">
        <w:rPr>
          <w:rStyle w:val="Refdenotaderodap"/>
          <w:rFonts w:ascii="Times New Roman" w:hAnsi="Times New Roman" w:cs="Times New Roman"/>
          <w:sz w:val="24"/>
          <w:szCs w:val="24"/>
        </w:rPr>
        <w:footnoteReference w:id="130"/>
      </w:r>
      <w:r w:rsidRPr="00A43DB3">
        <w:rPr>
          <w:rFonts w:ascii="Times New Roman" w:hAnsi="Times New Roman" w:cs="Times New Roman"/>
          <w:sz w:val="24"/>
          <w:szCs w:val="24"/>
        </w:rPr>
        <w:t xml:space="preserve"> The Court reinforced such position by reasoning that, if the activity of a search engine provider was not covered by the provisions regarding sensitive data, this would run counter to the intended objective of the aforementioned articles, that aim to protect the processing of sensitive data and which, because of the peculiar gravity of such information, is likely to result in a serious interference with the fundamental rights to privacy and the protection of personal data,</w:t>
      </w:r>
      <w:r w:rsidRPr="00A43DB3">
        <w:rPr>
          <w:rStyle w:val="Refdenotaderodap"/>
          <w:rFonts w:ascii="Times New Roman" w:hAnsi="Times New Roman" w:cs="Times New Roman"/>
          <w:sz w:val="24"/>
          <w:szCs w:val="24"/>
        </w:rPr>
        <w:footnoteReference w:id="131"/>
      </w:r>
      <w:r w:rsidRPr="00A43DB3">
        <w:rPr>
          <w:rFonts w:ascii="Times New Roman" w:hAnsi="Times New Roman" w:cs="Times New Roman"/>
          <w:sz w:val="24"/>
          <w:szCs w:val="24"/>
        </w:rPr>
        <w:t xml:space="preserve"> enshrined in Articles 7 and 8 of the Charter which are to be respected throughout the European Union. Indeed, it is also logical that the more accessed a determined search engine is, the greater the risks to the privacy of the individuals are. </w:t>
      </w:r>
    </w:p>
    <w:p w14:paraId="525650A2"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fact, according to the AG, if the articles were interpreted in a literal manner, the operator would have to certify that its online index did not include any links to websites </w:t>
      </w:r>
      <w:r w:rsidRPr="00A43DB3">
        <w:rPr>
          <w:rFonts w:ascii="Times New Roman" w:hAnsi="Times New Roman" w:cs="Times New Roman"/>
          <w:sz w:val="24"/>
          <w:szCs w:val="24"/>
        </w:rPr>
        <w:lastRenderedPageBreak/>
        <w:t xml:space="preserve">containing sensitive data, not requiring a de-referencing request from data subjects, in an </w:t>
      </w:r>
      <w:r w:rsidRPr="00A43DB3">
        <w:rPr>
          <w:rFonts w:ascii="Times New Roman" w:hAnsi="Times New Roman" w:cs="Times New Roman"/>
          <w:i/>
          <w:iCs/>
          <w:sz w:val="24"/>
          <w:szCs w:val="24"/>
        </w:rPr>
        <w:t>ex ante</w:t>
      </w:r>
      <w:r w:rsidRPr="00A43DB3">
        <w:rPr>
          <w:rFonts w:ascii="Times New Roman" w:hAnsi="Times New Roman" w:cs="Times New Roman"/>
          <w:sz w:val="24"/>
          <w:szCs w:val="24"/>
        </w:rPr>
        <w:t xml:space="preserve"> and systematic fashion.</w:t>
      </w:r>
      <w:r w:rsidRPr="00A43DB3">
        <w:rPr>
          <w:rStyle w:val="Refdenotaderodap"/>
          <w:rFonts w:ascii="Times New Roman" w:hAnsi="Times New Roman" w:cs="Times New Roman"/>
          <w:sz w:val="24"/>
          <w:szCs w:val="24"/>
        </w:rPr>
        <w:footnoteReference w:id="132"/>
      </w:r>
      <w:r w:rsidRPr="00A43DB3">
        <w:rPr>
          <w:rFonts w:ascii="Times New Roman" w:hAnsi="Times New Roman" w:cs="Times New Roman"/>
          <w:sz w:val="24"/>
          <w:szCs w:val="24"/>
        </w:rPr>
        <w:t xml:space="preserve"> In this sense, according to </w:t>
      </w:r>
      <w:proofErr w:type="spellStart"/>
      <w:r w:rsidRPr="00A43DB3">
        <w:rPr>
          <w:rFonts w:ascii="Times New Roman" w:hAnsi="Times New Roman" w:cs="Times New Roman"/>
          <w:sz w:val="24"/>
          <w:szCs w:val="24"/>
        </w:rPr>
        <w:t>Szpunar</w:t>
      </w:r>
      <w:proofErr w:type="spellEnd"/>
      <w:r w:rsidRPr="00A43DB3">
        <w:rPr>
          <w:rFonts w:ascii="Times New Roman" w:hAnsi="Times New Roman" w:cs="Times New Roman"/>
          <w:sz w:val="24"/>
          <w:szCs w:val="24"/>
        </w:rPr>
        <w:t xml:space="preserve">, ‘an </w:t>
      </w:r>
      <w:r w:rsidRPr="00A43DB3">
        <w:rPr>
          <w:rFonts w:ascii="Times New Roman" w:hAnsi="Times New Roman" w:cs="Times New Roman"/>
          <w:i/>
          <w:iCs/>
          <w:sz w:val="24"/>
          <w:szCs w:val="24"/>
        </w:rPr>
        <w:t>ex ante</w:t>
      </w:r>
      <w:r w:rsidRPr="00A43DB3">
        <w:rPr>
          <w:rFonts w:ascii="Times New Roman" w:hAnsi="Times New Roman" w:cs="Times New Roman"/>
          <w:sz w:val="24"/>
          <w:szCs w:val="24"/>
        </w:rPr>
        <w:t xml:space="preserve"> systematic control is neither possible nor desirable’.</w:t>
      </w:r>
      <w:r w:rsidRPr="00A43DB3">
        <w:rPr>
          <w:rStyle w:val="Refdenotaderodap"/>
          <w:rFonts w:ascii="Times New Roman" w:hAnsi="Times New Roman" w:cs="Times New Roman"/>
          <w:sz w:val="24"/>
          <w:szCs w:val="24"/>
        </w:rPr>
        <w:footnoteReference w:id="133"/>
      </w:r>
      <w:r w:rsidRPr="00A43DB3">
        <w:rPr>
          <w:rFonts w:ascii="Times New Roman" w:hAnsi="Times New Roman" w:cs="Times New Roman"/>
          <w:sz w:val="24"/>
          <w:szCs w:val="24"/>
        </w:rPr>
        <w:t xml:space="preserve"> He continues by stating that every controller must comply with the DPD and the GDPR provisions, including the general prohibitions and the corresponding exceptions related to sensitive data provided for by them.</w:t>
      </w:r>
      <w:r w:rsidRPr="00A43DB3">
        <w:rPr>
          <w:rStyle w:val="Refdenotaderodap"/>
          <w:rFonts w:ascii="Times New Roman" w:hAnsi="Times New Roman" w:cs="Times New Roman"/>
          <w:sz w:val="24"/>
          <w:szCs w:val="24"/>
        </w:rPr>
        <w:footnoteReference w:id="134"/>
      </w:r>
      <w:r w:rsidRPr="00A43DB3">
        <w:rPr>
          <w:rFonts w:ascii="Times New Roman" w:hAnsi="Times New Roman" w:cs="Times New Roman"/>
          <w:sz w:val="24"/>
          <w:szCs w:val="24"/>
        </w:rPr>
        <w:t xml:space="preserve"> Nevertheless, such compliance must be adequate to the specific responsibilities, powers and capabilities of each controller, as similarly supported by the Court.</w:t>
      </w:r>
      <w:r w:rsidRPr="00A43DB3">
        <w:rPr>
          <w:rStyle w:val="Refdenotaderodap"/>
          <w:rFonts w:ascii="Times New Roman" w:hAnsi="Times New Roman" w:cs="Times New Roman"/>
          <w:sz w:val="24"/>
          <w:szCs w:val="24"/>
        </w:rPr>
        <w:footnoteReference w:id="135"/>
      </w:r>
      <w:r w:rsidRPr="00A43DB3">
        <w:rPr>
          <w:rFonts w:ascii="Times New Roman" w:hAnsi="Times New Roman" w:cs="Times New Roman"/>
          <w:sz w:val="24"/>
          <w:szCs w:val="24"/>
        </w:rPr>
        <w:t xml:space="preserve"> In this connection, a search engine operator may be incapable of meeting all requirements of the legislations, precisely because of the particular limitations it presents.</w:t>
      </w:r>
      <w:r w:rsidRPr="00A43DB3">
        <w:rPr>
          <w:rStyle w:val="Refdenotaderodap"/>
          <w:rFonts w:ascii="Times New Roman" w:hAnsi="Times New Roman" w:cs="Times New Roman"/>
          <w:sz w:val="24"/>
          <w:szCs w:val="24"/>
        </w:rPr>
        <w:footnoteReference w:id="136"/>
      </w:r>
      <w:r w:rsidRPr="00A43DB3">
        <w:rPr>
          <w:rFonts w:ascii="Times New Roman" w:hAnsi="Times New Roman" w:cs="Times New Roman"/>
          <w:sz w:val="24"/>
          <w:szCs w:val="24"/>
        </w:rPr>
        <w:t xml:space="preserve"> Furthermore, </w:t>
      </w:r>
      <w:proofErr w:type="spellStart"/>
      <w:r w:rsidRPr="00A43DB3">
        <w:rPr>
          <w:rFonts w:ascii="Times New Roman" w:hAnsi="Times New Roman" w:cs="Times New Roman"/>
          <w:sz w:val="24"/>
          <w:szCs w:val="24"/>
        </w:rPr>
        <w:t>Szpunar</w:t>
      </w:r>
      <w:proofErr w:type="spellEnd"/>
      <w:r w:rsidRPr="00A43DB3">
        <w:rPr>
          <w:rFonts w:ascii="Times New Roman" w:hAnsi="Times New Roman" w:cs="Times New Roman"/>
          <w:sz w:val="24"/>
          <w:szCs w:val="24"/>
        </w:rPr>
        <w:t xml:space="preserve"> also held that controlling web pages which appear in the online search results is not part of the search engine providers’ functions, once they do not encompass the monitoring or censuring of content on the Internet.</w:t>
      </w:r>
      <w:r w:rsidRPr="00A43DB3">
        <w:rPr>
          <w:rStyle w:val="Refdenotaderodap"/>
          <w:rFonts w:ascii="Times New Roman" w:hAnsi="Times New Roman" w:cs="Times New Roman"/>
          <w:sz w:val="24"/>
          <w:szCs w:val="24"/>
        </w:rPr>
        <w:footnoteReference w:id="137"/>
      </w:r>
      <w:r w:rsidRPr="00A43DB3">
        <w:rPr>
          <w:rFonts w:ascii="Times New Roman" w:hAnsi="Times New Roman" w:cs="Times New Roman"/>
          <w:sz w:val="24"/>
          <w:szCs w:val="24"/>
        </w:rPr>
        <w:t xml:space="preserve"> </w:t>
      </w:r>
    </w:p>
    <w:p w14:paraId="5460412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Therefore, once the activities of a search engine operator are secondary to the ones of the website publishers, its intervention only occurs after such special categories of data have been published on the Internet.</w:t>
      </w:r>
      <w:r w:rsidRPr="00A43DB3">
        <w:rPr>
          <w:rStyle w:val="Refdenotaderodap"/>
          <w:rFonts w:ascii="Times New Roman" w:hAnsi="Times New Roman" w:cs="Times New Roman"/>
          <w:sz w:val="24"/>
          <w:szCs w:val="24"/>
        </w:rPr>
        <w:footnoteReference w:id="138"/>
      </w:r>
      <w:r w:rsidRPr="00A43DB3">
        <w:rPr>
          <w:rFonts w:ascii="Times New Roman" w:hAnsi="Times New Roman" w:cs="Times New Roman"/>
          <w:sz w:val="24"/>
          <w:szCs w:val="24"/>
        </w:rPr>
        <w:t xml:space="preserve"> In this sense, the AG seemed to require </w:t>
      </w:r>
      <w:r w:rsidRPr="00A43DB3">
        <w:rPr>
          <w:rFonts w:ascii="Times New Roman" w:hAnsi="Times New Roman" w:cs="Times New Roman"/>
          <w:i/>
          <w:iCs/>
          <w:sz w:val="24"/>
          <w:szCs w:val="24"/>
        </w:rPr>
        <w:t>ex ante</w:t>
      </w:r>
      <w:r w:rsidRPr="00A43DB3">
        <w:rPr>
          <w:rFonts w:ascii="Times New Roman" w:hAnsi="Times New Roman" w:cs="Times New Roman"/>
          <w:sz w:val="24"/>
          <w:szCs w:val="24"/>
        </w:rPr>
        <w:t xml:space="preserve"> obligations from search engine operators only in accordance with their primary activities, such as ‘finding information published or placed on the internet by third parties, indexing it automatically, storing it temporarily and, finally, making it available to internet users according to a particular order of preference’,</w:t>
      </w:r>
      <w:r w:rsidRPr="00A43DB3">
        <w:rPr>
          <w:rStyle w:val="Refdenotaderodap"/>
          <w:rFonts w:ascii="Times New Roman" w:hAnsi="Times New Roman" w:cs="Times New Roman"/>
          <w:sz w:val="24"/>
          <w:szCs w:val="24"/>
        </w:rPr>
        <w:footnoteReference w:id="139"/>
      </w:r>
      <w:r w:rsidRPr="00A43DB3">
        <w:rPr>
          <w:rFonts w:ascii="Times New Roman" w:hAnsi="Times New Roman" w:cs="Times New Roman"/>
          <w:sz w:val="24"/>
          <w:szCs w:val="24"/>
        </w:rPr>
        <w:t xml:space="preserve"> as has already been illustrated in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xml:space="preserve">. </w:t>
      </w:r>
    </w:p>
    <w:p w14:paraId="0BB12B8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fact, both the AG and the Court agreed that the prohibitions and restrictions enshrined in Article 8(1) and (5) DPD, and the corresponding Articles 9(1) and 10 GDPR, imply </w:t>
      </w:r>
      <w:r w:rsidRPr="00A43DB3">
        <w:rPr>
          <w:rFonts w:ascii="Times New Roman" w:hAnsi="Times New Roman" w:cs="Times New Roman"/>
          <w:i/>
          <w:iCs/>
          <w:sz w:val="24"/>
          <w:szCs w:val="24"/>
        </w:rPr>
        <w:t>an ex post facto</w:t>
      </w:r>
      <w:r w:rsidRPr="00A43DB3">
        <w:rPr>
          <w:rFonts w:ascii="Times New Roman" w:hAnsi="Times New Roman" w:cs="Times New Roman"/>
          <w:sz w:val="24"/>
          <w:szCs w:val="24"/>
        </w:rPr>
        <w:t xml:space="preserve"> assessment, depending on a de-listing request by data subjects.</w:t>
      </w:r>
      <w:r w:rsidRPr="00A43DB3">
        <w:rPr>
          <w:rStyle w:val="Refdenotaderodap"/>
          <w:rFonts w:ascii="Times New Roman" w:hAnsi="Times New Roman" w:cs="Times New Roman"/>
          <w:sz w:val="24"/>
          <w:szCs w:val="24"/>
        </w:rPr>
        <w:footnoteReference w:id="140"/>
      </w:r>
      <w:r w:rsidRPr="00A43DB3">
        <w:rPr>
          <w:rFonts w:ascii="Times New Roman" w:hAnsi="Times New Roman" w:cs="Times New Roman"/>
          <w:sz w:val="24"/>
          <w:szCs w:val="24"/>
        </w:rPr>
        <w:t xml:space="preserve"> </w:t>
      </w:r>
      <w:proofErr w:type="spellStart"/>
      <w:r w:rsidRPr="00A43DB3">
        <w:rPr>
          <w:rFonts w:ascii="Times New Roman" w:hAnsi="Times New Roman" w:cs="Times New Roman"/>
          <w:sz w:val="24"/>
          <w:szCs w:val="24"/>
        </w:rPr>
        <w:t>Globocnik</w:t>
      </w:r>
      <w:proofErr w:type="spellEnd"/>
      <w:r w:rsidRPr="00A43DB3">
        <w:rPr>
          <w:rFonts w:ascii="Times New Roman" w:hAnsi="Times New Roman" w:cs="Times New Roman"/>
          <w:sz w:val="24"/>
          <w:szCs w:val="24"/>
        </w:rPr>
        <w:t xml:space="preserve"> argues that the decision allowing for an </w:t>
      </w:r>
      <w:r w:rsidRPr="00A43DB3">
        <w:rPr>
          <w:rFonts w:ascii="Times New Roman" w:hAnsi="Times New Roman" w:cs="Times New Roman"/>
          <w:i/>
          <w:iCs/>
          <w:sz w:val="24"/>
          <w:szCs w:val="24"/>
        </w:rPr>
        <w:t>ex post</w:t>
      </w:r>
      <w:r w:rsidRPr="00A43DB3">
        <w:rPr>
          <w:rFonts w:ascii="Times New Roman" w:hAnsi="Times New Roman" w:cs="Times New Roman"/>
          <w:sz w:val="24"/>
          <w:szCs w:val="24"/>
        </w:rPr>
        <w:t xml:space="preserve"> assessment regarding the legality of the processing of sensitive data has created an exception only applicable to search engine </w:t>
      </w:r>
      <w:r w:rsidRPr="00A43DB3">
        <w:rPr>
          <w:rFonts w:ascii="Times New Roman" w:hAnsi="Times New Roman" w:cs="Times New Roman"/>
          <w:sz w:val="24"/>
          <w:szCs w:val="24"/>
        </w:rPr>
        <w:lastRenderedPageBreak/>
        <w:t>operators.</w:t>
      </w:r>
      <w:r w:rsidRPr="00A43DB3">
        <w:rPr>
          <w:rStyle w:val="Refdenotaderodap"/>
          <w:rFonts w:ascii="Times New Roman" w:hAnsi="Times New Roman" w:cs="Times New Roman"/>
          <w:sz w:val="24"/>
          <w:szCs w:val="24"/>
        </w:rPr>
        <w:footnoteReference w:id="141"/>
      </w:r>
      <w:r w:rsidRPr="00A43DB3">
        <w:rPr>
          <w:rFonts w:ascii="Times New Roman" w:hAnsi="Times New Roman" w:cs="Times New Roman"/>
          <w:sz w:val="24"/>
          <w:szCs w:val="24"/>
        </w:rPr>
        <w:t xml:space="preserve"> The Court also stipulated that such verification must happen under the supervision of the competent national authorities.</w:t>
      </w:r>
      <w:r w:rsidRPr="00A43DB3">
        <w:rPr>
          <w:rStyle w:val="Refdenotaderodap"/>
          <w:rFonts w:ascii="Times New Roman" w:hAnsi="Times New Roman" w:cs="Times New Roman"/>
          <w:sz w:val="24"/>
          <w:szCs w:val="24"/>
        </w:rPr>
        <w:footnoteReference w:id="142"/>
      </w:r>
    </w:p>
    <w:p w14:paraId="26DF74CB"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As has been mentioned in the previous chapter, the Court has not discussed in </w:t>
      </w:r>
      <w:r w:rsidRPr="00A43DB3">
        <w:rPr>
          <w:rFonts w:ascii="Times New Roman" w:hAnsi="Times New Roman" w:cs="Times New Roman"/>
          <w:i/>
          <w:iCs/>
          <w:sz w:val="24"/>
          <w:szCs w:val="24"/>
        </w:rPr>
        <w:t xml:space="preserve">Google Spain </w:t>
      </w:r>
      <w:r w:rsidRPr="00A43DB3">
        <w:rPr>
          <w:rFonts w:ascii="Times New Roman" w:hAnsi="Times New Roman" w:cs="Times New Roman"/>
          <w:sz w:val="24"/>
          <w:szCs w:val="24"/>
        </w:rPr>
        <w:t>what proactive measures</w:t>
      </w:r>
      <w:r w:rsidRPr="00A43DB3">
        <w:rPr>
          <w:rFonts w:ascii="Times New Roman" w:hAnsi="Times New Roman" w:cs="Times New Roman"/>
          <w:i/>
          <w:iCs/>
          <w:sz w:val="24"/>
          <w:szCs w:val="24"/>
        </w:rPr>
        <w:t xml:space="preserve"> </w:t>
      </w:r>
      <w:r w:rsidRPr="00A43DB3">
        <w:rPr>
          <w:rFonts w:ascii="Times New Roman" w:hAnsi="Times New Roman" w:cs="Times New Roman"/>
          <w:sz w:val="24"/>
          <w:szCs w:val="24"/>
        </w:rPr>
        <w:t xml:space="preserve">search engine providers should adopt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impede the processing of personal data that violates data protection laws. Nevertheless, it can be assumed that the proactive measures must also take account of the responsibilities, </w:t>
      </w:r>
      <w:proofErr w:type="gramStart"/>
      <w:r w:rsidRPr="00A43DB3">
        <w:rPr>
          <w:rFonts w:ascii="Times New Roman" w:hAnsi="Times New Roman" w:cs="Times New Roman"/>
          <w:sz w:val="24"/>
          <w:szCs w:val="24"/>
        </w:rPr>
        <w:t>powers</w:t>
      </w:r>
      <w:proofErr w:type="gramEnd"/>
      <w:r w:rsidRPr="00A43DB3">
        <w:rPr>
          <w:rFonts w:ascii="Times New Roman" w:hAnsi="Times New Roman" w:cs="Times New Roman"/>
          <w:sz w:val="24"/>
          <w:szCs w:val="24"/>
        </w:rPr>
        <w:t xml:space="preserve"> and capabilities of the search engine operator as controllers. </w:t>
      </w:r>
    </w:p>
    <w:p w14:paraId="659063AA"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The Court was prudent not to unduly create a general ban on the processing of sensitive data, which could lead to the hampering of the freedom of expression and information. As a result, such processing will be regularly authorised, even if none of the exceptions provided for by the legislation apply, unless the data subject takes active measures to address a removal request regarding links to web pages which contain these special categories of personal data before search engine operators. </w:t>
      </w:r>
    </w:p>
    <w:p w14:paraId="6F4C5B61" w14:textId="77777777" w:rsidR="00481564" w:rsidRPr="00A43DB3" w:rsidRDefault="00481564" w:rsidP="00481564">
      <w:pPr>
        <w:spacing w:line="360" w:lineRule="auto"/>
        <w:jc w:val="both"/>
        <w:rPr>
          <w:rFonts w:ascii="Times New Roman" w:hAnsi="Times New Roman" w:cs="Times New Roman"/>
          <w:sz w:val="24"/>
          <w:szCs w:val="24"/>
        </w:rPr>
      </w:pPr>
    </w:p>
    <w:p w14:paraId="5F5A8449" w14:textId="77777777" w:rsidR="00481564" w:rsidRPr="00A43DB3" w:rsidRDefault="00481564" w:rsidP="00481564">
      <w:pPr>
        <w:spacing w:line="360" w:lineRule="auto"/>
        <w:jc w:val="both"/>
        <w:rPr>
          <w:rFonts w:ascii="Times New Roman" w:hAnsi="Times New Roman" w:cs="Times New Roman"/>
          <w:sz w:val="24"/>
          <w:szCs w:val="24"/>
        </w:rPr>
      </w:pPr>
    </w:p>
    <w:p w14:paraId="2E91BBAA" w14:textId="77777777" w:rsidR="00481564" w:rsidRPr="00A43DB3" w:rsidRDefault="00481564" w:rsidP="00481564">
      <w:pPr>
        <w:pStyle w:val="PargrafodaLista"/>
        <w:numPr>
          <w:ilvl w:val="1"/>
          <w:numId w:val="8"/>
        </w:numPr>
        <w:spacing w:line="360" w:lineRule="auto"/>
        <w:jc w:val="both"/>
        <w:rPr>
          <w:rFonts w:ascii="Times New Roman" w:hAnsi="Times New Roman" w:cs="Times New Roman"/>
          <w:b/>
          <w:bCs/>
          <w:sz w:val="24"/>
          <w:szCs w:val="24"/>
        </w:rPr>
      </w:pPr>
      <w:bookmarkStart w:id="53" w:name="_Hlk111705323"/>
      <w:r w:rsidRPr="00A43DB3">
        <w:rPr>
          <w:rFonts w:ascii="Times New Roman" w:hAnsi="Times New Roman" w:cs="Times New Roman"/>
          <w:b/>
          <w:bCs/>
          <w:sz w:val="24"/>
          <w:szCs w:val="24"/>
        </w:rPr>
        <w:t>The grant of a de-referencing request involving sensitive data: mandatory or discretionary?</w:t>
      </w:r>
    </w:p>
    <w:bookmarkEnd w:id="53"/>
    <w:p w14:paraId="27D925C0"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Through the second and third groups of questions the referring court sought to understand, in essence, whether de-referencing requests involving sensitive data should be granted systematically or after the balancing of interests on a case-by-case basis. Further, whether search engine operators could refuse a de-referencing request if they establish that the sensitive data on the source website were lawfully published in accordance with one of the exceptions in Article 8(2) DPD – in particular explicit consent and data manifestly made public by the data subject, enshrined in points (a) and (e) of this Article - as well as concerning sensitive data published solely for journalistic purposes or for the purposes of artistic or literary expression, which comprise the exceptions of Article 9 DPD. Such provisions were reproduced in Article 9(2)(a) and (e) and Article 85 GDPR, respectively.</w:t>
      </w:r>
    </w:p>
    <w:p w14:paraId="508A0B0B"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lastRenderedPageBreak/>
        <w:t>The AG advocated for the systematic grant of the request,</w:t>
      </w:r>
      <w:r w:rsidRPr="00A43DB3">
        <w:rPr>
          <w:rStyle w:val="Refdenotaderodap"/>
          <w:rFonts w:ascii="Times New Roman" w:hAnsi="Times New Roman" w:cs="Times New Roman"/>
          <w:sz w:val="24"/>
          <w:szCs w:val="24"/>
        </w:rPr>
        <w:footnoteReference w:id="143"/>
      </w:r>
      <w:r w:rsidRPr="00A43DB3">
        <w:rPr>
          <w:rFonts w:ascii="Times New Roman" w:hAnsi="Times New Roman" w:cs="Times New Roman"/>
          <w:sz w:val="24"/>
          <w:szCs w:val="24"/>
        </w:rPr>
        <w:t xml:space="preserve"> once he saw no room for such a balancing test under the auspices of Article 8 DPD. According to him, </w:t>
      </w:r>
      <w:proofErr w:type="gramStart"/>
      <w:r w:rsidRPr="00A43DB3">
        <w:rPr>
          <w:rFonts w:ascii="Times New Roman" w:hAnsi="Times New Roman" w:cs="Times New Roman"/>
          <w:sz w:val="24"/>
          <w:szCs w:val="24"/>
        </w:rPr>
        <w:t>as long as</w:t>
      </w:r>
      <w:proofErr w:type="gramEnd"/>
      <w:r w:rsidRPr="00A43DB3">
        <w:rPr>
          <w:rFonts w:ascii="Times New Roman" w:hAnsi="Times New Roman" w:cs="Times New Roman"/>
          <w:sz w:val="24"/>
          <w:szCs w:val="24"/>
        </w:rPr>
        <w:t xml:space="preserve"> there exists the processing of sensitive data, a de-referencing request should be granted to the benefit of the data subject.</w:t>
      </w:r>
      <w:r w:rsidRPr="00A43DB3">
        <w:rPr>
          <w:rStyle w:val="Refdenotaderodap"/>
          <w:rFonts w:ascii="Times New Roman" w:hAnsi="Times New Roman" w:cs="Times New Roman"/>
          <w:sz w:val="24"/>
          <w:szCs w:val="24"/>
        </w:rPr>
        <w:footnoteReference w:id="144"/>
      </w:r>
      <w:r w:rsidRPr="00A43DB3">
        <w:rPr>
          <w:rFonts w:ascii="Times New Roman" w:hAnsi="Times New Roman" w:cs="Times New Roman"/>
          <w:sz w:val="24"/>
          <w:szCs w:val="24"/>
        </w:rPr>
        <w:t xml:space="preserve"> He also based his opinion on the fact that the GDPR has even extended the hypotheses for the prohibition of the processing of sensitive data</w:t>
      </w:r>
      <w:r w:rsidRPr="00A43DB3">
        <w:rPr>
          <w:rStyle w:val="Refdenotaderodap"/>
          <w:rFonts w:ascii="Times New Roman" w:hAnsi="Times New Roman" w:cs="Times New Roman"/>
          <w:sz w:val="24"/>
          <w:szCs w:val="24"/>
        </w:rPr>
        <w:footnoteReference w:id="145"/>
      </w:r>
      <w:r w:rsidRPr="00A43DB3">
        <w:rPr>
          <w:rFonts w:ascii="Times New Roman" w:hAnsi="Times New Roman" w:cs="Times New Roman"/>
          <w:sz w:val="24"/>
          <w:szCs w:val="24"/>
        </w:rPr>
        <w:t xml:space="preserve"> by including genetic data and biometric data to such list. </w:t>
      </w:r>
    </w:p>
    <w:p w14:paraId="5AD68C1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On those grounds, because the Directive generally considers the processing of sensitive data unlawful, the purpose of Article 8(1) and (5) DPD aims to prevent the dissemination of these special categories of data by search engines. Hence, in consonance with the AG’s reasoning, when the latter process such data, it would also be regarded as unlawful, ‘at least from the time when that operator has not granted a request for de-referencing’.</w:t>
      </w:r>
      <w:r w:rsidRPr="00A43DB3">
        <w:rPr>
          <w:rStyle w:val="Refdenotaderodap"/>
          <w:rFonts w:ascii="Times New Roman" w:hAnsi="Times New Roman" w:cs="Times New Roman"/>
          <w:sz w:val="24"/>
          <w:szCs w:val="24"/>
        </w:rPr>
        <w:footnoteReference w:id="146"/>
      </w:r>
      <w:r w:rsidRPr="00A43DB3">
        <w:rPr>
          <w:rFonts w:ascii="Times New Roman" w:hAnsi="Times New Roman" w:cs="Times New Roman"/>
          <w:sz w:val="24"/>
          <w:szCs w:val="24"/>
        </w:rPr>
        <w:t xml:space="preserve"> By contrast, the Court reasoned that Article 17(3)(a) GDPR expressly stipulates a requirement to resort to a balancing test,</w:t>
      </w:r>
      <w:r w:rsidRPr="00A43DB3">
        <w:rPr>
          <w:rStyle w:val="Refdenotaderodap"/>
          <w:rFonts w:ascii="Times New Roman" w:hAnsi="Times New Roman" w:cs="Times New Roman"/>
          <w:sz w:val="24"/>
          <w:szCs w:val="24"/>
        </w:rPr>
        <w:footnoteReference w:id="147"/>
      </w:r>
      <w:r w:rsidRPr="00A43DB3">
        <w:rPr>
          <w:rFonts w:ascii="Times New Roman" w:hAnsi="Times New Roman" w:cs="Times New Roman"/>
          <w:sz w:val="24"/>
          <w:szCs w:val="24"/>
        </w:rPr>
        <w:t xml:space="preserve"> in which the search engine operator must assess each specificity on a case-by-case basis, that is to say, not in a systematic manner. In this sense, if the requests were systematically granted, as it was advocated by the AG, despite leading to some legal certainty, it would have curtailed the discretion of search engine operators and neglected the cautious assessment of the diverging interests in each case. </w:t>
      </w:r>
    </w:p>
    <w:p w14:paraId="73C97285"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so far as the AG recognised that the prohibitions of processing apply, he considered that, in principle, the exceptions also apply.</w:t>
      </w:r>
      <w:r w:rsidRPr="00A43DB3">
        <w:rPr>
          <w:rStyle w:val="Refdenotaderodap"/>
          <w:rFonts w:ascii="Times New Roman" w:hAnsi="Times New Roman" w:cs="Times New Roman"/>
          <w:sz w:val="24"/>
          <w:szCs w:val="24"/>
        </w:rPr>
        <w:footnoteReference w:id="148"/>
      </w:r>
      <w:r w:rsidRPr="00A43DB3">
        <w:rPr>
          <w:rFonts w:ascii="Times New Roman" w:hAnsi="Times New Roman" w:cs="Times New Roman"/>
          <w:sz w:val="24"/>
          <w:szCs w:val="24"/>
        </w:rPr>
        <w:t xml:space="preserve"> Nevertheless, he did not discuss in depth the two exceptions brought by the referring court, </w:t>
      </w:r>
      <w:proofErr w:type="gramStart"/>
      <w:r w:rsidRPr="00A43DB3">
        <w:rPr>
          <w:rFonts w:ascii="Times New Roman" w:hAnsi="Times New Roman" w:cs="Times New Roman"/>
          <w:sz w:val="24"/>
          <w:szCs w:val="24"/>
        </w:rPr>
        <w:t>i.e.</w:t>
      </w:r>
      <w:proofErr w:type="gramEnd"/>
      <w:r w:rsidRPr="00A43DB3">
        <w:rPr>
          <w:rFonts w:ascii="Times New Roman" w:hAnsi="Times New Roman" w:cs="Times New Roman"/>
          <w:sz w:val="24"/>
          <w:szCs w:val="24"/>
        </w:rPr>
        <w:t xml:space="preserve"> explicit consent and data made public. The Court agreed with such understanding,</w:t>
      </w:r>
      <w:r w:rsidRPr="00A43DB3">
        <w:rPr>
          <w:rStyle w:val="Refdenotaderodap"/>
          <w:rFonts w:ascii="Times New Roman" w:hAnsi="Times New Roman" w:cs="Times New Roman"/>
          <w:sz w:val="24"/>
          <w:szCs w:val="24"/>
        </w:rPr>
        <w:footnoteReference w:id="149"/>
      </w:r>
      <w:r w:rsidRPr="00A43DB3">
        <w:rPr>
          <w:rFonts w:ascii="Times New Roman" w:hAnsi="Times New Roman" w:cs="Times New Roman"/>
          <w:sz w:val="24"/>
          <w:szCs w:val="24"/>
        </w:rPr>
        <w:t xml:space="preserve"> and argued that in the context of a search engine it is hardly plausible that its operator will obtain the express consent of individuals before processing sensitive data which relate to them. Notwithstanding, a de-referencing request made by data subjects may indicate, in principle, that they withdrew their consent.</w:t>
      </w:r>
      <w:r w:rsidRPr="00A43DB3">
        <w:rPr>
          <w:rStyle w:val="Refdenotaderodap"/>
          <w:rFonts w:ascii="Times New Roman" w:hAnsi="Times New Roman" w:cs="Times New Roman"/>
          <w:sz w:val="24"/>
          <w:szCs w:val="24"/>
        </w:rPr>
        <w:footnoteReference w:id="150"/>
      </w:r>
      <w:r w:rsidRPr="00A43DB3">
        <w:rPr>
          <w:rFonts w:ascii="Times New Roman" w:hAnsi="Times New Roman" w:cs="Times New Roman"/>
          <w:sz w:val="24"/>
          <w:szCs w:val="24"/>
        </w:rPr>
        <w:t xml:space="preserve"> On the other hand, the exemption related to data manifestly made public by the very data subject can be claimed by both the original publisher and the search </w:t>
      </w:r>
      <w:r w:rsidRPr="00A43DB3">
        <w:rPr>
          <w:rFonts w:ascii="Times New Roman" w:hAnsi="Times New Roman" w:cs="Times New Roman"/>
          <w:sz w:val="24"/>
          <w:szCs w:val="24"/>
        </w:rPr>
        <w:lastRenderedPageBreak/>
        <w:t>engine operator</w:t>
      </w:r>
      <w:r w:rsidRPr="00A43DB3">
        <w:rPr>
          <w:rStyle w:val="Refdenotaderodap"/>
          <w:rFonts w:ascii="Times New Roman" w:hAnsi="Times New Roman" w:cs="Times New Roman"/>
          <w:sz w:val="24"/>
          <w:szCs w:val="24"/>
        </w:rPr>
        <w:footnoteReference w:id="151"/>
      </w:r>
      <w:r w:rsidRPr="00A43DB3">
        <w:rPr>
          <w:rFonts w:ascii="Times New Roman" w:hAnsi="Times New Roman" w:cs="Times New Roman"/>
          <w:sz w:val="24"/>
          <w:szCs w:val="24"/>
        </w:rPr>
        <w:t xml:space="preserve">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continue with the processing. However, in the same way, this exemption does not occur frequently, once it is unlikely that the data subject will publish sensitive information about himself. It is more usual, as it has occurred in </w:t>
      </w:r>
      <w:r w:rsidRPr="00A43DB3">
        <w:rPr>
          <w:rFonts w:ascii="Times New Roman" w:hAnsi="Times New Roman" w:cs="Times New Roman"/>
          <w:i/>
          <w:iCs/>
          <w:sz w:val="24"/>
          <w:szCs w:val="24"/>
        </w:rPr>
        <w:t>Lindqvist</w:t>
      </w:r>
      <w:r w:rsidRPr="00A43DB3">
        <w:rPr>
          <w:rFonts w:ascii="Times New Roman" w:hAnsi="Times New Roman" w:cs="Times New Roman"/>
          <w:sz w:val="24"/>
          <w:szCs w:val="24"/>
        </w:rPr>
        <w:t>,</w:t>
      </w:r>
      <w:r w:rsidRPr="00A43DB3">
        <w:rPr>
          <w:rStyle w:val="Refdenotaderodap"/>
          <w:rFonts w:ascii="Times New Roman" w:hAnsi="Times New Roman" w:cs="Times New Roman"/>
          <w:sz w:val="24"/>
          <w:szCs w:val="24"/>
        </w:rPr>
        <w:footnoteReference w:id="152"/>
      </w:r>
      <w:r w:rsidRPr="00A43DB3">
        <w:rPr>
          <w:rFonts w:ascii="Times New Roman" w:hAnsi="Times New Roman" w:cs="Times New Roman"/>
          <w:sz w:val="24"/>
          <w:szCs w:val="24"/>
        </w:rPr>
        <w:t xml:space="preserve"> that other people, such as colleagues or journalists, reveal such type of content on social networks or in the press, for example. Nevertheless, in the specific case of A.F., one of the plaintiffs in </w:t>
      </w:r>
      <w:r w:rsidRPr="00A43DB3">
        <w:rPr>
          <w:rFonts w:ascii="Times New Roman" w:hAnsi="Times New Roman" w:cs="Times New Roman"/>
          <w:i/>
          <w:iCs/>
          <w:sz w:val="24"/>
          <w:szCs w:val="24"/>
        </w:rPr>
        <w:t>GC and Others</w:t>
      </w:r>
      <w:r w:rsidRPr="00A43DB3">
        <w:rPr>
          <w:rFonts w:ascii="Times New Roman" w:hAnsi="Times New Roman" w:cs="Times New Roman"/>
          <w:sz w:val="24"/>
          <w:szCs w:val="24"/>
        </w:rPr>
        <w:t>, he commented on the facts with a journalist, as the Court mentioned.</w:t>
      </w:r>
      <w:r w:rsidRPr="00A43DB3">
        <w:rPr>
          <w:rStyle w:val="Refdenotaderodap"/>
          <w:rFonts w:ascii="Times New Roman" w:hAnsi="Times New Roman" w:cs="Times New Roman"/>
          <w:sz w:val="24"/>
          <w:szCs w:val="24"/>
        </w:rPr>
        <w:footnoteReference w:id="153"/>
      </w:r>
      <w:r w:rsidRPr="00A43DB3">
        <w:rPr>
          <w:rFonts w:ascii="Times New Roman" w:hAnsi="Times New Roman" w:cs="Times New Roman"/>
          <w:sz w:val="24"/>
          <w:szCs w:val="24"/>
        </w:rPr>
        <w:t xml:space="preserve"> In this regard, neither the AG nor the Court has sufficiently discussed the topic. In any event, despite the processing of sensitive data being prohibited, </w:t>
      </w:r>
      <w:proofErr w:type="gramStart"/>
      <w:r w:rsidRPr="00A43DB3">
        <w:rPr>
          <w:rFonts w:ascii="Times New Roman" w:hAnsi="Times New Roman" w:cs="Times New Roman"/>
          <w:sz w:val="24"/>
          <w:szCs w:val="24"/>
        </w:rPr>
        <w:t>as a general rule</w:t>
      </w:r>
      <w:proofErr w:type="gramEnd"/>
      <w:r w:rsidRPr="00A43DB3">
        <w:rPr>
          <w:rFonts w:ascii="Times New Roman" w:hAnsi="Times New Roman" w:cs="Times New Roman"/>
          <w:sz w:val="24"/>
          <w:szCs w:val="24"/>
        </w:rPr>
        <w:t xml:space="preserve">, when one of the exceptions is satisfied, the processing by a search engine operator will be lawful, provided that the other requirements of lawfulness laid down by the GDPR are also met. </w:t>
      </w:r>
    </w:p>
    <w:p w14:paraId="123B578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Regarding the journalistic exemption, the AG recalled that in </w:t>
      </w:r>
      <w:r w:rsidRPr="00A43DB3">
        <w:rPr>
          <w:rFonts w:ascii="Times New Roman" w:hAnsi="Times New Roman" w:cs="Times New Roman"/>
          <w:i/>
          <w:iCs/>
          <w:sz w:val="24"/>
          <w:szCs w:val="24"/>
        </w:rPr>
        <w:t xml:space="preserve">Google Spain </w:t>
      </w:r>
      <w:r w:rsidRPr="00A43DB3">
        <w:rPr>
          <w:rFonts w:ascii="Times New Roman" w:hAnsi="Times New Roman" w:cs="Times New Roman"/>
          <w:sz w:val="24"/>
          <w:szCs w:val="24"/>
        </w:rPr>
        <w:t>it was declared that a de-referencing request may succeed against the search engine provider but not against the original publisher in case the such exemption applies,</w:t>
      </w:r>
      <w:r w:rsidRPr="00A43DB3">
        <w:rPr>
          <w:rStyle w:val="Refdenotaderodap"/>
          <w:rFonts w:ascii="Times New Roman" w:hAnsi="Times New Roman" w:cs="Times New Roman"/>
          <w:sz w:val="24"/>
          <w:szCs w:val="24"/>
        </w:rPr>
        <w:footnoteReference w:id="154"/>
      </w:r>
      <w:r w:rsidRPr="00A43DB3">
        <w:rPr>
          <w:rFonts w:ascii="Times New Roman" w:hAnsi="Times New Roman" w:cs="Times New Roman"/>
          <w:sz w:val="24"/>
          <w:szCs w:val="24"/>
        </w:rPr>
        <w:t xml:space="preserve"> and that there is a tendency to interpret it as meaning that such exemption cannot be argued in favour of the search engine operator, however this does not hold true.</w:t>
      </w:r>
      <w:r w:rsidRPr="00A43DB3">
        <w:rPr>
          <w:rStyle w:val="Refdenotaderodap"/>
          <w:rFonts w:ascii="Times New Roman" w:hAnsi="Times New Roman" w:cs="Times New Roman"/>
          <w:sz w:val="24"/>
          <w:szCs w:val="24"/>
        </w:rPr>
        <w:footnoteReference w:id="155"/>
      </w:r>
      <w:r w:rsidRPr="00A43DB3">
        <w:rPr>
          <w:rFonts w:ascii="Times New Roman" w:hAnsi="Times New Roman" w:cs="Times New Roman"/>
          <w:sz w:val="24"/>
          <w:szCs w:val="24"/>
        </w:rPr>
        <w:t xml:space="preserve"> For the AG, the CJEU must have meant that Article 9 DPD does not apply directly to search engine operators. In any event, for the AG, the removal request should be addressed in the first place to the publisher but can indirectly be submitted to the search engine operator and, once the journalistic exception applies to the source website, the search engine operator may refuse the request,</w:t>
      </w:r>
      <w:r w:rsidRPr="00A43DB3">
        <w:rPr>
          <w:rStyle w:val="Refdenotaderodap"/>
          <w:rFonts w:ascii="Times New Roman" w:hAnsi="Times New Roman" w:cs="Times New Roman"/>
          <w:sz w:val="24"/>
          <w:szCs w:val="24"/>
        </w:rPr>
        <w:footnoteReference w:id="156"/>
      </w:r>
      <w:r w:rsidRPr="00A43DB3">
        <w:rPr>
          <w:rFonts w:ascii="Times New Roman" w:hAnsi="Times New Roman" w:cs="Times New Roman"/>
          <w:sz w:val="24"/>
          <w:szCs w:val="24"/>
        </w:rPr>
        <w:t xml:space="preserve"> following the balancing of divergent interests of data subjects, on the one hand, and Internet users, on the other. </w:t>
      </w:r>
    </w:p>
    <w:p w14:paraId="099A59D3"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Apart from the two exemptions in relation to which the referring court sought clarification, the CJEU also drew upon Article 9(2)(g) GDPR, which in essence replicates Article 8(4) DPD, and that permits the processing of special categories of data where it is necessary for reasons of substantial public interest, where provided by European Union or Member State law.</w:t>
      </w:r>
      <w:r w:rsidRPr="00A43DB3">
        <w:rPr>
          <w:rStyle w:val="Refdenotaderodap"/>
          <w:rFonts w:ascii="Times New Roman" w:hAnsi="Times New Roman" w:cs="Times New Roman"/>
          <w:sz w:val="24"/>
          <w:szCs w:val="24"/>
        </w:rPr>
        <w:footnoteReference w:id="157"/>
      </w:r>
      <w:r w:rsidRPr="00A43DB3">
        <w:rPr>
          <w:rFonts w:ascii="Times New Roman" w:hAnsi="Times New Roman" w:cs="Times New Roman"/>
          <w:sz w:val="24"/>
          <w:szCs w:val="24"/>
        </w:rPr>
        <w:t xml:space="preserve"> Arguably, the Court could have reasoned the matter under Article 17(3)(a) GDPR, once it specifically refers to the right to erasure, which does not apply to </w:t>
      </w:r>
      <w:r w:rsidRPr="00A43DB3">
        <w:rPr>
          <w:rFonts w:ascii="Times New Roman" w:hAnsi="Times New Roman" w:cs="Times New Roman"/>
          <w:sz w:val="24"/>
          <w:szCs w:val="24"/>
        </w:rPr>
        <w:lastRenderedPageBreak/>
        <w:t xml:space="preserve">the processing, whether lawful or not, of personal data when it is necessary for exercising the right of freedom of expression and information, rather than under Article 9(2)(g) GDPR, which merely addresses the processing of sensitive data. For instance, in </w:t>
      </w:r>
      <w:r w:rsidRPr="00A43DB3">
        <w:rPr>
          <w:rFonts w:ascii="Times New Roman" w:hAnsi="Times New Roman" w:cs="Times New Roman"/>
          <w:i/>
          <w:iCs/>
          <w:sz w:val="24"/>
          <w:szCs w:val="24"/>
        </w:rPr>
        <w:t>M.L. and W.W. v Germany</w:t>
      </w:r>
      <w:r w:rsidRPr="00A43DB3">
        <w:rPr>
          <w:rFonts w:ascii="Times New Roman" w:hAnsi="Times New Roman" w:cs="Times New Roman"/>
          <w:sz w:val="24"/>
          <w:szCs w:val="24"/>
        </w:rPr>
        <w:t>, it was held by the ECHR that the freedom of information outweighed the right to privacy of two convicted murderers who sought for the anonymisation of online content regarding their convictions.</w:t>
      </w:r>
      <w:r w:rsidRPr="00A43DB3">
        <w:rPr>
          <w:rStyle w:val="Refdenotaderodap"/>
          <w:rFonts w:ascii="Times New Roman" w:hAnsi="Times New Roman" w:cs="Times New Roman"/>
          <w:sz w:val="24"/>
          <w:szCs w:val="24"/>
        </w:rPr>
        <w:footnoteReference w:id="158"/>
      </w:r>
    </w:p>
    <w:p w14:paraId="01749D77"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Nevertheless, the search engine operator must ascertain, taking into account the substantial public interest and the compliance requirements referred to in these articles, whether the indexing of the link to the web page is essential for protecting the freedom of information of Internet users, according with Article 11 of the Charter, or whether the general rule of prohibiting the processing of sensitive data is more adequate to the specific case at hand, after exercising a balancing test.</w:t>
      </w:r>
      <w:r w:rsidRPr="00A43DB3">
        <w:rPr>
          <w:rStyle w:val="Refdenotaderodap"/>
          <w:rFonts w:ascii="Times New Roman" w:hAnsi="Times New Roman" w:cs="Times New Roman"/>
          <w:sz w:val="24"/>
          <w:szCs w:val="24"/>
        </w:rPr>
        <w:footnoteReference w:id="159"/>
      </w:r>
      <w:r w:rsidRPr="00A43DB3">
        <w:rPr>
          <w:rFonts w:ascii="Times New Roman" w:hAnsi="Times New Roman" w:cs="Times New Roman"/>
          <w:sz w:val="24"/>
          <w:szCs w:val="24"/>
        </w:rPr>
        <w:t xml:space="preserve"> Despite not expressly referring to the journalistic exemption, the Court seemed to have answered such question through the considerations regarding substantial public interest and freedom of expression. Perhaps the CJEU preferred to abstain from considering Article 9 DPD and Article 85 GDPR, concerning the journalistic exemption, since they are not addressed to controllers, but to Member States, which must legislate on the matter, </w:t>
      </w:r>
      <w:proofErr w:type="gramStart"/>
      <w:r w:rsidRPr="00A43DB3">
        <w:rPr>
          <w:rFonts w:ascii="Times New Roman" w:hAnsi="Times New Roman" w:cs="Times New Roman"/>
          <w:sz w:val="24"/>
          <w:szCs w:val="24"/>
        </w:rPr>
        <w:t>in particular because</w:t>
      </w:r>
      <w:proofErr w:type="gramEnd"/>
      <w:r w:rsidRPr="00A43DB3">
        <w:rPr>
          <w:rFonts w:ascii="Times New Roman" w:hAnsi="Times New Roman" w:cs="Times New Roman"/>
          <w:sz w:val="24"/>
          <w:szCs w:val="24"/>
        </w:rPr>
        <w:t xml:space="preserve"> its interpretation may vary from one Member State to another. In any event, an express explanation would have been welcomed. </w:t>
      </w:r>
    </w:p>
    <w:p w14:paraId="71C99F5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this sense, it was decided that the grant of the removal request is not systematic, but must follow a fair balancing,</w:t>
      </w:r>
      <w:r w:rsidRPr="00A43DB3">
        <w:rPr>
          <w:rStyle w:val="Refdenotaderodap"/>
          <w:rFonts w:ascii="Times New Roman" w:hAnsi="Times New Roman" w:cs="Times New Roman"/>
          <w:sz w:val="24"/>
          <w:szCs w:val="24"/>
        </w:rPr>
        <w:footnoteReference w:id="160"/>
      </w:r>
      <w:r w:rsidRPr="00A43DB3">
        <w:rPr>
          <w:rFonts w:ascii="Times New Roman" w:hAnsi="Times New Roman" w:cs="Times New Roman"/>
          <w:sz w:val="24"/>
          <w:szCs w:val="24"/>
        </w:rPr>
        <w:t xml:space="preserve"> which becomes crucial as the processing of such delicate type of data may impose a higher risk on the privacy of individuals, such as identity fraud and discrimination,</w:t>
      </w:r>
      <w:r w:rsidRPr="00A43DB3">
        <w:rPr>
          <w:rStyle w:val="Refdenotaderodap"/>
          <w:rFonts w:ascii="Times New Roman" w:hAnsi="Times New Roman" w:cs="Times New Roman"/>
          <w:sz w:val="24"/>
          <w:szCs w:val="24"/>
        </w:rPr>
        <w:footnoteReference w:id="161"/>
      </w:r>
      <w:r w:rsidRPr="00A43DB3">
        <w:rPr>
          <w:rFonts w:ascii="Times New Roman" w:hAnsi="Times New Roman" w:cs="Times New Roman"/>
          <w:sz w:val="24"/>
          <w:szCs w:val="24"/>
        </w:rPr>
        <w:t xml:space="preserve"> and consequently an irrecoverable damage if improperly handled. </w:t>
      </w:r>
    </w:p>
    <w:p w14:paraId="5EF2C6E3"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Notwithstanding, even where one of the exceptions applies, and the processing of sensitive data by the search engine operator is, thus, lawful, the data subject may exercise his right to object to such processing, according to Article 14(a) DPD or Article 17(1)(c) and 21(1) GDPR,</w:t>
      </w:r>
      <w:r w:rsidRPr="00A43DB3">
        <w:rPr>
          <w:rStyle w:val="Refdenotaderodap"/>
          <w:rFonts w:ascii="Times New Roman" w:hAnsi="Times New Roman" w:cs="Times New Roman"/>
          <w:sz w:val="24"/>
          <w:szCs w:val="24"/>
        </w:rPr>
        <w:footnoteReference w:id="162"/>
      </w:r>
      <w:r w:rsidRPr="00A43DB3">
        <w:rPr>
          <w:rFonts w:ascii="Times New Roman" w:hAnsi="Times New Roman" w:cs="Times New Roman"/>
          <w:sz w:val="24"/>
          <w:szCs w:val="24"/>
        </w:rPr>
        <w:t xml:space="preserve"> when the controller must end the processing on grounds relating to the data subject’s particular case. </w:t>
      </w:r>
    </w:p>
    <w:p w14:paraId="22C4E8A1"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lastRenderedPageBreak/>
        <w:t xml:space="preserve">In summary, the search engine operator is in principle required to accede to de-referencing requests involving sensitive data, but may refuse to do so when it establishes that the processing is covered by one of the applicable exceptions, notably when data is made public by the data subject, provided that the processing satisfies all the other conditions of lawfulness, and as long as the data subject does not exercise his right to object to such processing, in connection to his or her particular compelling legitimate grounds. Moreover, the provisions of the DPD and the GDPR must be interpreted as meaning that the operator must resort to a balancing test, </w:t>
      </w:r>
      <w:proofErr w:type="gramStart"/>
      <w:r w:rsidRPr="00A43DB3">
        <w:rPr>
          <w:rFonts w:ascii="Times New Roman" w:hAnsi="Times New Roman" w:cs="Times New Roman"/>
          <w:sz w:val="24"/>
          <w:szCs w:val="24"/>
        </w:rPr>
        <w:t>taking into account</w:t>
      </w:r>
      <w:proofErr w:type="gramEnd"/>
      <w:r w:rsidRPr="00A43DB3">
        <w:rPr>
          <w:rFonts w:ascii="Times New Roman" w:hAnsi="Times New Roman" w:cs="Times New Roman"/>
          <w:sz w:val="24"/>
          <w:szCs w:val="24"/>
        </w:rPr>
        <w:t xml:space="preserve"> all aspects above related. </w:t>
      </w:r>
    </w:p>
    <w:p w14:paraId="771D2D1F" w14:textId="77777777" w:rsidR="00481564" w:rsidRPr="00A43DB3" w:rsidRDefault="00481564" w:rsidP="00481564">
      <w:pPr>
        <w:spacing w:line="360" w:lineRule="auto"/>
        <w:jc w:val="both"/>
        <w:rPr>
          <w:rFonts w:ascii="Times New Roman" w:hAnsi="Times New Roman" w:cs="Times New Roman"/>
          <w:sz w:val="24"/>
          <w:szCs w:val="24"/>
        </w:rPr>
      </w:pPr>
    </w:p>
    <w:p w14:paraId="3558E6CA" w14:textId="77777777" w:rsidR="00481564" w:rsidRPr="00A43DB3" w:rsidRDefault="00481564" w:rsidP="00481564">
      <w:pPr>
        <w:pStyle w:val="PargrafodaLista"/>
        <w:numPr>
          <w:ilvl w:val="1"/>
          <w:numId w:val="8"/>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t xml:space="preserve"> </w:t>
      </w:r>
      <w:bookmarkStart w:id="57" w:name="_Hlk111705369"/>
      <w:r w:rsidRPr="00A43DB3">
        <w:rPr>
          <w:rFonts w:ascii="Times New Roman" w:hAnsi="Times New Roman" w:cs="Times New Roman"/>
          <w:b/>
          <w:bCs/>
          <w:sz w:val="24"/>
          <w:szCs w:val="24"/>
        </w:rPr>
        <w:t>Personal data relating to criminal convictions and offences</w:t>
      </w:r>
      <w:bookmarkEnd w:id="57"/>
    </w:p>
    <w:p w14:paraId="2E9A95D8"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Lastly, the referring court asked whether the search engine operator must accede to a de-referencing request when the data subject establishes that the information has become incomplete or inaccurate, or are no longer up to date, notably in relation to legal proceedings. Further, if information relating to legal proceedings and to ensuing convictions, whether lawfully published or not, are data relating to ‘criminal convictions’ and ‘offences’ within the meaning of Article 8(5) DPD and Article 10 GDPR. </w:t>
      </w:r>
    </w:p>
    <w:p w14:paraId="7B735DBA"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This set of questions related to the principle of data accuracy found in Article 5(1)(d) GDPR and was particularly important in the case of B.H., which was discharged from the proceedings for not committing any criminal offence, according to the corresponding judgment. The case of E.D. also required clarification as regards whether the information relating to the sexual </w:t>
      </w:r>
      <w:proofErr w:type="gramStart"/>
      <w:r w:rsidRPr="00A43DB3">
        <w:rPr>
          <w:rFonts w:ascii="Times New Roman" w:hAnsi="Times New Roman" w:cs="Times New Roman"/>
          <w:sz w:val="24"/>
          <w:szCs w:val="24"/>
        </w:rPr>
        <w:t>assault</w:t>
      </w:r>
      <w:proofErr w:type="gramEnd"/>
      <w:r w:rsidRPr="00A43DB3">
        <w:rPr>
          <w:rFonts w:ascii="Times New Roman" w:hAnsi="Times New Roman" w:cs="Times New Roman"/>
          <w:sz w:val="24"/>
          <w:szCs w:val="24"/>
        </w:rPr>
        <w:t xml:space="preserve"> he committed was considered data related to criminal convictions and offences, whose inclusion in the list of results of search engines would be allowed or prohibited depending on the CJEU decision. </w:t>
      </w:r>
    </w:p>
    <w:p w14:paraId="13DF95BE"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AG held that, even if the defendant is acquitted, the correlated information is data relating to an offence.</w:t>
      </w:r>
      <w:r w:rsidRPr="00A43DB3">
        <w:rPr>
          <w:rStyle w:val="Refdenotaderodap"/>
          <w:rFonts w:ascii="Times New Roman" w:hAnsi="Times New Roman" w:cs="Times New Roman"/>
          <w:sz w:val="24"/>
          <w:szCs w:val="24"/>
        </w:rPr>
        <w:footnoteReference w:id="163"/>
      </w:r>
      <w:r w:rsidRPr="00A43DB3">
        <w:rPr>
          <w:rFonts w:ascii="Times New Roman" w:hAnsi="Times New Roman" w:cs="Times New Roman"/>
          <w:sz w:val="24"/>
          <w:szCs w:val="24"/>
        </w:rPr>
        <w:t xml:space="preserve"> Particularly regarding press articles which report an earlier stage of legal proceedings that becomes outdated, it would require a nuanced approach, once it refers to personal data reported solely for journalistic purposes.</w:t>
      </w:r>
      <w:r w:rsidRPr="00A43DB3">
        <w:rPr>
          <w:rStyle w:val="Refdenotaderodap"/>
          <w:rFonts w:ascii="Times New Roman" w:hAnsi="Times New Roman" w:cs="Times New Roman"/>
          <w:sz w:val="24"/>
          <w:szCs w:val="24"/>
        </w:rPr>
        <w:footnoteReference w:id="164"/>
      </w:r>
      <w:r w:rsidRPr="00A43DB3">
        <w:rPr>
          <w:rFonts w:ascii="Times New Roman" w:hAnsi="Times New Roman" w:cs="Times New Roman"/>
          <w:sz w:val="24"/>
          <w:szCs w:val="24"/>
        </w:rPr>
        <w:t xml:space="preserve"> The balancing test would be more likely to favour the data subject when data concerned minor offences </w:t>
      </w:r>
      <w:r w:rsidRPr="00A43DB3">
        <w:rPr>
          <w:rFonts w:ascii="Times New Roman" w:hAnsi="Times New Roman" w:cs="Times New Roman"/>
          <w:sz w:val="24"/>
          <w:szCs w:val="24"/>
        </w:rPr>
        <w:lastRenderedPageBreak/>
        <w:t>committed a long time ago in comparison with serious crimes that happened more recently.</w:t>
      </w:r>
      <w:r w:rsidRPr="00A43DB3">
        <w:rPr>
          <w:rStyle w:val="Refdenotaderodap"/>
          <w:rFonts w:ascii="Times New Roman" w:hAnsi="Times New Roman" w:cs="Times New Roman"/>
          <w:sz w:val="24"/>
          <w:szCs w:val="24"/>
        </w:rPr>
        <w:footnoteReference w:id="165"/>
      </w:r>
      <w:r w:rsidRPr="00A43DB3">
        <w:rPr>
          <w:rFonts w:ascii="Times New Roman" w:hAnsi="Times New Roman" w:cs="Times New Roman"/>
          <w:sz w:val="24"/>
          <w:szCs w:val="24"/>
        </w:rPr>
        <w:t xml:space="preserve"> </w:t>
      </w:r>
    </w:p>
    <w:p w14:paraId="0380668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Court agreed with the AG in that information concerning legal proceedings, such as information relating to the judicial investigation and the trial and an eventual conviction is data relating to criminal convictions and offences, even if the accused has been acquitted.</w:t>
      </w:r>
      <w:r w:rsidRPr="00A43DB3">
        <w:rPr>
          <w:rStyle w:val="Refdenotaderodap"/>
          <w:rFonts w:ascii="Times New Roman" w:hAnsi="Times New Roman" w:cs="Times New Roman"/>
          <w:sz w:val="24"/>
          <w:szCs w:val="24"/>
        </w:rPr>
        <w:footnoteReference w:id="166"/>
      </w:r>
      <w:r w:rsidRPr="00A43DB3">
        <w:rPr>
          <w:rFonts w:ascii="Times New Roman" w:hAnsi="Times New Roman" w:cs="Times New Roman"/>
          <w:sz w:val="24"/>
          <w:szCs w:val="24"/>
        </w:rPr>
        <w:t xml:space="preserve"> Accordingly, when search engine operators include those data in their index, the processing of personal data relating to criminal convictions and offences occurs. </w:t>
      </w:r>
    </w:p>
    <w:p w14:paraId="6FEA0DF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A noteworthy point discussed by the Court relates to the processing of such data which does not fulfil the requirements of lawfulness. Even in such cases, the search engine operator must still ascertain, </w:t>
      </w:r>
      <w:proofErr w:type="gramStart"/>
      <w:r w:rsidRPr="00A43DB3">
        <w:rPr>
          <w:rFonts w:ascii="Times New Roman" w:hAnsi="Times New Roman" w:cs="Times New Roman"/>
          <w:sz w:val="24"/>
          <w:szCs w:val="24"/>
        </w:rPr>
        <w:t>taking into account</w:t>
      </w:r>
      <w:proofErr w:type="gramEnd"/>
      <w:r w:rsidRPr="00A43DB3">
        <w:rPr>
          <w:rFonts w:ascii="Times New Roman" w:hAnsi="Times New Roman" w:cs="Times New Roman"/>
          <w:sz w:val="24"/>
          <w:szCs w:val="24"/>
        </w:rPr>
        <w:t xml:space="preserve"> the substantial public interest, whether the inclusion of the link is necessary for exercising the freedom of information of internet users.</w:t>
      </w:r>
      <w:r w:rsidRPr="00A43DB3">
        <w:rPr>
          <w:rStyle w:val="Refdenotaderodap"/>
          <w:rFonts w:ascii="Times New Roman" w:hAnsi="Times New Roman" w:cs="Times New Roman"/>
          <w:sz w:val="24"/>
          <w:szCs w:val="24"/>
        </w:rPr>
        <w:footnoteReference w:id="167"/>
      </w:r>
      <w:r w:rsidRPr="00A43DB3">
        <w:rPr>
          <w:rFonts w:ascii="Times New Roman" w:hAnsi="Times New Roman" w:cs="Times New Roman"/>
          <w:sz w:val="24"/>
          <w:szCs w:val="24"/>
        </w:rPr>
        <w:t xml:space="preserve"> When assessing the grounds for granting a de-referencing request, the operator must consider some aspects, such as:</w:t>
      </w:r>
    </w:p>
    <w:p w14:paraId="01270DDC" w14:textId="77777777" w:rsidR="00481564" w:rsidRPr="00A43DB3" w:rsidRDefault="00481564" w:rsidP="00DE5011">
      <w:pPr>
        <w:spacing w:line="240" w:lineRule="auto"/>
        <w:ind w:left="2268" w:right="1701"/>
        <w:jc w:val="both"/>
        <w:rPr>
          <w:rFonts w:ascii="Times New Roman" w:hAnsi="Times New Roman" w:cs="Times New Roman"/>
          <w:sz w:val="24"/>
          <w:szCs w:val="24"/>
        </w:rPr>
      </w:pPr>
      <w:r w:rsidRPr="00A43DB3">
        <w:rPr>
          <w:rFonts w:ascii="Times New Roman" w:hAnsi="Times New Roman" w:cs="Times New Roman"/>
          <w:sz w:val="24"/>
          <w:szCs w:val="24"/>
        </w:rPr>
        <w:t>the nature and seriousness of the offence in question, the progress and the outcome of the proceedings, the time elapsed, the part played by the data subject in public life and his past conduct, the public’s interest at the time of the request, the content and form of the publication and the consequences of publication for the data subject</w:t>
      </w:r>
      <w:r w:rsidRPr="00A43DB3">
        <w:rPr>
          <w:rStyle w:val="Refdenotaderodap"/>
          <w:rFonts w:ascii="Times New Roman" w:hAnsi="Times New Roman" w:cs="Times New Roman"/>
          <w:sz w:val="24"/>
          <w:szCs w:val="24"/>
        </w:rPr>
        <w:footnoteReference w:id="168"/>
      </w:r>
    </w:p>
    <w:p w14:paraId="524B62E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this connection, information relating to criminal convictions and offences may be of public interest, hinging on the outcome of the balancing test. Evidently, each case demands a particular balancing, once there are different degrees of interest on the matter. Nevertheless, as O’Donnell and McIntyre note, it may be more beneficial for ex-convicts to resort to the right to be forgotten rather than to criminal legislation.</w:t>
      </w:r>
      <w:r w:rsidRPr="00A43DB3">
        <w:rPr>
          <w:rStyle w:val="Refdenotaderodap"/>
          <w:rFonts w:ascii="Times New Roman" w:hAnsi="Times New Roman" w:cs="Times New Roman"/>
          <w:sz w:val="24"/>
          <w:szCs w:val="24"/>
        </w:rPr>
        <w:footnoteReference w:id="169"/>
      </w:r>
    </w:p>
    <w:p w14:paraId="311DF151"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Moreover, even if the search engine operator refuses to grant the de-referencing request, it must adjust the display of results in order to ensure that the overall picture corresponds to the current legal situation, by placing links to web pages containing the most recent </w:t>
      </w:r>
      <w:r w:rsidRPr="00A43DB3">
        <w:rPr>
          <w:rFonts w:ascii="Times New Roman" w:hAnsi="Times New Roman" w:cs="Times New Roman"/>
          <w:sz w:val="24"/>
          <w:szCs w:val="24"/>
        </w:rPr>
        <w:lastRenderedPageBreak/>
        <w:t>information at the top, at the latest on the occasion of the request made by the data subject.</w:t>
      </w:r>
      <w:r w:rsidRPr="00A43DB3">
        <w:rPr>
          <w:rStyle w:val="Refdenotaderodap"/>
          <w:rFonts w:ascii="Times New Roman" w:hAnsi="Times New Roman" w:cs="Times New Roman"/>
          <w:sz w:val="24"/>
          <w:szCs w:val="24"/>
        </w:rPr>
        <w:footnoteReference w:id="170"/>
      </w:r>
      <w:r w:rsidRPr="00A43DB3">
        <w:rPr>
          <w:rFonts w:ascii="Times New Roman" w:hAnsi="Times New Roman" w:cs="Times New Roman"/>
          <w:sz w:val="24"/>
          <w:szCs w:val="24"/>
        </w:rPr>
        <w:t xml:space="preserve"> This requirement was relevant to respect the accuracy principle, once, even if the controller wrongly assesses the case and decides not to remove the disputed links, the prejudice to the data subject is likely to be minimised due to the presentation of accurate information to Internet users. In this sense, by requiring an </w:t>
      </w:r>
      <w:proofErr w:type="gramStart"/>
      <w:r w:rsidRPr="00A43DB3">
        <w:rPr>
          <w:rFonts w:ascii="Times New Roman" w:hAnsi="Times New Roman" w:cs="Times New Roman"/>
          <w:i/>
          <w:iCs/>
          <w:sz w:val="24"/>
          <w:szCs w:val="24"/>
        </w:rPr>
        <w:t>ex post</w:t>
      </w:r>
      <w:proofErr w:type="gramEnd"/>
      <w:r w:rsidRPr="00A43DB3">
        <w:rPr>
          <w:rFonts w:ascii="Times New Roman" w:hAnsi="Times New Roman" w:cs="Times New Roman"/>
          <w:sz w:val="24"/>
          <w:szCs w:val="24"/>
        </w:rPr>
        <w:t xml:space="preserve"> assessment on a case-by-case basis, the CJEU, considering the daunting application of the right to be forgotten in the context of the Internet, has rightly decided for a balancing test to cases involving sensitive data, even exercised by a private entity, which may allow a deeper consideration of the particular circumstances. </w:t>
      </w:r>
    </w:p>
    <w:p w14:paraId="64BF749C" w14:textId="77777777" w:rsidR="00481564" w:rsidRPr="00A43DB3" w:rsidRDefault="00481564" w:rsidP="00481564">
      <w:pPr>
        <w:spacing w:line="360" w:lineRule="auto"/>
        <w:jc w:val="both"/>
        <w:rPr>
          <w:rFonts w:ascii="Times New Roman" w:hAnsi="Times New Roman" w:cs="Times New Roman"/>
          <w:sz w:val="24"/>
          <w:szCs w:val="24"/>
        </w:rPr>
      </w:pPr>
    </w:p>
    <w:p w14:paraId="1FE969C1" w14:textId="77777777" w:rsidR="00481564" w:rsidRPr="00A43DB3" w:rsidRDefault="00481564" w:rsidP="00481564">
      <w:pPr>
        <w:spacing w:line="360" w:lineRule="auto"/>
        <w:jc w:val="both"/>
        <w:rPr>
          <w:rFonts w:ascii="Times New Roman" w:hAnsi="Times New Roman" w:cs="Times New Roman"/>
          <w:sz w:val="24"/>
          <w:szCs w:val="24"/>
        </w:rPr>
      </w:pPr>
    </w:p>
    <w:p w14:paraId="588AC5DD" w14:textId="77777777" w:rsidR="00481564" w:rsidRDefault="00481564" w:rsidP="00481564">
      <w:pPr>
        <w:spacing w:line="360" w:lineRule="auto"/>
        <w:rPr>
          <w:rFonts w:ascii="Times New Roman" w:hAnsi="Times New Roman" w:cs="Times New Roman"/>
          <w:sz w:val="24"/>
          <w:szCs w:val="24"/>
        </w:rPr>
      </w:pPr>
    </w:p>
    <w:p w14:paraId="5ED58454" w14:textId="77777777" w:rsidR="00481564" w:rsidRDefault="00481564" w:rsidP="00481564">
      <w:pPr>
        <w:spacing w:line="360" w:lineRule="auto"/>
        <w:rPr>
          <w:rFonts w:ascii="Times New Roman" w:hAnsi="Times New Roman" w:cs="Times New Roman"/>
          <w:sz w:val="24"/>
          <w:szCs w:val="24"/>
        </w:rPr>
      </w:pPr>
    </w:p>
    <w:p w14:paraId="40426A93" w14:textId="77777777" w:rsidR="00481564" w:rsidRDefault="00481564" w:rsidP="00481564">
      <w:pPr>
        <w:spacing w:line="360" w:lineRule="auto"/>
        <w:rPr>
          <w:rFonts w:ascii="Times New Roman" w:hAnsi="Times New Roman" w:cs="Times New Roman"/>
          <w:sz w:val="24"/>
          <w:szCs w:val="24"/>
        </w:rPr>
      </w:pPr>
    </w:p>
    <w:p w14:paraId="4EFF5DFF" w14:textId="77777777" w:rsidR="00481564" w:rsidRDefault="00481564" w:rsidP="00481564">
      <w:pPr>
        <w:spacing w:line="360" w:lineRule="auto"/>
        <w:rPr>
          <w:rFonts w:ascii="Times New Roman" w:hAnsi="Times New Roman" w:cs="Times New Roman"/>
          <w:sz w:val="24"/>
          <w:szCs w:val="24"/>
        </w:rPr>
      </w:pPr>
    </w:p>
    <w:p w14:paraId="35C5DC40" w14:textId="77777777" w:rsidR="00481564" w:rsidRDefault="00481564" w:rsidP="00481564">
      <w:pPr>
        <w:spacing w:line="360" w:lineRule="auto"/>
        <w:rPr>
          <w:rFonts w:ascii="Times New Roman" w:hAnsi="Times New Roman" w:cs="Times New Roman"/>
          <w:sz w:val="24"/>
          <w:szCs w:val="24"/>
        </w:rPr>
      </w:pPr>
    </w:p>
    <w:p w14:paraId="029F4A36" w14:textId="77777777" w:rsidR="00481564" w:rsidRDefault="00481564" w:rsidP="00481564">
      <w:pPr>
        <w:spacing w:line="360" w:lineRule="auto"/>
        <w:rPr>
          <w:rFonts w:ascii="Times New Roman" w:hAnsi="Times New Roman" w:cs="Times New Roman"/>
          <w:sz w:val="24"/>
          <w:szCs w:val="24"/>
        </w:rPr>
      </w:pPr>
    </w:p>
    <w:p w14:paraId="33EEAD9E" w14:textId="77777777" w:rsidR="00481564" w:rsidRDefault="00481564" w:rsidP="00481564">
      <w:pPr>
        <w:spacing w:line="360" w:lineRule="auto"/>
        <w:rPr>
          <w:rFonts w:ascii="Times New Roman" w:hAnsi="Times New Roman" w:cs="Times New Roman"/>
          <w:sz w:val="24"/>
          <w:szCs w:val="24"/>
        </w:rPr>
      </w:pPr>
    </w:p>
    <w:p w14:paraId="6687627C" w14:textId="77777777" w:rsidR="00481564" w:rsidRDefault="00481564" w:rsidP="00481564">
      <w:pPr>
        <w:spacing w:line="360" w:lineRule="auto"/>
        <w:rPr>
          <w:rFonts w:ascii="Times New Roman" w:hAnsi="Times New Roman" w:cs="Times New Roman"/>
          <w:sz w:val="24"/>
          <w:szCs w:val="24"/>
        </w:rPr>
      </w:pPr>
    </w:p>
    <w:p w14:paraId="72DA28F4" w14:textId="77777777" w:rsidR="00481564" w:rsidRDefault="00481564" w:rsidP="00481564">
      <w:pPr>
        <w:spacing w:line="360" w:lineRule="auto"/>
        <w:rPr>
          <w:rFonts w:ascii="Times New Roman" w:hAnsi="Times New Roman" w:cs="Times New Roman"/>
          <w:sz w:val="24"/>
          <w:szCs w:val="24"/>
        </w:rPr>
      </w:pPr>
    </w:p>
    <w:p w14:paraId="366206C9" w14:textId="77777777" w:rsidR="00481564" w:rsidRDefault="00481564" w:rsidP="00481564">
      <w:pPr>
        <w:spacing w:line="360" w:lineRule="auto"/>
        <w:rPr>
          <w:rFonts w:ascii="Times New Roman" w:hAnsi="Times New Roman" w:cs="Times New Roman"/>
          <w:sz w:val="24"/>
          <w:szCs w:val="24"/>
        </w:rPr>
      </w:pPr>
    </w:p>
    <w:p w14:paraId="69AB2775" w14:textId="77777777" w:rsidR="00481564" w:rsidRDefault="00481564" w:rsidP="00481564">
      <w:pPr>
        <w:spacing w:line="360" w:lineRule="auto"/>
        <w:rPr>
          <w:rFonts w:ascii="Times New Roman" w:hAnsi="Times New Roman" w:cs="Times New Roman"/>
          <w:sz w:val="24"/>
          <w:szCs w:val="24"/>
        </w:rPr>
      </w:pPr>
    </w:p>
    <w:p w14:paraId="6615968F" w14:textId="77777777" w:rsidR="00481564" w:rsidRDefault="00481564" w:rsidP="00481564">
      <w:pPr>
        <w:spacing w:line="360" w:lineRule="auto"/>
        <w:rPr>
          <w:rFonts w:ascii="Times New Roman" w:hAnsi="Times New Roman" w:cs="Times New Roman"/>
          <w:sz w:val="24"/>
          <w:szCs w:val="24"/>
        </w:rPr>
      </w:pPr>
    </w:p>
    <w:p w14:paraId="653DCABB" w14:textId="77777777" w:rsidR="00481564" w:rsidRDefault="00481564" w:rsidP="00481564">
      <w:pPr>
        <w:spacing w:line="360" w:lineRule="auto"/>
        <w:rPr>
          <w:rFonts w:ascii="Times New Roman" w:hAnsi="Times New Roman" w:cs="Times New Roman"/>
          <w:sz w:val="24"/>
          <w:szCs w:val="24"/>
        </w:rPr>
      </w:pPr>
    </w:p>
    <w:p w14:paraId="0E975F86" w14:textId="77777777" w:rsidR="00481564" w:rsidRDefault="00481564" w:rsidP="00481564">
      <w:pPr>
        <w:spacing w:line="360" w:lineRule="auto"/>
        <w:rPr>
          <w:rFonts w:ascii="Times New Roman" w:hAnsi="Times New Roman" w:cs="Times New Roman"/>
          <w:sz w:val="24"/>
          <w:szCs w:val="24"/>
        </w:rPr>
      </w:pPr>
    </w:p>
    <w:p w14:paraId="60384742" w14:textId="77777777" w:rsidR="00481564" w:rsidRPr="00A43DB3" w:rsidRDefault="00481564" w:rsidP="00481564">
      <w:pPr>
        <w:pStyle w:val="PargrafodaLista"/>
        <w:numPr>
          <w:ilvl w:val="0"/>
          <w:numId w:val="9"/>
        </w:numPr>
        <w:spacing w:line="360" w:lineRule="auto"/>
        <w:jc w:val="both"/>
        <w:rPr>
          <w:rFonts w:ascii="Times New Roman" w:hAnsi="Times New Roman" w:cs="Times New Roman"/>
          <w:b/>
          <w:bCs/>
          <w:sz w:val="24"/>
          <w:szCs w:val="24"/>
        </w:rPr>
      </w:pPr>
      <w:bookmarkStart w:id="59" w:name="_Hlk111705408"/>
      <w:r w:rsidRPr="00A43DB3">
        <w:rPr>
          <w:rFonts w:ascii="Times New Roman" w:hAnsi="Times New Roman" w:cs="Times New Roman"/>
          <w:b/>
          <w:bCs/>
          <w:i/>
          <w:iCs/>
          <w:sz w:val="24"/>
          <w:szCs w:val="24"/>
        </w:rPr>
        <w:lastRenderedPageBreak/>
        <w:t>Google v CNIL</w:t>
      </w:r>
      <w:r w:rsidRPr="00A43DB3">
        <w:rPr>
          <w:rFonts w:ascii="Times New Roman" w:hAnsi="Times New Roman" w:cs="Times New Roman"/>
          <w:b/>
          <w:bCs/>
          <w:sz w:val="24"/>
          <w:szCs w:val="24"/>
        </w:rPr>
        <w:t xml:space="preserve"> (C-507/17)</w:t>
      </w:r>
    </w:p>
    <w:bookmarkEnd w:id="59"/>
    <w:p w14:paraId="6A1295E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On 24 September 2019, the same date of the </w:t>
      </w:r>
      <w:r w:rsidRPr="00A43DB3">
        <w:rPr>
          <w:rFonts w:ascii="Times New Roman" w:hAnsi="Times New Roman" w:cs="Times New Roman"/>
          <w:i/>
          <w:iCs/>
          <w:sz w:val="24"/>
          <w:szCs w:val="24"/>
        </w:rPr>
        <w:t>GC and Others</w:t>
      </w:r>
      <w:r w:rsidRPr="00A43DB3">
        <w:rPr>
          <w:rFonts w:ascii="Times New Roman" w:hAnsi="Times New Roman" w:cs="Times New Roman"/>
          <w:sz w:val="24"/>
          <w:szCs w:val="24"/>
        </w:rPr>
        <w:t xml:space="preserve"> judgment, the CJEU further ruled on the territorial scope of the GDPR in the context of the right to de-referencing. </w:t>
      </w:r>
      <w:r w:rsidRPr="00A43DB3">
        <w:rPr>
          <w:rFonts w:ascii="Times New Roman" w:hAnsi="Times New Roman" w:cs="Times New Roman"/>
          <w:i/>
          <w:iCs/>
          <w:sz w:val="24"/>
          <w:szCs w:val="24"/>
        </w:rPr>
        <w:t xml:space="preserve">Google Spain </w:t>
      </w:r>
      <w:r w:rsidRPr="00A43DB3">
        <w:rPr>
          <w:rFonts w:ascii="Times New Roman" w:hAnsi="Times New Roman" w:cs="Times New Roman"/>
          <w:sz w:val="24"/>
          <w:szCs w:val="24"/>
        </w:rPr>
        <w:t xml:space="preserve">only dealt with the geographic application of the DPD and, despite having recognised a right to be forgotten under the statute, the Court did not satisfactorily discuss the territorial scope of such right. In this sense, </w:t>
      </w:r>
      <w:r w:rsidRPr="00A43DB3">
        <w:rPr>
          <w:rFonts w:ascii="Times New Roman" w:hAnsi="Times New Roman" w:cs="Times New Roman"/>
          <w:i/>
          <w:iCs/>
          <w:sz w:val="24"/>
          <w:szCs w:val="24"/>
        </w:rPr>
        <w:t>Google v CNIL</w:t>
      </w:r>
      <w:r w:rsidRPr="00A43DB3">
        <w:rPr>
          <w:rFonts w:ascii="Times New Roman" w:hAnsi="Times New Roman" w:cs="Times New Roman"/>
          <w:sz w:val="24"/>
          <w:szCs w:val="24"/>
        </w:rPr>
        <w:t xml:space="preserve"> was requested to resolve the issue of the jurisdiction of right to be forgotten posterior to its codification. </w:t>
      </w:r>
    </w:p>
    <w:p w14:paraId="660E94F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CJEU maintained the same approach used in </w:t>
      </w:r>
      <w:r w:rsidRPr="00A43DB3">
        <w:rPr>
          <w:rFonts w:ascii="Times New Roman" w:hAnsi="Times New Roman" w:cs="Times New Roman"/>
          <w:i/>
          <w:iCs/>
          <w:sz w:val="24"/>
          <w:szCs w:val="24"/>
        </w:rPr>
        <w:t>GC and Others</w:t>
      </w:r>
      <w:r w:rsidRPr="00A43DB3">
        <w:rPr>
          <w:rFonts w:ascii="Times New Roman" w:hAnsi="Times New Roman" w:cs="Times New Roman"/>
          <w:sz w:val="24"/>
          <w:szCs w:val="24"/>
        </w:rPr>
        <w:t xml:space="preserve"> to render the judgment: deciding the matter under the DPD, which was applicable at the time when a preliminary ruling was requested, while also taking the GDPR into account, in force at the judgment’s date.</w:t>
      </w:r>
      <w:r w:rsidRPr="00A43DB3">
        <w:rPr>
          <w:rStyle w:val="Refdenotaderodap"/>
          <w:rFonts w:ascii="Times New Roman" w:hAnsi="Times New Roman" w:cs="Times New Roman"/>
          <w:sz w:val="24"/>
          <w:szCs w:val="24"/>
        </w:rPr>
        <w:footnoteReference w:id="171"/>
      </w:r>
      <w:r w:rsidRPr="00A43DB3">
        <w:rPr>
          <w:rFonts w:ascii="Times New Roman" w:hAnsi="Times New Roman" w:cs="Times New Roman"/>
          <w:sz w:val="24"/>
          <w:szCs w:val="24"/>
        </w:rPr>
        <w:t xml:space="preserve"> In the fallout of the dispute, it was established that the search engine operator is not required to de-reference links from its online index at worldwide level, but only on the versions corresponding to the European Union, implementing technological measures, where adequate, to impede or, at the very least, seriously discourage the access to such links. </w:t>
      </w:r>
    </w:p>
    <w:p w14:paraId="5875A8D6" w14:textId="77777777" w:rsidR="00481564" w:rsidRPr="00A43DB3" w:rsidRDefault="00481564" w:rsidP="00481564">
      <w:pPr>
        <w:spacing w:line="360" w:lineRule="auto"/>
        <w:jc w:val="both"/>
        <w:rPr>
          <w:rFonts w:ascii="Times New Roman" w:hAnsi="Times New Roman" w:cs="Times New Roman"/>
          <w:sz w:val="24"/>
          <w:szCs w:val="24"/>
        </w:rPr>
      </w:pPr>
    </w:p>
    <w:p w14:paraId="34DB032B" w14:textId="77777777" w:rsidR="00481564" w:rsidRPr="00A43DB3" w:rsidRDefault="00481564" w:rsidP="00481564">
      <w:pPr>
        <w:spacing w:line="360" w:lineRule="auto"/>
        <w:jc w:val="both"/>
        <w:rPr>
          <w:rFonts w:ascii="Times New Roman" w:hAnsi="Times New Roman" w:cs="Times New Roman"/>
          <w:sz w:val="24"/>
          <w:szCs w:val="24"/>
        </w:rPr>
      </w:pPr>
    </w:p>
    <w:p w14:paraId="511551E6" w14:textId="77777777" w:rsidR="00481564" w:rsidRPr="00A43DB3" w:rsidRDefault="00481564" w:rsidP="00481564">
      <w:pPr>
        <w:pStyle w:val="PargrafodaLista"/>
        <w:numPr>
          <w:ilvl w:val="1"/>
          <w:numId w:val="9"/>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t xml:space="preserve">Facts </w:t>
      </w:r>
    </w:p>
    <w:p w14:paraId="39F3D71F"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2015, the French data protection authority, </w:t>
      </w:r>
      <w:r w:rsidRPr="00A43DB3">
        <w:rPr>
          <w:rFonts w:ascii="Times New Roman" w:hAnsi="Times New Roman" w:cs="Times New Roman"/>
          <w:i/>
          <w:iCs/>
          <w:sz w:val="24"/>
          <w:szCs w:val="24"/>
        </w:rPr>
        <w:t xml:space="preserve">Commission </w:t>
      </w:r>
      <w:proofErr w:type="spellStart"/>
      <w:r w:rsidRPr="00A43DB3">
        <w:rPr>
          <w:rFonts w:ascii="Times New Roman" w:hAnsi="Times New Roman" w:cs="Times New Roman"/>
          <w:i/>
          <w:iCs/>
          <w:sz w:val="24"/>
          <w:szCs w:val="24"/>
        </w:rPr>
        <w:t>Nationale</w:t>
      </w:r>
      <w:proofErr w:type="spellEnd"/>
      <w:r w:rsidRPr="00A43DB3">
        <w:rPr>
          <w:rFonts w:ascii="Times New Roman" w:hAnsi="Times New Roman" w:cs="Times New Roman"/>
          <w:i/>
          <w:iCs/>
          <w:sz w:val="24"/>
          <w:szCs w:val="24"/>
        </w:rPr>
        <w:t xml:space="preserve"> de </w:t>
      </w:r>
      <w:proofErr w:type="spellStart"/>
      <w:r w:rsidRPr="00A43DB3">
        <w:rPr>
          <w:rFonts w:ascii="Times New Roman" w:hAnsi="Times New Roman" w:cs="Times New Roman"/>
          <w:i/>
          <w:iCs/>
          <w:sz w:val="24"/>
          <w:szCs w:val="24"/>
        </w:rPr>
        <w:t>l’Informatique</w:t>
      </w:r>
      <w:proofErr w:type="spellEnd"/>
      <w:r w:rsidRPr="00A43DB3">
        <w:rPr>
          <w:rFonts w:ascii="Times New Roman" w:hAnsi="Times New Roman" w:cs="Times New Roman"/>
          <w:i/>
          <w:iCs/>
          <w:sz w:val="24"/>
          <w:szCs w:val="24"/>
        </w:rPr>
        <w:t xml:space="preserve"> et des </w:t>
      </w:r>
      <w:proofErr w:type="spellStart"/>
      <w:r w:rsidRPr="00A43DB3">
        <w:rPr>
          <w:rFonts w:ascii="Times New Roman" w:hAnsi="Times New Roman" w:cs="Times New Roman"/>
          <w:i/>
          <w:iCs/>
          <w:sz w:val="24"/>
          <w:szCs w:val="24"/>
        </w:rPr>
        <w:t>Libertés</w:t>
      </w:r>
      <w:proofErr w:type="spellEnd"/>
      <w:r w:rsidRPr="00A43DB3">
        <w:rPr>
          <w:rFonts w:ascii="Times New Roman" w:hAnsi="Times New Roman" w:cs="Times New Roman"/>
          <w:sz w:val="24"/>
          <w:szCs w:val="24"/>
        </w:rPr>
        <w:t xml:space="preserve"> (CNIL), served formal notice on Google to remove links on all versions of its search engine when granting a removal request. Google confined itself to carry out such a requirement only on the domain names corresponding to European States but, after the expiry of the date to comply with the notice, suggested to complement it with geo-blocking techniques, which would be capable of preventing users located inside the Union to access the disputed links, regardless of the domain name they used. </w:t>
      </w:r>
    </w:p>
    <w:p w14:paraId="5A908FAF"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CNIL considered Google’s proposal insufficient and in 2016 imposed on the company a penalty of EUR 100,000. Thereupon, Google lodged an application with the </w:t>
      </w:r>
      <w:r w:rsidRPr="00A43DB3">
        <w:rPr>
          <w:rFonts w:ascii="Times New Roman" w:hAnsi="Times New Roman" w:cs="Times New Roman"/>
          <w:i/>
          <w:iCs/>
          <w:sz w:val="24"/>
          <w:szCs w:val="24"/>
        </w:rPr>
        <w:t xml:space="preserve">Conseil </w:t>
      </w:r>
      <w:proofErr w:type="spellStart"/>
      <w:r w:rsidRPr="00A43DB3">
        <w:rPr>
          <w:rFonts w:ascii="Times New Roman" w:hAnsi="Times New Roman" w:cs="Times New Roman"/>
          <w:i/>
          <w:iCs/>
          <w:sz w:val="24"/>
          <w:szCs w:val="24"/>
        </w:rPr>
        <w:t>d’État</w:t>
      </w:r>
      <w:proofErr w:type="spellEnd"/>
      <w:r w:rsidRPr="00A43DB3">
        <w:rPr>
          <w:rFonts w:ascii="Times New Roman" w:hAnsi="Times New Roman" w:cs="Times New Roman"/>
          <w:sz w:val="24"/>
          <w:szCs w:val="24"/>
        </w:rPr>
        <w:t xml:space="preserve"> (Council of State, France), pleading for the annulment of that adjudication. The latter stayed the proceedings and referred the matter to the Court for a preliminary ruling. </w:t>
      </w:r>
    </w:p>
    <w:p w14:paraId="76E51B17" w14:textId="77777777" w:rsidR="00481564" w:rsidRPr="00A43DB3" w:rsidRDefault="00481564" w:rsidP="00481564">
      <w:pPr>
        <w:pStyle w:val="PargrafodaLista"/>
        <w:numPr>
          <w:ilvl w:val="1"/>
          <w:numId w:val="9"/>
        </w:numPr>
        <w:spacing w:line="360" w:lineRule="auto"/>
        <w:jc w:val="both"/>
        <w:rPr>
          <w:rFonts w:ascii="Times New Roman" w:hAnsi="Times New Roman" w:cs="Times New Roman"/>
          <w:b/>
          <w:bCs/>
          <w:sz w:val="24"/>
          <w:szCs w:val="24"/>
        </w:rPr>
      </w:pPr>
      <w:bookmarkStart w:id="60" w:name="_Hlk111705503"/>
      <w:r w:rsidRPr="00A43DB3">
        <w:rPr>
          <w:rFonts w:ascii="Times New Roman" w:hAnsi="Times New Roman" w:cs="Times New Roman"/>
          <w:b/>
          <w:bCs/>
          <w:sz w:val="24"/>
          <w:szCs w:val="24"/>
        </w:rPr>
        <w:lastRenderedPageBreak/>
        <w:t xml:space="preserve">The establishment of worldwide de-referencing </w:t>
      </w:r>
      <w:proofErr w:type="gramStart"/>
      <w:r w:rsidRPr="00A43DB3">
        <w:rPr>
          <w:rFonts w:ascii="Times New Roman" w:hAnsi="Times New Roman" w:cs="Times New Roman"/>
          <w:b/>
          <w:bCs/>
          <w:sz w:val="24"/>
          <w:szCs w:val="24"/>
        </w:rPr>
        <w:t>on the basis of</w:t>
      </w:r>
      <w:proofErr w:type="gramEnd"/>
      <w:r w:rsidRPr="00A43DB3">
        <w:rPr>
          <w:rFonts w:ascii="Times New Roman" w:hAnsi="Times New Roman" w:cs="Times New Roman"/>
          <w:b/>
          <w:bCs/>
          <w:sz w:val="24"/>
          <w:szCs w:val="24"/>
        </w:rPr>
        <w:t xml:space="preserve"> EU law</w:t>
      </w:r>
      <w:bookmarkEnd w:id="60"/>
      <w:r w:rsidRPr="00A43DB3">
        <w:rPr>
          <w:rFonts w:ascii="Times New Roman" w:hAnsi="Times New Roman" w:cs="Times New Roman"/>
          <w:b/>
          <w:bCs/>
          <w:sz w:val="24"/>
          <w:szCs w:val="24"/>
        </w:rPr>
        <w:t xml:space="preserve"> </w:t>
      </w:r>
    </w:p>
    <w:p w14:paraId="4E4D3E7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first category of preliminary questions regarded, in sum, whether the search engine operator was required to execute the de-referencing obligation on all the domain names of its search engine. Such debate was pivotal for the examination of the legitimacy of worldwide de-referencing in the context of search engines.</w:t>
      </w:r>
      <w:r w:rsidRPr="00A43DB3">
        <w:rPr>
          <w:rStyle w:val="Refdenotaderodap"/>
          <w:rFonts w:ascii="Times New Roman" w:hAnsi="Times New Roman" w:cs="Times New Roman"/>
          <w:sz w:val="24"/>
          <w:szCs w:val="24"/>
        </w:rPr>
        <w:footnoteReference w:id="172"/>
      </w:r>
      <w:r w:rsidRPr="00A43DB3">
        <w:rPr>
          <w:rFonts w:ascii="Times New Roman" w:hAnsi="Times New Roman" w:cs="Times New Roman"/>
          <w:sz w:val="24"/>
          <w:szCs w:val="24"/>
        </w:rPr>
        <w:t xml:space="preserve"> </w:t>
      </w:r>
    </w:p>
    <w:p w14:paraId="04630214"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A</w:t>
      </w:r>
      <w:r>
        <w:rPr>
          <w:rFonts w:ascii="Times New Roman" w:hAnsi="Times New Roman" w:cs="Times New Roman"/>
          <w:sz w:val="24"/>
          <w:szCs w:val="24"/>
        </w:rPr>
        <w:t>dvocate</w:t>
      </w:r>
      <w:r w:rsidRPr="00A43DB3">
        <w:rPr>
          <w:rFonts w:ascii="Times New Roman" w:hAnsi="Times New Roman" w:cs="Times New Roman"/>
          <w:sz w:val="24"/>
          <w:szCs w:val="24"/>
        </w:rPr>
        <w:t xml:space="preserve"> General Maciej </w:t>
      </w:r>
      <w:proofErr w:type="spellStart"/>
      <w:r w:rsidRPr="00A43DB3">
        <w:rPr>
          <w:rFonts w:ascii="Times New Roman" w:hAnsi="Times New Roman" w:cs="Times New Roman"/>
          <w:sz w:val="24"/>
          <w:szCs w:val="24"/>
        </w:rPr>
        <w:t>Szpunar</w:t>
      </w:r>
      <w:proofErr w:type="spellEnd"/>
      <w:r w:rsidRPr="00A43DB3">
        <w:rPr>
          <w:rFonts w:ascii="Times New Roman" w:hAnsi="Times New Roman" w:cs="Times New Roman"/>
          <w:sz w:val="24"/>
          <w:szCs w:val="24"/>
        </w:rPr>
        <w:t xml:space="preserve"> argued that such a broad conjecture would run counter to both EU law and public international law and could result in authoritarian regimes reproducing identical resolution to their benefit, requiring the application of censorship verdicts beyond their territories in the same manner,</w:t>
      </w:r>
      <w:r w:rsidRPr="00A43DB3">
        <w:rPr>
          <w:rStyle w:val="Refdenotaderodap"/>
          <w:rFonts w:ascii="Times New Roman" w:hAnsi="Times New Roman" w:cs="Times New Roman"/>
          <w:sz w:val="24"/>
          <w:szCs w:val="24"/>
        </w:rPr>
        <w:footnoteReference w:id="173"/>
      </w:r>
      <w:r w:rsidRPr="00A43DB3">
        <w:rPr>
          <w:rFonts w:ascii="Times New Roman" w:hAnsi="Times New Roman" w:cs="Times New Roman"/>
          <w:sz w:val="24"/>
          <w:szCs w:val="24"/>
        </w:rPr>
        <w:t xml:space="preserve"> consequence which would endanger the freedom of expression and information at a global scale. Such a solution is indeed effective, but only considers the data subject’s position, according to him.</w:t>
      </w:r>
      <w:r w:rsidRPr="00A43DB3">
        <w:rPr>
          <w:rStyle w:val="Refdenotaderodap"/>
          <w:rFonts w:ascii="Times New Roman" w:hAnsi="Times New Roman" w:cs="Times New Roman"/>
          <w:sz w:val="24"/>
          <w:szCs w:val="24"/>
        </w:rPr>
        <w:footnoteReference w:id="174"/>
      </w:r>
      <w:r w:rsidRPr="00A43DB3">
        <w:rPr>
          <w:rFonts w:ascii="Times New Roman" w:hAnsi="Times New Roman" w:cs="Times New Roman"/>
          <w:sz w:val="24"/>
          <w:szCs w:val="24"/>
        </w:rPr>
        <w:t xml:space="preserve"> </w:t>
      </w:r>
      <w:proofErr w:type="spellStart"/>
      <w:r w:rsidRPr="00A43DB3">
        <w:rPr>
          <w:rFonts w:ascii="Times New Roman" w:hAnsi="Times New Roman" w:cs="Times New Roman"/>
          <w:sz w:val="24"/>
          <w:szCs w:val="24"/>
        </w:rPr>
        <w:t>Szpunar</w:t>
      </w:r>
      <w:proofErr w:type="spellEnd"/>
      <w:r w:rsidRPr="00A43DB3">
        <w:rPr>
          <w:rFonts w:ascii="Times New Roman" w:hAnsi="Times New Roman" w:cs="Times New Roman"/>
          <w:sz w:val="24"/>
          <w:szCs w:val="24"/>
        </w:rPr>
        <w:t xml:space="preserve"> also contended that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when discussing the search results included in online indexes, did not analyse ‘the context in which, by whom and from where that search was carried out’.</w:t>
      </w:r>
      <w:r w:rsidRPr="00A43DB3">
        <w:rPr>
          <w:rStyle w:val="Refdenotaderodap"/>
          <w:rFonts w:ascii="Times New Roman" w:hAnsi="Times New Roman" w:cs="Times New Roman"/>
          <w:sz w:val="24"/>
          <w:szCs w:val="24"/>
        </w:rPr>
        <w:footnoteReference w:id="175"/>
      </w:r>
      <w:r w:rsidRPr="00A43DB3">
        <w:rPr>
          <w:rFonts w:ascii="Times New Roman" w:hAnsi="Times New Roman" w:cs="Times New Roman"/>
          <w:sz w:val="24"/>
          <w:szCs w:val="24"/>
        </w:rPr>
        <w:t xml:space="preserve"> In this sense, the decision only concentrated on data subjects, not on Internet users who make a search on their name. </w:t>
      </w:r>
    </w:p>
    <w:p w14:paraId="65536360"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Accordingly, he continued by stating that there is no clarification either by the legislation or by </w:t>
      </w:r>
      <w:r w:rsidRPr="00A43DB3">
        <w:rPr>
          <w:rFonts w:ascii="Times New Roman" w:hAnsi="Times New Roman" w:cs="Times New Roman"/>
          <w:i/>
          <w:iCs/>
          <w:sz w:val="24"/>
          <w:szCs w:val="24"/>
        </w:rPr>
        <w:t xml:space="preserve">Google Spain </w:t>
      </w:r>
      <w:r w:rsidRPr="00A43DB3">
        <w:rPr>
          <w:rFonts w:ascii="Times New Roman" w:hAnsi="Times New Roman" w:cs="Times New Roman"/>
          <w:sz w:val="24"/>
          <w:szCs w:val="24"/>
        </w:rPr>
        <w:t>as to what distinguishes a search made from a Member State or from a third country.</w:t>
      </w:r>
      <w:r w:rsidRPr="00A43DB3">
        <w:rPr>
          <w:rStyle w:val="Refdenotaderodap"/>
          <w:rFonts w:ascii="Times New Roman" w:hAnsi="Times New Roman" w:cs="Times New Roman"/>
          <w:sz w:val="24"/>
          <w:szCs w:val="24"/>
        </w:rPr>
        <w:footnoteReference w:id="176"/>
      </w:r>
      <w:r w:rsidRPr="00A43DB3">
        <w:rPr>
          <w:rFonts w:ascii="Times New Roman" w:hAnsi="Times New Roman" w:cs="Times New Roman"/>
          <w:sz w:val="24"/>
          <w:szCs w:val="24"/>
        </w:rPr>
        <w:t xml:space="preserve"> In the same manner, such decision only drew attention to the protection of the data subject but did not sufficiently discuss the territoriality of de-referencing requests </w:t>
      </w:r>
      <w:proofErr w:type="gramStart"/>
      <w:r w:rsidRPr="00A43DB3">
        <w:rPr>
          <w:rFonts w:ascii="Times New Roman" w:hAnsi="Times New Roman" w:cs="Times New Roman"/>
          <w:sz w:val="24"/>
          <w:szCs w:val="24"/>
        </w:rPr>
        <w:t>on the basis of</w:t>
      </w:r>
      <w:proofErr w:type="gramEnd"/>
      <w:r w:rsidRPr="00A43DB3">
        <w:rPr>
          <w:rFonts w:ascii="Times New Roman" w:hAnsi="Times New Roman" w:cs="Times New Roman"/>
          <w:sz w:val="24"/>
          <w:szCs w:val="24"/>
        </w:rPr>
        <w:t xml:space="preserve"> the implementation of the right to be forgotten. </w:t>
      </w:r>
    </w:p>
    <w:p w14:paraId="4B1836D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Correctly, in the view of the writer, the AG supported the need to establish a distinction according to the location from where the search is performed. In this sense, he argued that any search made beyond the European Union frontiers should not be subject to a de-referencing obligation.</w:t>
      </w:r>
      <w:r w:rsidRPr="00A43DB3">
        <w:rPr>
          <w:rStyle w:val="Refdenotaderodap"/>
          <w:rFonts w:ascii="Times New Roman" w:hAnsi="Times New Roman" w:cs="Times New Roman"/>
          <w:sz w:val="24"/>
          <w:szCs w:val="24"/>
        </w:rPr>
        <w:footnoteReference w:id="177"/>
      </w:r>
      <w:r w:rsidRPr="00A43DB3">
        <w:rPr>
          <w:rFonts w:ascii="Times New Roman" w:hAnsi="Times New Roman" w:cs="Times New Roman"/>
          <w:sz w:val="24"/>
          <w:szCs w:val="24"/>
        </w:rPr>
        <w:t xml:space="preserve"> </w:t>
      </w:r>
    </w:p>
    <w:p w14:paraId="7AFD7FB8"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Regarding the territorial application of the Directive, unsatisfactorily debated in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xml:space="preserve">, the AG drew upon the EU law and recalled that, according to Article 52(1) TEU, the Treaties are to be implemented throughout the European Union. Hence, in principle, </w:t>
      </w:r>
      <w:r w:rsidRPr="00A43DB3">
        <w:rPr>
          <w:rFonts w:ascii="Times New Roman" w:hAnsi="Times New Roman" w:cs="Times New Roman"/>
          <w:sz w:val="24"/>
          <w:szCs w:val="24"/>
        </w:rPr>
        <w:lastRenderedPageBreak/>
        <w:t>beyond such borders the EU law cannot apply or impose rights and obligations.</w:t>
      </w:r>
      <w:r w:rsidRPr="00A43DB3">
        <w:rPr>
          <w:rStyle w:val="Refdenotaderodap"/>
          <w:rFonts w:ascii="Times New Roman" w:hAnsi="Times New Roman" w:cs="Times New Roman"/>
          <w:sz w:val="24"/>
          <w:szCs w:val="24"/>
        </w:rPr>
        <w:footnoteReference w:id="178"/>
      </w:r>
      <w:r w:rsidRPr="00A43DB3">
        <w:rPr>
          <w:rFonts w:ascii="Times New Roman" w:hAnsi="Times New Roman" w:cs="Times New Roman"/>
          <w:sz w:val="24"/>
          <w:szCs w:val="24"/>
        </w:rPr>
        <w:t xml:space="preserve"> Similarly, the DPD could not be interpreted as meaning that it could apply outside the European Union, even for exceptional reasons, in accordance with </w:t>
      </w:r>
      <w:proofErr w:type="spellStart"/>
      <w:r w:rsidRPr="00A43DB3">
        <w:rPr>
          <w:rFonts w:ascii="Times New Roman" w:hAnsi="Times New Roman" w:cs="Times New Roman"/>
          <w:sz w:val="24"/>
          <w:szCs w:val="24"/>
        </w:rPr>
        <w:t>Szpunar’s</w:t>
      </w:r>
      <w:proofErr w:type="spellEnd"/>
      <w:r w:rsidRPr="00A43DB3">
        <w:rPr>
          <w:rFonts w:ascii="Times New Roman" w:hAnsi="Times New Roman" w:cs="Times New Roman"/>
          <w:sz w:val="24"/>
          <w:szCs w:val="24"/>
        </w:rPr>
        <w:t xml:space="preserve"> reasoning.</w:t>
      </w:r>
      <w:r w:rsidRPr="00A43DB3">
        <w:rPr>
          <w:rStyle w:val="Refdenotaderodap"/>
          <w:rFonts w:ascii="Times New Roman" w:hAnsi="Times New Roman" w:cs="Times New Roman"/>
          <w:sz w:val="24"/>
          <w:szCs w:val="24"/>
        </w:rPr>
        <w:footnoteReference w:id="179"/>
      </w:r>
      <w:r w:rsidRPr="00A43DB3">
        <w:rPr>
          <w:rFonts w:ascii="Times New Roman" w:hAnsi="Times New Roman" w:cs="Times New Roman"/>
          <w:sz w:val="24"/>
          <w:szCs w:val="24"/>
        </w:rPr>
        <w:t xml:space="preserve"> </w:t>
      </w:r>
    </w:p>
    <w:p w14:paraId="6A19A1F7"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Nevertheless, the AG recognised that there are specific situations in which extraterritorial effects are authorised by the EU legal framework.</w:t>
      </w:r>
      <w:r w:rsidRPr="00A43DB3">
        <w:rPr>
          <w:rStyle w:val="Refdenotaderodap"/>
          <w:rFonts w:ascii="Times New Roman" w:hAnsi="Times New Roman" w:cs="Times New Roman"/>
          <w:sz w:val="24"/>
          <w:szCs w:val="24"/>
        </w:rPr>
        <w:footnoteReference w:id="180"/>
      </w:r>
      <w:r w:rsidRPr="00A43DB3">
        <w:rPr>
          <w:rFonts w:ascii="Times New Roman" w:hAnsi="Times New Roman" w:cs="Times New Roman"/>
          <w:sz w:val="24"/>
          <w:szCs w:val="24"/>
        </w:rPr>
        <w:t xml:space="preserve"> According to settled case-law in competition matters, for example, the EU rules on competition, pursuant to Articles 101 and 102 TFEU, can apply to an undertaking, even located in a third country, which is party to such an agreement, provided that that agreement or practice is employed within the European Union.</w:t>
      </w:r>
      <w:r w:rsidRPr="00A43DB3">
        <w:rPr>
          <w:rStyle w:val="Refdenotaderodap"/>
          <w:rFonts w:ascii="Times New Roman" w:hAnsi="Times New Roman" w:cs="Times New Roman"/>
          <w:sz w:val="24"/>
          <w:szCs w:val="24"/>
        </w:rPr>
        <w:footnoteReference w:id="181"/>
      </w:r>
      <w:r w:rsidRPr="00A43DB3">
        <w:rPr>
          <w:rFonts w:ascii="Times New Roman" w:hAnsi="Times New Roman" w:cs="Times New Roman"/>
          <w:sz w:val="24"/>
          <w:szCs w:val="24"/>
        </w:rPr>
        <w:t xml:space="preserve"> Moreover, in trade mark law, as he paraphrased </w:t>
      </w:r>
      <w:r w:rsidRPr="00A43DB3">
        <w:rPr>
          <w:rFonts w:ascii="Times New Roman" w:hAnsi="Times New Roman" w:cs="Times New Roman"/>
          <w:i/>
          <w:iCs/>
          <w:sz w:val="24"/>
          <w:szCs w:val="24"/>
        </w:rPr>
        <w:t>L’Oréal and Others</w:t>
      </w:r>
      <w:r w:rsidRPr="00A43DB3">
        <w:rPr>
          <w:rFonts w:ascii="Times New Roman" w:hAnsi="Times New Roman" w:cs="Times New Roman"/>
          <w:sz w:val="24"/>
          <w:szCs w:val="24"/>
        </w:rPr>
        <w:t>,</w:t>
      </w:r>
      <w:r w:rsidRPr="00A43DB3">
        <w:rPr>
          <w:rStyle w:val="Refdenotaderodap"/>
          <w:rFonts w:ascii="Times New Roman" w:hAnsi="Times New Roman" w:cs="Times New Roman"/>
          <w:i/>
          <w:iCs/>
          <w:sz w:val="24"/>
          <w:szCs w:val="24"/>
        </w:rPr>
        <w:footnoteReference w:id="182"/>
      </w:r>
      <w:r w:rsidRPr="00A43DB3">
        <w:rPr>
          <w:rFonts w:ascii="Times New Roman" w:hAnsi="Times New Roman" w:cs="Times New Roman"/>
          <w:sz w:val="24"/>
          <w:szCs w:val="24"/>
        </w:rPr>
        <w:t xml:space="preserve"> the rules still apply even when the third party behind an offer or advertisement, the server of the internet site used by him or the product that is the subject of the offer or the advertisement are situated in a third state.</w:t>
      </w:r>
      <w:r w:rsidRPr="00A43DB3">
        <w:rPr>
          <w:rStyle w:val="Refdenotaderodap"/>
          <w:rFonts w:ascii="Times New Roman" w:hAnsi="Times New Roman" w:cs="Times New Roman"/>
          <w:sz w:val="24"/>
          <w:szCs w:val="24"/>
        </w:rPr>
        <w:footnoteReference w:id="183"/>
      </w:r>
      <w:r w:rsidRPr="00A43DB3">
        <w:rPr>
          <w:rFonts w:ascii="Times New Roman" w:hAnsi="Times New Roman" w:cs="Times New Roman"/>
          <w:sz w:val="24"/>
          <w:szCs w:val="24"/>
        </w:rPr>
        <w:t xml:space="preserve"> </w:t>
      </w:r>
    </w:p>
    <w:p w14:paraId="74675EC3"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any event, </w:t>
      </w:r>
      <w:proofErr w:type="spellStart"/>
      <w:r w:rsidRPr="00A43DB3">
        <w:rPr>
          <w:rFonts w:ascii="Times New Roman" w:hAnsi="Times New Roman" w:cs="Times New Roman"/>
          <w:sz w:val="24"/>
          <w:szCs w:val="24"/>
        </w:rPr>
        <w:t>Szpunar</w:t>
      </w:r>
      <w:proofErr w:type="spellEnd"/>
      <w:r w:rsidRPr="00A43DB3">
        <w:rPr>
          <w:rFonts w:ascii="Times New Roman" w:hAnsi="Times New Roman" w:cs="Times New Roman"/>
          <w:sz w:val="24"/>
          <w:szCs w:val="24"/>
        </w:rPr>
        <w:t xml:space="preserve"> observed that both examples are exceptional and consider the internal market, which is geographically delimitated by the Treaties. Diversely, the Internet operates worldwide, which makes the use of analogies or comparisons burdensome.</w:t>
      </w:r>
      <w:r w:rsidRPr="00A43DB3">
        <w:rPr>
          <w:rStyle w:val="Refdenotaderodap"/>
          <w:rFonts w:ascii="Times New Roman" w:hAnsi="Times New Roman" w:cs="Times New Roman"/>
          <w:sz w:val="24"/>
          <w:szCs w:val="24"/>
        </w:rPr>
        <w:footnoteReference w:id="184"/>
      </w:r>
      <w:r w:rsidRPr="00A43DB3">
        <w:rPr>
          <w:rFonts w:ascii="Times New Roman" w:hAnsi="Times New Roman" w:cs="Times New Roman"/>
          <w:sz w:val="24"/>
          <w:szCs w:val="24"/>
        </w:rPr>
        <w:t xml:space="preserve"> In the same manner, he argued that it is not possible to allude to the case-law of the European Court of Human Rights regarding death penalty or prohibition of torture, that are able to prevent the extradition of an individual to a third country and result in the application of extraterritorial effects of the corresponding rules.</w:t>
      </w:r>
      <w:r w:rsidRPr="00A43DB3">
        <w:rPr>
          <w:rStyle w:val="Refdenotaderodap"/>
          <w:rFonts w:ascii="Times New Roman" w:hAnsi="Times New Roman" w:cs="Times New Roman"/>
          <w:sz w:val="24"/>
          <w:szCs w:val="24"/>
        </w:rPr>
        <w:footnoteReference w:id="185"/>
      </w:r>
      <w:r w:rsidRPr="00A43DB3">
        <w:rPr>
          <w:rFonts w:ascii="Times New Roman" w:hAnsi="Times New Roman" w:cs="Times New Roman"/>
          <w:sz w:val="24"/>
          <w:szCs w:val="24"/>
        </w:rPr>
        <w:t xml:space="preserve"> </w:t>
      </w:r>
    </w:p>
    <w:p w14:paraId="3CAB5D78"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fact, in </w:t>
      </w:r>
      <w:proofErr w:type="spellStart"/>
      <w:r w:rsidRPr="00A43DB3">
        <w:rPr>
          <w:rFonts w:ascii="Times New Roman" w:hAnsi="Times New Roman" w:cs="Times New Roman"/>
          <w:i/>
          <w:iCs/>
          <w:sz w:val="24"/>
          <w:szCs w:val="24"/>
        </w:rPr>
        <w:t>Glawischnig-Piesczek</w:t>
      </w:r>
      <w:proofErr w:type="spellEnd"/>
      <w:r w:rsidRPr="00A43DB3">
        <w:rPr>
          <w:rFonts w:ascii="Times New Roman" w:hAnsi="Times New Roman" w:cs="Times New Roman"/>
          <w:i/>
          <w:iCs/>
          <w:sz w:val="24"/>
          <w:szCs w:val="24"/>
        </w:rPr>
        <w:t xml:space="preserve"> v Facebook</w:t>
      </w:r>
      <w:r w:rsidRPr="00A43DB3">
        <w:rPr>
          <w:rFonts w:ascii="Times New Roman" w:hAnsi="Times New Roman" w:cs="Times New Roman"/>
          <w:sz w:val="24"/>
          <w:szCs w:val="24"/>
        </w:rPr>
        <w:t xml:space="preserve"> the Court decided that </w:t>
      </w:r>
      <w:r w:rsidRPr="00A43DB3">
        <w:rPr>
          <w:rFonts w:ascii="Times New Roman" w:hAnsi="Times New Roman" w:cs="Times New Roman"/>
          <w:color w:val="000000"/>
          <w:sz w:val="24"/>
          <w:szCs w:val="24"/>
        </w:rPr>
        <w:t>Directive 2000/31 (E-Commerce Directive)</w:t>
      </w:r>
      <w:r w:rsidRPr="00A43DB3">
        <w:rPr>
          <w:rStyle w:val="Refdenotaderodap"/>
          <w:rFonts w:ascii="Times New Roman" w:hAnsi="Times New Roman" w:cs="Times New Roman"/>
          <w:color w:val="000000"/>
          <w:sz w:val="24"/>
          <w:szCs w:val="24"/>
        </w:rPr>
        <w:footnoteReference w:id="186"/>
      </w:r>
      <w:r w:rsidRPr="00A43DB3">
        <w:rPr>
          <w:rFonts w:ascii="Times New Roman" w:hAnsi="Times New Roman" w:cs="Times New Roman"/>
          <w:color w:val="000000"/>
          <w:sz w:val="24"/>
          <w:szCs w:val="24"/>
        </w:rPr>
        <w:t xml:space="preserve"> can produce effects worldwide,</w:t>
      </w:r>
      <w:r w:rsidRPr="00A43DB3">
        <w:rPr>
          <w:rStyle w:val="Refdenotaderodap"/>
          <w:rFonts w:ascii="Times New Roman" w:hAnsi="Times New Roman" w:cs="Times New Roman"/>
          <w:color w:val="000000"/>
          <w:sz w:val="24"/>
          <w:szCs w:val="24"/>
        </w:rPr>
        <w:footnoteReference w:id="187"/>
      </w:r>
      <w:r w:rsidRPr="00A43DB3">
        <w:rPr>
          <w:rFonts w:ascii="Times New Roman" w:hAnsi="Times New Roman" w:cs="Times New Roman"/>
          <w:color w:val="000000"/>
          <w:sz w:val="24"/>
          <w:szCs w:val="24"/>
        </w:rPr>
        <w:t xml:space="preserve"> and that its Article 15(1), specifically, ‘does not preclude a court of a Member State from ordering a host provider to remove information covered by the injunction or to block access to that information </w:t>
      </w:r>
      <w:r w:rsidRPr="00A43DB3">
        <w:rPr>
          <w:rFonts w:ascii="Times New Roman" w:hAnsi="Times New Roman" w:cs="Times New Roman"/>
          <w:color w:val="000000"/>
          <w:sz w:val="24"/>
          <w:szCs w:val="24"/>
        </w:rPr>
        <w:lastRenderedPageBreak/>
        <w:t>worldwide within the framework of the relevant international law’.</w:t>
      </w:r>
      <w:r w:rsidRPr="00A43DB3">
        <w:rPr>
          <w:rStyle w:val="Refdenotaderodap"/>
          <w:rFonts w:ascii="Times New Roman" w:hAnsi="Times New Roman" w:cs="Times New Roman"/>
          <w:color w:val="000000"/>
          <w:sz w:val="24"/>
          <w:szCs w:val="24"/>
        </w:rPr>
        <w:footnoteReference w:id="188"/>
      </w:r>
      <w:r w:rsidRPr="00A43DB3">
        <w:rPr>
          <w:rFonts w:ascii="Times New Roman" w:hAnsi="Times New Roman" w:cs="Times New Roman"/>
          <w:color w:val="000000"/>
          <w:sz w:val="24"/>
          <w:szCs w:val="24"/>
        </w:rPr>
        <w:t xml:space="preserve"> In this sense, extraterritorial effects </w:t>
      </w:r>
      <w:r w:rsidRPr="00A43DB3">
        <w:rPr>
          <w:rFonts w:ascii="Times New Roman" w:hAnsi="Times New Roman" w:cs="Times New Roman"/>
          <w:sz w:val="24"/>
          <w:szCs w:val="24"/>
        </w:rPr>
        <w:t xml:space="preserve">concerning the removal or blocking of illegal online content has been judicially recognised. </w:t>
      </w:r>
    </w:p>
    <w:p w14:paraId="152D9D8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By contrast, in consonance with the AG’s reasoning in </w:t>
      </w:r>
      <w:r w:rsidRPr="00A43DB3">
        <w:rPr>
          <w:rFonts w:ascii="Times New Roman" w:hAnsi="Times New Roman" w:cs="Times New Roman"/>
          <w:i/>
          <w:iCs/>
          <w:sz w:val="24"/>
          <w:szCs w:val="24"/>
        </w:rPr>
        <w:t>Google v CNIL</w:t>
      </w:r>
      <w:r w:rsidRPr="00A43DB3">
        <w:rPr>
          <w:rFonts w:ascii="Times New Roman" w:hAnsi="Times New Roman" w:cs="Times New Roman"/>
          <w:sz w:val="24"/>
          <w:szCs w:val="24"/>
        </w:rPr>
        <w:t xml:space="preserve">, the right to be forgotten would not entail such an extraterritorial application used in distinct areas of law, but should be balanced against other fundamental rights, as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xml:space="preserve"> also establish. Hence, the main argument against a worldwide de-referencing would be the requirement of a classic balancing test. As regards the right to freedom of information enshrined in Article 11 of the Charter, which amounts to one of the points to be considered in such assessment, the public to which that right is granted is not the worldwide public but, accordingly, the European public. Considering that such a public interest in receiving information varies within the European Union, a worldwide de-referencing would be even more challenging.</w:t>
      </w:r>
      <w:r w:rsidRPr="00A43DB3">
        <w:rPr>
          <w:rStyle w:val="Refdenotaderodap"/>
          <w:rFonts w:ascii="Times New Roman" w:hAnsi="Times New Roman" w:cs="Times New Roman"/>
          <w:sz w:val="24"/>
          <w:szCs w:val="24"/>
        </w:rPr>
        <w:footnoteReference w:id="189"/>
      </w:r>
      <w:r w:rsidRPr="00A43DB3">
        <w:rPr>
          <w:rFonts w:ascii="Times New Roman" w:hAnsi="Times New Roman" w:cs="Times New Roman"/>
          <w:sz w:val="24"/>
          <w:szCs w:val="24"/>
        </w:rPr>
        <w:t xml:space="preserve"> The Court reiterated the AG’s position and also pointed out that many non-European countries do not recognise the right to be forgotten or understand it in a divergent way.</w:t>
      </w:r>
      <w:r w:rsidRPr="00A43DB3">
        <w:rPr>
          <w:rStyle w:val="Refdenotaderodap"/>
          <w:rFonts w:ascii="Times New Roman" w:hAnsi="Times New Roman" w:cs="Times New Roman"/>
          <w:sz w:val="24"/>
          <w:szCs w:val="24"/>
        </w:rPr>
        <w:footnoteReference w:id="190"/>
      </w:r>
      <w:r w:rsidRPr="00A43DB3">
        <w:rPr>
          <w:rFonts w:ascii="Times New Roman" w:hAnsi="Times New Roman" w:cs="Times New Roman"/>
          <w:sz w:val="24"/>
          <w:szCs w:val="24"/>
        </w:rPr>
        <w:t xml:space="preserve"> It reminded one more time that the right to erasure is not an absolute right, but must be considered in conjunction with other fundamental rights, respecting the principle of proportionality.</w:t>
      </w:r>
      <w:r w:rsidRPr="00A43DB3">
        <w:rPr>
          <w:rStyle w:val="Refdenotaderodap"/>
          <w:rFonts w:ascii="Times New Roman" w:hAnsi="Times New Roman" w:cs="Times New Roman"/>
          <w:sz w:val="24"/>
          <w:szCs w:val="24"/>
        </w:rPr>
        <w:footnoteReference w:id="191"/>
      </w:r>
      <w:r w:rsidRPr="00A43DB3">
        <w:rPr>
          <w:rFonts w:ascii="Times New Roman" w:hAnsi="Times New Roman" w:cs="Times New Roman"/>
          <w:sz w:val="24"/>
          <w:szCs w:val="24"/>
        </w:rPr>
        <w:t xml:space="preserve"> </w:t>
      </w:r>
    </w:p>
    <w:p w14:paraId="12015B8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Nevertheless, the AG stressed that his reasoning does not mean that EU law can never require a search engine operator to comply with an order beyond the European borders, but the case at dispute regarding the de-referencing right would not demand the application of the DPD at a worldwide level.</w:t>
      </w:r>
      <w:r w:rsidRPr="00A43DB3">
        <w:rPr>
          <w:rStyle w:val="Refdenotaderodap"/>
          <w:rFonts w:ascii="Times New Roman" w:hAnsi="Times New Roman" w:cs="Times New Roman"/>
          <w:sz w:val="24"/>
          <w:szCs w:val="24"/>
        </w:rPr>
        <w:footnoteReference w:id="192"/>
      </w:r>
      <w:r w:rsidRPr="00A43DB3">
        <w:rPr>
          <w:rFonts w:ascii="Times New Roman" w:hAnsi="Times New Roman" w:cs="Times New Roman"/>
          <w:sz w:val="24"/>
          <w:szCs w:val="24"/>
        </w:rPr>
        <w:t xml:space="preserve"> Hence, for the AG, the right to de-referencing should be interpreted as meaning that the search engine operator would not be required to remove links on all the domain names</w:t>
      </w:r>
      <w:r w:rsidRPr="00A43DB3">
        <w:rPr>
          <w:rStyle w:val="Refdenotaderodap"/>
          <w:rFonts w:ascii="Times New Roman" w:hAnsi="Times New Roman" w:cs="Times New Roman"/>
          <w:sz w:val="24"/>
          <w:szCs w:val="24"/>
        </w:rPr>
        <w:footnoteReference w:id="193"/>
      </w:r>
      <w:r w:rsidRPr="00A43DB3">
        <w:rPr>
          <w:rFonts w:ascii="Times New Roman" w:hAnsi="Times New Roman" w:cs="Times New Roman"/>
          <w:sz w:val="24"/>
          <w:szCs w:val="24"/>
        </w:rPr>
        <w:t xml:space="preserve"> but only at the EU level. </w:t>
      </w:r>
    </w:p>
    <w:p w14:paraId="5921EE5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Court concluded that it could not be inferred from the provisions of the DPD and the GDPR that the EU law would have determined the territorial scope on the right to erasure to be applied outside the European Union or that it would have intended to impose on a search engine operator a requirement for de-referencing links to web pages containing personal information which encompasses the versions of its search engine that do not </w:t>
      </w:r>
      <w:r w:rsidRPr="00A43DB3">
        <w:rPr>
          <w:rFonts w:ascii="Times New Roman" w:hAnsi="Times New Roman" w:cs="Times New Roman"/>
          <w:sz w:val="24"/>
          <w:szCs w:val="24"/>
        </w:rPr>
        <w:lastRenderedPageBreak/>
        <w:t>pertain to the Member States.</w:t>
      </w:r>
      <w:r w:rsidRPr="00A43DB3">
        <w:rPr>
          <w:rStyle w:val="Refdenotaderodap"/>
          <w:rFonts w:ascii="Times New Roman" w:hAnsi="Times New Roman" w:cs="Times New Roman"/>
          <w:sz w:val="24"/>
          <w:szCs w:val="24"/>
        </w:rPr>
        <w:footnoteReference w:id="194"/>
      </w:r>
      <w:r w:rsidRPr="00A43DB3">
        <w:rPr>
          <w:rFonts w:ascii="Times New Roman" w:hAnsi="Times New Roman" w:cs="Times New Roman"/>
          <w:sz w:val="24"/>
          <w:szCs w:val="24"/>
        </w:rPr>
        <w:t xml:space="preserve"> It also mentioned that the GDPR provides for cooperation instruments and mechanisms available to the national data protection authorities that enable them, where appropriate, to reach a joint decision applicable within the Union, but similar provisions in the context of the scope of a de-referencing right beyond the Union borders do not exist.</w:t>
      </w:r>
      <w:r w:rsidRPr="00A43DB3">
        <w:rPr>
          <w:rStyle w:val="Refdenotaderodap"/>
          <w:rFonts w:ascii="Times New Roman" w:hAnsi="Times New Roman" w:cs="Times New Roman"/>
          <w:sz w:val="24"/>
          <w:szCs w:val="24"/>
        </w:rPr>
        <w:footnoteReference w:id="195"/>
      </w:r>
      <w:r w:rsidRPr="00A43DB3">
        <w:rPr>
          <w:rFonts w:ascii="Times New Roman" w:hAnsi="Times New Roman" w:cs="Times New Roman"/>
          <w:sz w:val="24"/>
          <w:szCs w:val="24"/>
        </w:rPr>
        <w:t xml:space="preserve"> Controversially, this statement did not seem to have contemplated Article 3(2)(b) GDPR, which extended the jurisdiction of the GDPR, in comparison to the territorial scope of the DPD, to situations where the controller is located outside the EU but monitors the behaviour of data subjects situated within the Union, that usually encompasses the use of cookies, which culminates in a global application of EU law. </w:t>
      </w:r>
    </w:p>
    <w:p w14:paraId="05C14957"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Nevertheless, in the light of all foregoing considerations, the Court made it clear that there is no obligation in the realm of EU law for a search engine operator, even following a de-referencing order from a judicial authority or a data protection authority of a Member State, to remove links at a worldwide scale.</w:t>
      </w:r>
      <w:r w:rsidRPr="00A43DB3">
        <w:rPr>
          <w:rStyle w:val="Refdenotaderodap"/>
          <w:rFonts w:ascii="Times New Roman" w:hAnsi="Times New Roman" w:cs="Times New Roman"/>
          <w:sz w:val="24"/>
          <w:szCs w:val="24"/>
        </w:rPr>
        <w:footnoteReference w:id="196"/>
      </w:r>
      <w:r w:rsidRPr="00A43DB3">
        <w:rPr>
          <w:rFonts w:ascii="Times New Roman" w:hAnsi="Times New Roman" w:cs="Times New Roman"/>
          <w:sz w:val="24"/>
          <w:szCs w:val="24"/>
        </w:rPr>
        <w:t xml:space="preserve"> </w:t>
      </w:r>
    </w:p>
    <w:p w14:paraId="632737E4"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fact, despite the Internet’s omnipresence, the worldwide application of EU law is heavily criticised and even classified as ‘data privacy imperialism’.</w:t>
      </w:r>
      <w:r w:rsidRPr="00A43DB3">
        <w:rPr>
          <w:rStyle w:val="Refdenotaderodap"/>
          <w:rFonts w:ascii="Times New Roman" w:hAnsi="Times New Roman" w:cs="Times New Roman"/>
          <w:sz w:val="24"/>
          <w:szCs w:val="24"/>
        </w:rPr>
        <w:footnoteReference w:id="197"/>
      </w:r>
      <w:r w:rsidRPr="00A43DB3">
        <w:rPr>
          <w:rFonts w:ascii="Times New Roman" w:hAnsi="Times New Roman" w:cs="Times New Roman"/>
          <w:sz w:val="24"/>
          <w:szCs w:val="24"/>
        </w:rPr>
        <w:t xml:space="preserve"> The imposition of European standards around the globe may represent a violation of the territoriality principle</w:t>
      </w:r>
      <w:r w:rsidRPr="00A43DB3">
        <w:rPr>
          <w:rStyle w:val="Refdenotaderodap"/>
          <w:rFonts w:ascii="Times New Roman" w:hAnsi="Times New Roman" w:cs="Times New Roman"/>
          <w:sz w:val="24"/>
          <w:szCs w:val="24"/>
        </w:rPr>
        <w:footnoteReference w:id="198"/>
      </w:r>
      <w:r w:rsidRPr="00A43DB3">
        <w:rPr>
          <w:rFonts w:ascii="Times New Roman" w:hAnsi="Times New Roman" w:cs="Times New Roman"/>
          <w:sz w:val="24"/>
          <w:szCs w:val="24"/>
        </w:rPr>
        <w:t xml:space="preserve"> and the reciprocity principle, in addition to being contrary to public international law and State sovereignty.</w:t>
      </w:r>
      <w:r w:rsidRPr="00A43DB3">
        <w:rPr>
          <w:rStyle w:val="Refdenotaderodap"/>
          <w:rFonts w:ascii="Times New Roman" w:hAnsi="Times New Roman" w:cs="Times New Roman"/>
          <w:sz w:val="24"/>
          <w:szCs w:val="24"/>
        </w:rPr>
        <w:footnoteReference w:id="199"/>
      </w:r>
      <w:r w:rsidRPr="00A43DB3">
        <w:rPr>
          <w:rFonts w:ascii="Times New Roman" w:hAnsi="Times New Roman" w:cs="Times New Roman"/>
          <w:sz w:val="24"/>
          <w:szCs w:val="24"/>
        </w:rPr>
        <w:t xml:space="preserve"> Accordingly, in </w:t>
      </w:r>
      <w:r w:rsidRPr="00A43DB3">
        <w:rPr>
          <w:rFonts w:ascii="Times New Roman" w:hAnsi="Times New Roman" w:cs="Times New Roman"/>
          <w:i/>
          <w:iCs/>
          <w:sz w:val="24"/>
          <w:szCs w:val="24"/>
        </w:rPr>
        <w:t>Lindqvist,</w:t>
      </w:r>
      <w:r w:rsidRPr="00A43DB3">
        <w:rPr>
          <w:rFonts w:ascii="Times New Roman" w:hAnsi="Times New Roman" w:cs="Times New Roman"/>
          <w:sz w:val="24"/>
          <w:szCs w:val="24"/>
        </w:rPr>
        <w:t xml:space="preserve"> the Court has previously ruled out that if a third State was not deemed to reach adequate protection of personal data, ‘the Member States would be obliged to prevent any personal data from being placed on the internet’.</w:t>
      </w:r>
      <w:r w:rsidRPr="00A43DB3">
        <w:rPr>
          <w:rStyle w:val="Refdenotaderodap"/>
          <w:rFonts w:ascii="Times New Roman" w:hAnsi="Times New Roman" w:cs="Times New Roman"/>
          <w:sz w:val="24"/>
          <w:szCs w:val="24"/>
        </w:rPr>
        <w:footnoteReference w:id="200"/>
      </w:r>
      <w:r w:rsidRPr="00A43DB3">
        <w:rPr>
          <w:rFonts w:ascii="Times New Roman" w:hAnsi="Times New Roman" w:cs="Times New Roman"/>
          <w:sz w:val="24"/>
          <w:szCs w:val="24"/>
        </w:rPr>
        <w:t xml:space="preserve"> Similarly, in </w:t>
      </w:r>
      <w:proofErr w:type="spellStart"/>
      <w:r w:rsidRPr="00A43DB3">
        <w:rPr>
          <w:rFonts w:ascii="Times New Roman" w:hAnsi="Times New Roman" w:cs="Times New Roman"/>
          <w:i/>
          <w:iCs/>
          <w:sz w:val="24"/>
          <w:szCs w:val="24"/>
        </w:rPr>
        <w:t>Schrems</w:t>
      </w:r>
      <w:proofErr w:type="spellEnd"/>
      <w:r w:rsidRPr="00A43DB3">
        <w:rPr>
          <w:rFonts w:ascii="Times New Roman" w:hAnsi="Times New Roman" w:cs="Times New Roman"/>
          <w:sz w:val="24"/>
          <w:szCs w:val="24"/>
        </w:rPr>
        <w:t>, it was decided that the national supervisory authorities do not have powers under the DPD regarding the processing of personal data outside the Union.</w:t>
      </w:r>
      <w:r w:rsidRPr="00A43DB3">
        <w:rPr>
          <w:rStyle w:val="Refdenotaderodap"/>
          <w:rFonts w:ascii="Times New Roman" w:hAnsi="Times New Roman" w:cs="Times New Roman"/>
          <w:sz w:val="24"/>
          <w:szCs w:val="24"/>
        </w:rPr>
        <w:footnoteReference w:id="201"/>
      </w:r>
      <w:r w:rsidRPr="00A43DB3">
        <w:rPr>
          <w:rFonts w:ascii="Times New Roman" w:hAnsi="Times New Roman" w:cs="Times New Roman"/>
          <w:sz w:val="24"/>
          <w:szCs w:val="24"/>
        </w:rPr>
        <w:t xml:space="preserve"> That being so, the DPD could not be applied worldwide. Within this framework, it seems that the Court did not want to create </w:t>
      </w:r>
      <w:r w:rsidRPr="00A43DB3">
        <w:rPr>
          <w:rFonts w:ascii="Times New Roman" w:hAnsi="Times New Roman" w:cs="Times New Roman"/>
          <w:sz w:val="24"/>
          <w:szCs w:val="24"/>
        </w:rPr>
        <w:lastRenderedPageBreak/>
        <w:t xml:space="preserve">unnecessary tensions with non-European countries. In any event, restricting de-referencing to EU borders only emphasises the factual impossibility of completely removing content from the Internet, making the right to be forgotten a right arduous to be accomplished. </w:t>
      </w:r>
    </w:p>
    <w:p w14:paraId="729802E3" w14:textId="77777777" w:rsidR="00481564" w:rsidRPr="00A43DB3" w:rsidRDefault="00481564" w:rsidP="00481564">
      <w:pPr>
        <w:spacing w:line="360" w:lineRule="auto"/>
        <w:jc w:val="both"/>
        <w:rPr>
          <w:rFonts w:ascii="Times New Roman" w:hAnsi="Times New Roman" w:cs="Times New Roman"/>
          <w:sz w:val="24"/>
          <w:szCs w:val="24"/>
        </w:rPr>
      </w:pPr>
    </w:p>
    <w:p w14:paraId="4CB3AF3B" w14:textId="77777777" w:rsidR="00481564" w:rsidRPr="00A43DB3" w:rsidRDefault="00481564" w:rsidP="00481564">
      <w:pPr>
        <w:pStyle w:val="PargrafodaLista"/>
        <w:spacing w:line="360" w:lineRule="auto"/>
        <w:jc w:val="both"/>
        <w:rPr>
          <w:rFonts w:ascii="Times New Roman" w:hAnsi="Times New Roman" w:cs="Times New Roman"/>
          <w:sz w:val="24"/>
          <w:szCs w:val="24"/>
        </w:rPr>
      </w:pPr>
    </w:p>
    <w:p w14:paraId="24565283" w14:textId="77777777" w:rsidR="00481564" w:rsidRPr="00A43DB3" w:rsidRDefault="00481564" w:rsidP="00481564">
      <w:pPr>
        <w:pStyle w:val="PargrafodaLista"/>
        <w:numPr>
          <w:ilvl w:val="1"/>
          <w:numId w:val="9"/>
        </w:numPr>
        <w:spacing w:line="360" w:lineRule="auto"/>
        <w:jc w:val="both"/>
        <w:rPr>
          <w:rFonts w:ascii="Times New Roman" w:hAnsi="Times New Roman" w:cs="Times New Roman"/>
          <w:b/>
          <w:bCs/>
          <w:sz w:val="24"/>
          <w:szCs w:val="24"/>
        </w:rPr>
      </w:pPr>
      <w:bookmarkStart w:id="69" w:name="_Hlk111705537"/>
      <w:r w:rsidRPr="00A43DB3">
        <w:rPr>
          <w:rFonts w:ascii="Times New Roman" w:hAnsi="Times New Roman" w:cs="Times New Roman"/>
          <w:b/>
          <w:bCs/>
          <w:sz w:val="24"/>
          <w:szCs w:val="24"/>
        </w:rPr>
        <w:t>De-referencing at national level or at EU level</w:t>
      </w:r>
    </w:p>
    <w:bookmarkEnd w:id="69"/>
    <w:p w14:paraId="1EA82A88"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Having endorsed that there is no requirement for the de-listing to be performed on all the versions of a search engine, an analysis of the second and third questions and the corresponding decision issued by the CJEU must be provided. </w:t>
      </w:r>
    </w:p>
    <w:p w14:paraId="34746D10"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second question forwarded by the French court sought to ascertain, in essence, whether the search engine operator was required only to de-reference the links in dispute from the results displayed on the domain name corresponding to the Member State in which the removal request by the data subject was deemed to have been made or, more generally, on the domain names that correspond to the national versions for all the Member States of the European Union.</w:t>
      </w:r>
      <w:r w:rsidRPr="00A43DB3">
        <w:rPr>
          <w:rStyle w:val="Refdenotaderodap"/>
          <w:rFonts w:ascii="Times New Roman" w:hAnsi="Times New Roman" w:cs="Times New Roman"/>
          <w:sz w:val="24"/>
          <w:szCs w:val="24"/>
        </w:rPr>
        <w:footnoteReference w:id="202"/>
      </w:r>
      <w:r w:rsidRPr="00A43DB3">
        <w:rPr>
          <w:rFonts w:ascii="Times New Roman" w:hAnsi="Times New Roman" w:cs="Times New Roman"/>
          <w:sz w:val="24"/>
          <w:szCs w:val="24"/>
        </w:rPr>
        <w:t xml:space="preserve"> </w:t>
      </w:r>
    </w:p>
    <w:p w14:paraId="7188C77E"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Lastly, the third question aimed to establish whether the operator was required to de-reference, through the geo-blocking technique, links from an IP address deemed to </w:t>
      </w:r>
      <w:proofErr w:type="gramStart"/>
      <w:r w:rsidRPr="00A43DB3">
        <w:rPr>
          <w:rFonts w:ascii="Times New Roman" w:hAnsi="Times New Roman" w:cs="Times New Roman"/>
          <w:sz w:val="24"/>
          <w:szCs w:val="24"/>
        </w:rPr>
        <w:t>be located in</w:t>
      </w:r>
      <w:proofErr w:type="gramEnd"/>
      <w:r w:rsidRPr="00A43DB3">
        <w:rPr>
          <w:rFonts w:ascii="Times New Roman" w:hAnsi="Times New Roman" w:cs="Times New Roman"/>
          <w:sz w:val="24"/>
          <w:szCs w:val="24"/>
        </w:rPr>
        <w:t xml:space="preserve"> the State where the data subject resides or, more generally, from an IP address deemed to be located in one of the Member States, regardless of the domain name used by the Internet user conducting the search.</w:t>
      </w:r>
      <w:r w:rsidRPr="00A43DB3">
        <w:rPr>
          <w:rStyle w:val="Refdenotaderodap"/>
          <w:rFonts w:ascii="Times New Roman" w:hAnsi="Times New Roman" w:cs="Times New Roman"/>
          <w:sz w:val="24"/>
          <w:szCs w:val="24"/>
        </w:rPr>
        <w:footnoteReference w:id="203"/>
      </w:r>
      <w:r w:rsidRPr="00A43DB3">
        <w:rPr>
          <w:rFonts w:ascii="Times New Roman" w:hAnsi="Times New Roman" w:cs="Times New Roman"/>
          <w:sz w:val="24"/>
          <w:szCs w:val="24"/>
        </w:rPr>
        <w:t xml:space="preserve"> </w:t>
      </w:r>
    </w:p>
    <w:p w14:paraId="275A0DF5"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It was surely of relevance to decide if removing links only from the place where the data subject resides would suffice, because the publication of personal content regarding an individual is undoubtedly more likely to be accessed by his close contacts, such as relatives, friends and colleagues, and consequently more likely to negatively affect him, as opposed to the display of such information in a distant country, even within the European Union, where the repercussion of it would arguably not be as prejudicial to the data subject. </w:t>
      </w:r>
    </w:p>
    <w:p w14:paraId="44D63A1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lastRenderedPageBreak/>
        <w:t xml:space="preserve">The AG advocated for a de-referencing at EU level. He reasoned that, according to its Recital 10, the purpose of the DPD was to guarantee a high level of protection in the European Union and, thus, its system of data protection was applicable beyond the Member States. Accordingly, restricting the applicability of the de-referencing right to the national borders would be against the harmonisation targeted by the Directive. Further, </w:t>
      </w:r>
      <w:proofErr w:type="spellStart"/>
      <w:r w:rsidRPr="00A43DB3">
        <w:rPr>
          <w:rFonts w:ascii="Times New Roman" w:hAnsi="Times New Roman" w:cs="Times New Roman"/>
          <w:sz w:val="24"/>
          <w:szCs w:val="24"/>
        </w:rPr>
        <w:t>Szpunar</w:t>
      </w:r>
      <w:proofErr w:type="spellEnd"/>
      <w:r w:rsidRPr="00A43DB3">
        <w:rPr>
          <w:rFonts w:ascii="Times New Roman" w:hAnsi="Times New Roman" w:cs="Times New Roman"/>
          <w:sz w:val="24"/>
          <w:szCs w:val="24"/>
        </w:rPr>
        <w:t xml:space="preserve"> argued that under the GDPR, however, this question would not have been relevant, once such legislation expressly stipulates that it shall be ‘directly applicable in all Member States’.</w:t>
      </w:r>
      <w:r w:rsidRPr="00A43DB3">
        <w:rPr>
          <w:rStyle w:val="Refdenotaderodap"/>
          <w:rFonts w:ascii="Times New Roman" w:hAnsi="Times New Roman" w:cs="Times New Roman"/>
          <w:sz w:val="24"/>
          <w:szCs w:val="24"/>
        </w:rPr>
        <w:footnoteReference w:id="204"/>
      </w:r>
      <w:r w:rsidRPr="00A43DB3">
        <w:rPr>
          <w:rFonts w:ascii="Times New Roman" w:hAnsi="Times New Roman" w:cs="Times New Roman"/>
          <w:sz w:val="24"/>
          <w:szCs w:val="24"/>
        </w:rPr>
        <w:t xml:space="preserve"> In its turn, the Court stressed that the fact that the European choice to codify data protection law through the Regulation, which, as mentioned by the AG, is directly applicable in the territory of the Union, it follows that such de-referencing request is, in principle, to be complied with within all the Member States. As regards the balancing test, emphasised throughout the whole judgment, the Court recalled that its outcome may not be the same for all the Member States,</w:t>
      </w:r>
      <w:r w:rsidRPr="00A43DB3">
        <w:rPr>
          <w:rStyle w:val="Refdenotaderodap"/>
          <w:rFonts w:ascii="Times New Roman" w:hAnsi="Times New Roman" w:cs="Times New Roman"/>
          <w:sz w:val="24"/>
          <w:szCs w:val="24"/>
        </w:rPr>
        <w:footnoteReference w:id="205"/>
      </w:r>
      <w:r w:rsidRPr="00A43DB3">
        <w:rPr>
          <w:rFonts w:ascii="Times New Roman" w:hAnsi="Times New Roman" w:cs="Times New Roman"/>
          <w:sz w:val="24"/>
          <w:szCs w:val="24"/>
        </w:rPr>
        <w:t xml:space="preserve"> demonstrating that even within the European Union a consensus in the context of the de-referencing right is not always straightforward to be reached. </w:t>
      </w:r>
    </w:p>
    <w:p w14:paraId="6980104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color w:val="000000" w:themeColor="text1"/>
          <w:sz w:val="24"/>
          <w:szCs w:val="24"/>
        </w:rPr>
        <w:t xml:space="preserve">Indeed, ‘in principle’ does not mean that it represents an obligation. Furthermore, there also exist critiques regarding a single decision binding on all Member States since, as exposed, there are divergent standards for each of them. </w:t>
      </w:r>
      <w:r w:rsidRPr="00A43DB3">
        <w:rPr>
          <w:rFonts w:ascii="Times New Roman" w:hAnsi="Times New Roman" w:cs="Times New Roman"/>
          <w:sz w:val="24"/>
          <w:szCs w:val="24"/>
        </w:rPr>
        <w:t>In any event, the need for consensus between EU data protection authorities prior to apply an imposition to de-reference at the Union level, they should a fortiori agree to reach a similar decision worldwide.</w:t>
      </w:r>
      <w:r w:rsidRPr="00A43DB3">
        <w:rPr>
          <w:rStyle w:val="Refdenotaderodap"/>
          <w:rFonts w:ascii="Times New Roman" w:hAnsi="Times New Roman" w:cs="Times New Roman"/>
          <w:sz w:val="24"/>
          <w:szCs w:val="24"/>
        </w:rPr>
        <w:footnoteReference w:id="206"/>
      </w:r>
      <w:r w:rsidRPr="00A43DB3">
        <w:rPr>
          <w:rFonts w:ascii="Times New Roman" w:hAnsi="Times New Roman" w:cs="Times New Roman"/>
          <w:sz w:val="24"/>
          <w:szCs w:val="24"/>
        </w:rPr>
        <w:t xml:space="preserve"> </w:t>
      </w:r>
      <w:r w:rsidRPr="00A43DB3">
        <w:rPr>
          <w:rFonts w:ascii="Times New Roman" w:hAnsi="Times New Roman" w:cs="Times New Roman"/>
          <w:color w:val="000000" w:themeColor="text1"/>
          <w:sz w:val="24"/>
          <w:szCs w:val="24"/>
        </w:rPr>
        <w:t xml:space="preserve">In this sense, a de-referencing obligation must be applied within the European Union or at a global level only under specific circumstances, following an individual assessment on a case-by-case basis. </w:t>
      </w:r>
    </w:p>
    <w:p w14:paraId="70FE226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Under some circumstances, EU legislation provides the possibility of a Member State to issue decisions to be implemented in other Member States. Directive 2017/541</w:t>
      </w:r>
      <w:r w:rsidRPr="00A43DB3">
        <w:rPr>
          <w:rStyle w:val="Refdenotaderodap"/>
          <w:rFonts w:ascii="Times New Roman" w:hAnsi="Times New Roman" w:cs="Times New Roman"/>
          <w:sz w:val="24"/>
          <w:szCs w:val="24"/>
        </w:rPr>
        <w:footnoteReference w:id="207"/>
      </w:r>
      <w:r w:rsidRPr="00A43DB3">
        <w:rPr>
          <w:rFonts w:ascii="Times New Roman" w:hAnsi="Times New Roman" w:cs="Times New Roman"/>
          <w:sz w:val="24"/>
          <w:szCs w:val="24"/>
        </w:rPr>
        <w:t xml:space="preserve"> on combatting terrorism, for example, establishes that regarding </w:t>
      </w:r>
      <w:r w:rsidRPr="00A43DB3">
        <w:rPr>
          <w:rFonts w:ascii="Times New Roman" w:hAnsi="Times New Roman" w:cs="Times New Roman"/>
          <w:color w:val="000000"/>
          <w:sz w:val="24"/>
          <w:szCs w:val="24"/>
          <w:shd w:val="clear" w:color="auto" w:fill="FFFFFF"/>
        </w:rPr>
        <w:t>online content comprising a public provocation to commit a terrorist offence</w:t>
      </w:r>
      <w:r w:rsidRPr="00A43DB3">
        <w:rPr>
          <w:rFonts w:ascii="Times New Roman" w:hAnsi="Times New Roman" w:cs="Times New Roman"/>
          <w:sz w:val="24"/>
          <w:szCs w:val="24"/>
        </w:rPr>
        <w:t xml:space="preserve"> </w:t>
      </w:r>
      <w:r w:rsidRPr="00A43DB3">
        <w:rPr>
          <w:rFonts w:ascii="Times New Roman" w:hAnsi="Times New Roman" w:cs="Times New Roman"/>
          <w:color w:val="000000"/>
          <w:sz w:val="24"/>
          <w:szCs w:val="24"/>
          <w:shd w:val="clear" w:color="auto" w:fill="FFFFFF"/>
        </w:rPr>
        <w:t xml:space="preserve">the European States shall ensure the prompt removal of such material, where it is hosted in their territory, in addition to </w:t>
      </w:r>
      <w:r w:rsidRPr="00A43DB3">
        <w:rPr>
          <w:rFonts w:ascii="Times New Roman" w:hAnsi="Times New Roman" w:cs="Times New Roman"/>
          <w:color w:val="000000"/>
          <w:sz w:val="24"/>
          <w:szCs w:val="24"/>
          <w:shd w:val="clear" w:color="auto" w:fill="FFFFFF"/>
        </w:rPr>
        <w:lastRenderedPageBreak/>
        <w:t>endeavour to reach the same objective where the content is hosted outside their territory,</w:t>
      </w:r>
      <w:r w:rsidRPr="00A43DB3">
        <w:rPr>
          <w:rStyle w:val="Refdenotaderodap"/>
          <w:rFonts w:ascii="Times New Roman" w:hAnsi="Times New Roman" w:cs="Times New Roman"/>
          <w:color w:val="000000"/>
          <w:sz w:val="24"/>
          <w:szCs w:val="24"/>
          <w:shd w:val="clear" w:color="auto" w:fill="FFFFFF"/>
        </w:rPr>
        <w:footnoteReference w:id="208"/>
      </w:r>
      <w:r w:rsidRPr="00A43DB3">
        <w:rPr>
          <w:rFonts w:ascii="Times New Roman" w:hAnsi="Times New Roman" w:cs="Times New Roman"/>
          <w:color w:val="000000"/>
          <w:sz w:val="24"/>
          <w:szCs w:val="24"/>
          <w:shd w:val="clear" w:color="auto" w:fill="FFFFFF"/>
        </w:rPr>
        <w:t xml:space="preserve"> permitting extraterritorial effects. </w:t>
      </w:r>
    </w:p>
    <w:p w14:paraId="607BA23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GDPR lays down some provisions connected with the harmonisation of data protection within the Union, namely the cooperation and consistency mechanisms enshrined in its Chapter VII, such as the requirement that the supervisory authorities concerned must cooperate to reach consensus and a single decision which is binding on all those authorities, as well as the stipulation that the authorities must provide each other with relevant information and mutual assistance in order to apply the Regulation in a consistent manner throughout the Union. In this sense, the Court held, the national supervisory authorities are equipped to balance interests and, therefore, to reach, where appropriate, a de-referencing decision encompassing all online searches that occur within the European Union.</w:t>
      </w:r>
      <w:r w:rsidRPr="00A43DB3">
        <w:rPr>
          <w:rStyle w:val="Refdenotaderodap"/>
          <w:rFonts w:ascii="Times New Roman" w:hAnsi="Times New Roman" w:cs="Times New Roman"/>
          <w:sz w:val="24"/>
          <w:szCs w:val="24"/>
        </w:rPr>
        <w:footnoteReference w:id="209"/>
      </w:r>
      <w:r w:rsidRPr="00A43DB3">
        <w:rPr>
          <w:rFonts w:ascii="Times New Roman" w:hAnsi="Times New Roman" w:cs="Times New Roman"/>
          <w:sz w:val="24"/>
          <w:szCs w:val="24"/>
        </w:rPr>
        <w:t xml:space="preserve"> </w:t>
      </w:r>
    </w:p>
    <w:p w14:paraId="020BD4B5"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Nevertheless, as the AG had previously mentioned, the Court also stressed that, </w:t>
      </w:r>
      <w:proofErr w:type="gramStart"/>
      <w:r w:rsidRPr="00A43DB3">
        <w:rPr>
          <w:rFonts w:ascii="Times New Roman" w:hAnsi="Times New Roman" w:cs="Times New Roman"/>
          <w:sz w:val="24"/>
          <w:szCs w:val="24"/>
        </w:rPr>
        <w:t>despite the fact that</w:t>
      </w:r>
      <w:proofErr w:type="gramEnd"/>
      <w:r w:rsidRPr="00A43DB3">
        <w:rPr>
          <w:rFonts w:ascii="Times New Roman" w:hAnsi="Times New Roman" w:cs="Times New Roman"/>
          <w:sz w:val="24"/>
          <w:szCs w:val="24"/>
        </w:rPr>
        <w:t xml:space="preserve"> there is no obligation stemming from EU law to de-reference on all versions of the search engine at stake, there is no prohibition on such a practice either. As pertinently noted by Wrigley and Klinefelter, the Court’s insufficient clarification as to the possibility of imposing a de-referencing obligation globally seems to indicate that it currently holds that the GDPR does not apply outside the EU but ‘but it may do so in the future’.</w:t>
      </w:r>
      <w:r w:rsidRPr="00A43DB3">
        <w:rPr>
          <w:rStyle w:val="Refdenotaderodap"/>
          <w:rFonts w:ascii="Times New Roman" w:hAnsi="Times New Roman" w:cs="Times New Roman"/>
          <w:sz w:val="24"/>
          <w:szCs w:val="24"/>
        </w:rPr>
        <w:footnoteReference w:id="210"/>
      </w:r>
      <w:r w:rsidRPr="00A43DB3">
        <w:rPr>
          <w:rFonts w:ascii="Times New Roman" w:hAnsi="Times New Roman" w:cs="Times New Roman"/>
          <w:sz w:val="24"/>
          <w:szCs w:val="24"/>
        </w:rPr>
        <w:t xml:space="preserve"> In this sense, a supervisory or judicial authority of a Member State has the competence to balance fundamental rights and eventually impose on the search engine operator the duty to proceed to the removal of links from its list of results on all versions of that search engine.</w:t>
      </w:r>
      <w:r w:rsidRPr="00A43DB3">
        <w:rPr>
          <w:rStyle w:val="Refdenotaderodap"/>
          <w:rFonts w:ascii="Times New Roman" w:hAnsi="Times New Roman" w:cs="Times New Roman"/>
          <w:sz w:val="24"/>
          <w:szCs w:val="24"/>
        </w:rPr>
        <w:footnoteReference w:id="211"/>
      </w:r>
      <w:r w:rsidRPr="00A43DB3">
        <w:rPr>
          <w:rFonts w:ascii="Times New Roman" w:hAnsi="Times New Roman" w:cs="Times New Roman"/>
          <w:sz w:val="24"/>
          <w:szCs w:val="24"/>
        </w:rPr>
        <w:t xml:space="preserve"> </w:t>
      </w:r>
      <w:r w:rsidRPr="00A43DB3">
        <w:rPr>
          <w:rFonts w:ascii="Times New Roman" w:hAnsi="Times New Roman" w:cs="Times New Roman"/>
          <w:color w:val="000000" w:themeColor="text1"/>
          <w:sz w:val="24"/>
          <w:szCs w:val="24"/>
        </w:rPr>
        <w:t xml:space="preserve">Again, the term ‘competence’ merely represents the possibility that such authorities hold to demand the removal of content worldwide in exceptional cases, not a general rule to do so. </w:t>
      </w:r>
    </w:p>
    <w:p w14:paraId="1AEBCF5D" w14:textId="77777777" w:rsidR="00481564" w:rsidRPr="00A43DB3" w:rsidRDefault="00481564" w:rsidP="00481564">
      <w:pPr>
        <w:spacing w:line="360" w:lineRule="auto"/>
        <w:jc w:val="both"/>
        <w:rPr>
          <w:rFonts w:ascii="Times New Roman" w:hAnsi="Times New Roman" w:cs="Times New Roman"/>
          <w:sz w:val="24"/>
          <w:szCs w:val="24"/>
        </w:rPr>
      </w:pPr>
      <w:proofErr w:type="spellStart"/>
      <w:r w:rsidRPr="00A43DB3">
        <w:rPr>
          <w:rFonts w:ascii="Times New Roman" w:hAnsi="Times New Roman" w:cs="Times New Roman"/>
          <w:sz w:val="24"/>
          <w:szCs w:val="24"/>
        </w:rPr>
        <w:t>Szpunar</w:t>
      </w:r>
      <w:proofErr w:type="spellEnd"/>
      <w:r w:rsidRPr="00A43DB3">
        <w:rPr>
          <w:rFonts w:ascii="Times New Roman" w:hAnsi="Times New Roman" w:cs="Times New Roman"/>
          <w:sz w:val="24"/>
          <w:szCs w:val="24"/>
        </w:rPr>
        <w:t xml:space="preserve"> correctly noted that in both questions the referring court created an association between the domain name of a search engine and the location from which an online search is conducted.</w:t>
      </w:r>
      <w:r w:rsidRPr="00A43DB3">
        <w:rPr>
          <w:rStyle w:val="Refdenotaderodap"/>
          <w:rFonts w:ascii="Times New Roman" w:hAnsi="Times New Roman" w:cs="Times New Roman"/>
          <w:sz w:val="24"/>
          <w:szCs w:val="24"/>
        </w:rPr>
        <w:footnoteReference w:id="212"/>
      </w:r>
      <w:r w:rsidRPr="00A43DB3">
        <w:rPr>
          <w:rFonts w:ascii="Times New Roman" w:hAnsi="Times New Roman" w:cs="Times New Roman"/>
          <w:sz w:val="24"/>
          <w:szCs w:val="24"/>
        </w:rPr>
        <w:t xml:space="preserve"> In this sense, </w:t>
      </w:r>
      <w:proofErr w:type="gramStart"/>
      <w:r w:rsidRPr="00A43DB3">
        <w:rPr>
          <w:rFonts w:ascii="Times New Roman" w:hAnsi="Times New Roman" w:cs="Times New Roman"/>
          <w:sz w:val="24"/>
          <w:szCs w:val="24"/>
        </w:rPr>
        <w:t>it should be pointed out that ‘IP’</w:t>
      </w:r>
      <w:proofErr w:type="gramEnd"/>
      <w:r w:rsidRPr="00A43DB3">
        <w:rPr>
          <w:rFonts w:ascii="Times New Roman" w:hAnsi="Times New Roman" w:cs="Times New Roman"/>
          <w:sz w:val="24"/>
          <w:szCs w:val="24"/>
        </w:rPr>
        <w:t xml:space="preserve"> stands for Internet Protocol and an IP address is a unique string of characters which identifies a device on the Internet or a local network. On the other hand, a domain name is a wording choice easier to be </w:t>
      </w:r>
      <w:r w:rsidRPr="00A43DB3">
        <w:rPr>
          <w:rFonts w:ascii="Times New Roman" w:hAnsi="Times New Roman" w:cs="Times New Roman"/>
          <w:sz w:val="24"/>
          <w:szCs w:val="24"/>
        </w:rPr>
        <w:lastRenderedPageBreak/>
        <w:t xml:space="preserve">remembered by humans which is connected to an IP address, handily readable by machines. For example, one of the IP addresses used by Google is ‘216.58.223.255’. An Internet user can type such a number on the address bar to access the Google page. Nevertheless, he can effortlessly enter the same website through a domain name, such as ‘google.fr’ or ‘google.ie’. </w:t>
      </w:r>
    </w:p>
    <w:p w14:paraId="637EF1AF"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fact, a person can make a search on any domain name of a search engine.</w:t>
      </w:r>
      <w:r w:rsidRPr="00A43DB3">
        <w:rPr>
          <w:rStyle w:val="Refdenotaderodap"/>
          <w:rFonts w:ascii="Times New Roman" w:hAnsi="Times New Roman" w:cs="Times New Roman"/>
          <w:sz w:val="24"/>
          <w:szCs w:val="24"/>
        </w:rPr>
        <w:footnoteReference w:id="213"/>
      </w:r>
      <w:r w:rsidRPr="00A43DB3">
        <w:rPr>
          <w:rFonts w:ascii="Times New Roman" w:hAnsi="Times New Roman" w:cs="Times New Roman"/>
          <w:sz w:val="24"/>
          <w:szCs w:val="24"/>
        </w:rPr>
        <w:t xml:space="preserve"> For instance, an individual located in France may access ‘google.ie’, despite not being in the Irish territory, or even a domain name pertaining to a third State, such as ‘google.cl’, which corresponds to its Chilean version. Nevertheless, the geo-blocking technology may impede such possibility.</w:t>
      </w:r>
      <w:r w:rsidRPr="00A43DB3">
        <w:rPr>
          <w:rStyle w:val="Refdenotaderodap"/>
          <w:rFonts w:ascii="Times New Roman" w:hAnsi="Times New Roman" w:cs="Times New Roman"/>
          <w:sz w:val="24"/>
          <w:szCs w:val="24"/>
        </w:rPr>
        <w:footnoteReference w:id="214"/>
      </w:r>
      <w:r w:rsidRPr="00A43DB3">
        <w:rPr>
          <w:rFonts w:ascii="Times New Roman" w:hAnsi="Times New Roman" w:cs="Times New Roman"/>
          <w:sz w:val="24"/>
          <w:szCs w:val="24"/>
        </w:rPr>
        <w:t xml:space="preserve"> The AG explained that geo-blocking is a technique that limits access to online information in accordance with the location where the person making a search is found. Such a system </w:t>
      </w:r>
      <w:proofErr w:type="gramStart"/>
      <w:r w:rsidRPr="00A43DB3">
        <w:rPr>
          <w:rFonts w:ascii="Times New Roman" w:hAnsi="Times New Roman" w:cs="Times New Roman"/>
          <w:sz w:val="24"/>
          <w:szCs w:val="24"/>
        </w:rPr>
        <w:t>is able to</w:t>
      </w:r>
      <w:proofErr w:type="gramEnd"/>
      <w:r w:rsidRPr="00A43DB3">
        <w:rPr>
          <w:rFonts w:ascii="Times New Roman" w:hAnsi="Times New Roman" w:cs="Times New Roman"/>
          <w:sz w:val="24"/>
          <w:szCs w:val="24"/>
        </w:rPr>
        <w:t xml:space="preserve"> identify the geographic location of the user by verifying his IP address, for example.</w:t>
      </w:r>
      <w:r w:rsidRPr="00A43DB3">
        <w:rPr>
          <w:rStyle w:val="Refdenotaderodap"/>
          <w:rFonts w:ascii="Times New Roman" w:hAnsi="Times New Roman" w:cs="Times New Roman"/>
          <w:sz w:val="24"/>
          <w:szCs w:val="24"/>
        </w:rPr>
        <w:footnoteReference w:id="215"/>
      </w:r>
      <w:r w:rsidRPr="00A43DB3">
        <w:rPr>
          <w:rFonts w:ascii="Times New Roman" w:hAnsi="Times New Roman" w:cs="Times New Roman"/>
          <w:sz w:val="24"/>
          <w:szCs w:val="24"/>
        </w:rPr>
        <w:t xml:space="preserve"> In this connection, if the geo-blocking is accepted, the domain name is irrelevant,</w:t>
      </w:r>
      <w:r w:rsidRPr="00A43DB3">
        <w:rPr>
          <w:rStyle w:val="Refdenotaderodap"/>
          <w:rFonts w:ascii="Times New Roman" w:hAnsi="Times New Roman" w:cs="Times New Roman"/>
          <w:sz w:val="24"/>
          <w:szCs w:val="24"/>
        </w:rPr>
        <w:footnoteReference w:id="216"/>
      </w:r>
      <w:r w:rsidRPr="00A43DB3">
        <w:rPr>
          <w:rFonts w:ascii="Times New Roman" w:hAnsi="Times New Roman" w:cs="Times New Roman"/>
          <w:sz w:val="24"/>
          <w:szCs w:val="24"/>
        </w:rPr>
        <w:t xml:space="preserve"> once the user will be prevented from accessing the information erased following a de-referencing request on a different domain name where the same information is still lawfully displayed. </w:t>
      </w:r>
    </w:p>
    <w:p w14:paraId="180AC1AF"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this connection, the AG stated that the search engine operator must take all measures technically available to him to ensure effective and complete de-referencing, which may include the geo-blocking technique.</w:t>
      </w:r>
      <w:r w:rsidRPr="00A43DB3">
        <w:rPr>
          <w:rStyle w:val="Refdenotaderodap"/>
          <w:rFonts w:ascii="Times New Roman" w:hAnsi="Times New Roman" w:cs="Times New Roman"/>
          <w:sz w:val="24"/>
          <w:szCs w:val="24"/>
        </w:rPr>
        <w:footnoteReference w:id="217"/>
      </w:r>
      <w:r w:rsidRPr="00A43DB3">
        <w:rPr>
          <w:rFonts w:ascii="Times New Roman" w:hAnsi="Times New Roman" w:cs="Times New Roman"/>
          <w:sz w:val="24"/>
          <w:szCs w:val="24"/>
        </w:rPr>
        <w:t xml:space="preserve"> The Court reiterated the AG’s position and allowed the usage of measures by search engine operators that, besides meeting the lawfulness requirements, are capable of ‘preventing or, at the very least, seriously discouraging internet users in the Member States from gaining access to the links in question’.</w:t>
      </w:r>
      <w:r w:rsidRPr="00A43DB3">
        <w:rPr>
          <w:rStyle w:val="Refdenotaderodap"/>
          <w:rFonts w:ascii="Times New Roman" w:hAnsi="Times New Roman" w:cs="Times New Roman"/>
          <w:sz w:val="24"/>
          <w:szCs w:val="24"/>
        </w:rPr>
        <w:footnoteReference w:id="218"/>
      </w:r>
      <w:r w:rsidRPr="00A43DB3">
        <w:rPr>
          <w:rFonts w:ascii="Times New Roman" w:hAnsi="Times New Roman" w:cs="Times New Roman"/>
          <w:sz w:val="24"/>
          <w:szCs w:val="24"/>
        </w:rPr>
        <w:t xml:space="preserve"> In reality, geo-blocking and similar technologies may not be sufficient to limit the access of online content. Indeed, there exist ways to circumvent the right to be forgotten by using a virtual private network (VPN), proxy servers or anonymous networks, which do not reveal the real location of the user. However, as the Court indicated, the measures adopted by search engine operators must at least make the information more laborious to be found, if not totally unavailable. It may seem a lenient </w:t>
      </w:r>
      <w:r w:rsidRPr="00A43DB3">
        <w:rPr>
          <w:rFonts w:ascii="Times New Roman" w:hAnsi="Times New Roman" w:cs="Times New Roman"/>
          <w:sz w:val="24"/>
          <w:szCs w:val="24"/>
        </w:rPr>
        <w:lastRenderedPageBreak/>
        <w:t xml:space="preserve">approach, but it rightly considers the fact that it is unconceivable that technologies are impossible to be circumvented. </w:t>
      </w:r>
    </w:p>
    <w:p w14:paraId="6FB51AC2"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CJEU held that the national court or, in this instance, the French court, must determine whether the techniques employed or suggested by Google, such as geo-blocking, meet the legal requirements</w:t>
      </w:r>
      <w:r w:rsidRPr="00A43DB3">
        <w:rPr>
          <w:rStyle w:val="Refdenotaderodap"/>
          <w:rFonts w:ascii="Times New Roman" w:hAnsi="Times New Roman" w:cs="Times New Roman"/>
          <w:sz w:val="24"/>
          <w:szCs w:val="24"/>
        </w:rPr>
        <w:footnoteReference w:id="219"/>
      </w:r>
      <w:r w:rsidRPr="00A43DB3">
        <w:rPr>
          <w:rFonts w:ascii="Times New Roman" w:hAnsi="Times New Roman" w:cs="Times New Roman"/>
          <w:sz w:val="24"/>
          <w:szCs w:val="24"/>
        </w:rPr>
        <w:t xml:space="preserve"> and, thus, can be adopted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make the de-referencing obligation effectively implemented.  </w:t>
      </w:r>
      <w:r w:rsidRPr="00A43DB3">
        <w:rPr>
          <w:rFonts w:ascii="Times New Roman" w:hAnsi="Times New Roman" w:cs="Times New Roman"/>
          <w:color w:val="000000" w:themeColor="text1"/>
          <w:sz w:val="24"/>
          <w:szCs w:val="24"/>
        </w:rPr>
        <w:t xml:space="preserve">For instance, the technology-neutral approach adopted by the Court in </w:t>
      </w:r>
      <w:r w:rsidRPr="00A43DB3">
        <w:rPr>
          <w:rFonts w:ascii="Times New Roman" w:hAnsi="Times New Roman" w:cs="Times New Roman"/>
          <w:i/>
          <w:iCs/>
          <w:color w:val="000000" w:themeColor="text1"/>
          <w:sz w:val="24"/>
          <w:szCs w:val="24"/>
        </w:rPr>
        <w:t>Google v CNIL</w:t>
      </w:r>
      <w:r w:rsidRPr="00A43DB3">
        <w:rPr>
          <w:rFonts w:ascii="Times New Roman" w:hAnsi="Times New Roman" w:cs="Times New Roman"/>
          <w:color w:val="000000" w:themeColor="text1"/>
          <w:sz w:val="24"/>
          <w:szCs w:val="24"/>
        </w:rPr>
        <w:t xml:space="preserve"> allowed the use of geo-blocking, but also </w:t>
      </w:r>
      <w:r w:rsidRPr="00A43DB3">
        <w:rPr>
          <w:rFonts w:ascii="Times New Roman" w:hAnsi="Times New Roman" w:cs="Times New Roman"/>
          <w:sz w:val="24"/>
          <w:szCs w:val="24"/>
        </w:rPr>
        <w:t xml:space="preserve">other measures. Hence, despite some deficiencies, geo-blocking itself was deemed to be sufficiently effective by the Court. In any event, it is for data protection authorities and national courts to make individual assessments. </w:t>
      </w:r>
    </w:p>
    <w:p w14:paraId="11D0698F" w14:textId="77777777" w:rsidR="00481564"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In this connection, the Court concluded that Articles 12(b) and 14(a) DPD and Article 17(1) GDPR must be interpreted as meaning that the search engine operator is not required to perform the de-referencing on all versions of its search engine, but only on the domains corresponding to the European Union. To achieve this, the search engine operator must implement, where appropriate, measures which comply with the law and effectively hamper or, at least, makes the links difficult to be accessed by Internet users within the European Union.</w:t>
      </w:r>
      <w:r w:rsidRPr="00A43DB3">
        <w:rPr>
          <w:rStyle w:val="Refdenotaderodap"/>
          <w:rFonts w:ascii="Times New Roman" w:hAnsi="Times New Roman" w:cs="Times New Roman"/>
          <w:sz w:val="24"/>
          <w:szCs w:val="24"/>
        </w:rPr>
        <w:footnoteReference w:id="220"/>
      </w:r>
      <w:r w:rsidRPr="00A43DB3">
        <w:rPr>
          <w:rFonts w:ascii="Times New Roman" w:hAnsi="Times New Roman" w:cs="Times New Roman"/>
          <w:sz w:val="24"/>
          <w:szCs w:val="24"/>
        </w:rPr>
        <w:t xml:space="preserve"> Undoubtedly, the Court aimed to reach the most effective and beneficial result, considering the limitations that technologies offer. Indeed, every time a tech company creates a new instrument to overhaul eventual inconsistencies in past systems, innovative ways to circumvent it will also be developed, similarly to what occurs with Law, which evolves as novel situations emerge. </w:t>
      </w:r>
    </w:p>
    <w:p w14:paraId="036E47C7" w14:textId="77777777" w:rsidR="00481564" w:rsidRDefault="00481564" w:rsidP="00481564">
      <w:pPr>
        <w:spacing w:line="360" w:lineRule="auto"/>
        <w:jc w:val="both"/>
        <w:rPr>
          <w:rFonts w:ascii="Times New Roman" w:hAnsi="Times New Roman" w:cs="Times New Roman"/>
          <w:sz w:val="24"/>
          <w:szCs w:val="24"/>
        </w:rPr>
      </w:pPr>
    </w:p>
    <w:p w14:paraId="38C452F1" w14:textId="77777777" w:rsidR="00481564" w:rsidRPr="00A43DB3" w:rsidRDefault="00481564" w:rsidP="00481564">
      <w:pPr>
        <w:spacing w:line="360" w:lineRule="auto"/>
        <w:jc w:val="both"/>
        <w:rPr>
          <w:rFonts w:ascii="Times New Roman" w:hAnsi="Times New Roman" w:cs="Times New Roman"/>
          <w:color w:val="FF0000"/>
          <w:sz w:val="24"/>
          <w:szCs w:val="24"/>
        </w:rPr>
      </w:pPr>
    </w:p>
    <w:p w14:paraId="5EAEC37C" w14:textId="77777777" w:rsidR="00481564" w:rsidRPr="00A43DB3" w:rsidRDefault="00481564" w:rsidP="00481564">
      <w:pPr>
        <w:spacing w:line="360" w:lineRule="auto"/>
        <w:jc w:val="both"/>
        <w:rPr>
          <w:rFonts w:ascii="Times New Roman" w:hAnsi="Times New Roman" w:cs="Times New Roman"/>
          <w:color w:val="FF0000"/>
          <w:sz w:val="24"/>
          <w:szCs w:val="24"/>
        </w:rPr>
      </w:pPr>
    </w:p>
    <w:p w14:paraId="718E6760" w14:textId="77777777" w:rsidR="00481564" w:rsidRPr="00A43DB3" w:rsidRDefault="00481564" w:rsidP="00481564">
      <w:pPr>
        <w:spacing w:line="360" w:lineRule="auto"/>
        <w:jc w:val="both"/>
        <w:rPr>
          <w:rFonts w:ascii="Times New Roman" w:hAnsi="Times New Roman" w:cs="Times New Roman"/>
          <w:color w:val="FF0000"/>
          <w:sz w:val="24"/>
          <w:szCs w:val="24"/>
        </w:rPr>
      </w:pPr>
    </w:p>
    <w:p w14:paraId="7F20CD53" w14:textId="77777777" w:rsidR="00481564" w:rsidRPr="00A43DB3" w:rsidRDefault="00481564" w:rsidP="00481564">
      <w:pPr>
        <w:spacing w:line="360" w:lineRule="auto"/>
        <w:jc w:val="both"/>
        <w:rPr>
          <w:rFonts w:ascii="Times New Roman" w:hAnsi="Times New Roman" w:cs="Times New Roman"/>
          <w:color w:val="FF0000"/>
          <w:sz w:val="24"/>
          <w:szCs w:val="24"/>
        </w:rPr>
      </w:pPr>
    </w:p>
    <w:p w14:paraId="2871E84F" w14:textId="77777777" w:rsidR="00481564" w:rsidRPr="00A43DB3" w:rsidRDefault="00481564" w:rsidP="00481564">
      <w:pPr>
        <w:spacing w:line="360" w:lineRule="auto"/>
        <w:jc w:val="both"/>
        <w:rPr>
          <w:rFonts w:ascii="Times New Roman" w:hAnsi="Times New Roman" w:cs="Times New Roman"/>
          <w:color w:val="FF0000"/>
          <w:sz w:val="24"/>
          <w:szCs w:val="24"/>
        </w:rPr>
      </w:pPr>
    </w:p>
    <w:p w14:paraId="34E9DB9E" w14:textId="77777777" w:rsidR="00481564" w:rsidRPr="00A43DB3" w:rsidRDefault="00481564" w:rsidP="00481564">
      <w:pPr>
        <w:spacing w:line="360" w:lineRule="auto"/>
        <w:jc w:val="both"/>
        <w:rPr>
          <w:rFonts w:ascii="Times New Roman" w:hAnsi="Times New Roman" w:cs="Times New Roman"/>
          <w:color w:val="FF0000"/>
          <w:sz w:val="24"/>
          <w:szCs w:val="24"/>
        </w:rPr>
      </w:pPr>
    </w:p>
    <w:p w14:paraId="0A9B09BA" w14:textId="77777777" w:rsidR="00481564" w:rsidRPr="00A43DB3" w:rsidRDefault="00481564" w:rsidP="00481564">
      <w:pPr>
        <w:pStyle w:val="PargrafodaLista"/>
        <w:numPr>
          <w:ilvl w:val="0"/>
          <w:numId w:val="10"/>
        </w:numPr>
        <w:spacing w:line="360" w:lineRule="auto"/>
        <w:jc w:val="both"/>
        <w:rPr>
          <w:rFonts w:ascii="Times New Roman" w:hAnsi="Times New Roman" w:cs="Times New Roman"/>
          <w:b/>
          <w:bCs/>
          <w:sz w:val="24"/>
          <w:szCs w:val="24"/>
        </w:rPr>
      </w:pPr>
      <w:bookmarkStart w:id="71" w:name="_Hlk111705586"/>
      <w:r w:rsidRPr="00A43DB3">
        <w:rPr>
          <w:rFonts w:ascii="Times New Roman" w:hAnsi="Times New Roman" w:cs="Times New Roman"/>
          <w:b/>
          <w:bCs/>
          <w:sz w:val="24"/>
          <w:szCs w:val="24"/>
        </w:rPr>
        <w:lastRenderedPageBreak/>
        <w:t>Proposed solutions to enhance the implementation of the de-referencing right</w:t>
      </w:r>
    </w:p>
    <w:bookmarkEnd w:id="71"/>
    <w:p w14:paraId="78D0E96D"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Given the ease with which personal information is distributed online, </w:t>
      </w:r>
      <w:proofErr w:type="gramStart"/>
      <w:r w:rsidRPr="00A43DB3">
        <w:rPr>
          <w:rFonts w:ascii="Times New Roman" w:hAnsi="Times New Roman" w:cs="Times New Roman"/>
          <w:sz w:val="24"/>
          <w:szCs w:val="24"/>
        </w:rPr>
        <w:t>as a consequence of</w:t>
      </w:r>
      <w:proofErr w:type="gramEnd"/>
      <w:r w:rsidRPr="00A43DB3">
        <w:rPr>
          <w:rFonts w:ascii="Times New Roman" w:hAnsi="Times New Roman" w:cs="Times New Roman"/>
          <w:sz w:val="24"/>
          <w:szCs w:val="24"/>
        </w:rPr>
        <w:t xml:space="preserve"> the Internet ubiquity and the role of search engines, even with the recognition of a right to be forgotten by the European highest Court and its subsequent codification in the GDPR, difficulties in effectively being disassociated from past events still occur. Hence, proposing faultless measures to completely remove information from the digital environment may seem unrealistic, although improvements on the implementation of the right to erasure must be sought.</w:t>
      </w:r>
    </w:p>
    <w:p w14:paraId="0197F808" w14:textId="77777777" w:rsidR="00481564" w:rsidRPr="00A43DB3" w:rsidRDefault="00481564" w:rsidP="00481564">
      <w:pPr>
        <w:spacing w:line="360" w:lineRule="auto"/>
        <w:jc w:val="both"/>
        <w:rPr>
          <w:rFonts w:ascii="Times New Roman" w:hAnsi="Times New Roman" w:cs="Times New Roman"/>
          <w:sz w:val="24"/>
          <w:szCs w:val="24"/>
        </w:rPr>
      </w:pPr>
    </w:p>
    <w:p w14:paraId="3E130114" w14:textId="77777777" w:rsidR="00481564" w:rsidRPr="00A43DB3" w:rsidRDefault="00481564" w:rsidP="00481564">
      <w:pPr>
        <w:spacing w:line="360" w:lineRule="auto"/>
        <w:jc w:val="both"/>
        <w:rPr>
          <w:rFonts w:ascii="Times New Roman" w:hAnsi="Times New Roman" w:cs="Times New Roman"/>
          <w:sz w:val="24"/>
          <w:szCs w:val="24"/>
        </w:rPr>
      </w:pPr>
    </w:p>
    <w:p w14:paraId="7A1D429E" w14:textId="77777777" w:rsidR="00481564" w:rsidRPr="00A43DB3" w:rsidRDefault="00481564" w:rsidP="00481564">
      <w:pPr>
        <w:pStyle w:val="PargrafodaLista"/>
        <w:numPr>
          <w:ilvl w:val="1"/>
          <w:numId w:val="10"/>
        </w:numPr>
        <w:spacing w:line="360" w:lineRule="auto"/>
        <w:jc w:val="both"/>
        <w:rPr>
          <w:rFonts w:ascii="Times New Roman" w:hAnsi="Times New Roman" w:cs="Times New Roman"/>
          <w:b/>
          <w:bCs/>
          <w:sz w:val="24"/>
          <w:szCs w:val="24"/>
        </w:rPr>
      </w:pPr>
      <w:bookmarkStart w:id="72" w:name="_Hlk111705614"/>
      <w:r w:rsidRPr="00A43DB3">
        <w:rPr>
          <w:rFonts w:ascii="Times New Roman" w:hAnsi="Times New Roman" w:cs="Times New Roman"/>
          <w:b/>
          <w:bCs/>
          <w:sz w:val="24"/>
          <w:szCs w:val="24"/>
        </w:rPr>
        <w:t xml:space="preserve">Expiration dates </w:t>
      </w:r>
    </w:p>
    <w:bookmarkEnd w:id="72"/>
    <w:p w14:paraId="4F91915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Expiration dates associated with online publications may represent an important mechanism to make effective the right to erasure on the Internet. This alternative was notably advocated by Mayer-</w:t>
      </w:r>
      <w:proofErr w:type="spellStart"/>
      <w:r w:rsidRPr="00A43DB3">
        <w:rPr>
          <w:rFonts w:ascii="Times New Roman" w:hAnsi="Times New Roman" w:cs="Times New Roman"/>
          <w:sz w:val="24"/>
          <w:szCs w:val="24"/>
        </w:rPr>
        <w:t>Schönberger</w:t>
      </w:r>
      <w:proofErr w:type="spellEnd"/>
      <w:r w:rsidRPr="00A43DB3">
        <w:rPr>
          <w:rFonts w:ascii="Times New Roman" w:hAnsi="Times New Roman" w:cs="Times New Roman"/>
          <w:sz w:val="24"/>
          <w:szCs w:val="24"/>
        </w:rPr>
        <w:t>,</w:t>
      </w:r>
      <w:r w:rsidRPr="00A43DB3">
        <w:rPr>
          <w:rStyle w:val="Refdenotaderodap"/>
          <w:rFonts w:ascii="Times New Roman" w:hAnsi="Times New Roman" w:cs="Times New Roman"/>
          <w:sz w:val="24"/>
          <w:szCs w:val="24"/>
        </w:rPr>
        <w:footnoteReference w:id="221"/>
      </w:r>
      <w:r w:rsidRPr="00A43DB3">
        <w:rPr>
          <w:rFonts w:ascii="Times New Roman" w:hAnsi="Times New Roman" w:cs="Times New Roman"/>
          <w:sz w:val="24"/>
          <w:szCs w:val="24"/>
        </w:rPr>
        <w:t xml:space="preserve"> who explained that web users would be able to stipulate expiration dates for documents in digital storage devices, which would be automatically deleted at the end of such period. Within this framework, retention dates would observe the storage limitation principle, enshrined in Article 5(1)(e) GDPR.</w:t>
      </w:r>
    </w:p>
    <w:p w14:paraId="1E81D72E"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On the online environment, expiration dates would result in postings, comments and other digital content being removed without requiring data subjects to take posterior additional measures. In this sense, after the indicated period, third parties would be prevented from saving the content. Nevertheless, in case where users have downloaded the material before the expiration date, there will be the risk of re-publishing it. Some social media networks allow the data subject to obtain a notification when other users save the content published, consisting of a means of acknowledging which persons have saved the material. On the other hand, alternatives that permit anonymous access to online content are also constantly evolving.</w:t>
      </w:r>
      <w:r w:rsidRPr="00A43DB3">
        <w:rPr>
          <w:rStyle w:val="Refdenotaderodap"/>
          <w:rFonts w:ascii="Times New Roman" w:hAnsi="Times New Roman" w:cs="Times New Roman"/>
          <w:sz w:val="24"/>
          <w:szCs w:val="24"/>
        </w:rPr>
        <w:footnoteReference w:id="222"/>
      </w:r>
      <w:r w:rsidRPr="00A43DB3">
        <w:rPr>
          <w:rFonts w:ascii="Times New Roman" w:hAnsi="Times New Roman" w:cs="Times New Roman"/>
          <w:sz w:val="24"/>
          <w:szCs w:val="24"/>
        </w:rPr>
        <w:t xml:space="preserve"> Similarly, there are digital archives, such as The </w:t>
      </w:r>
      <w:proofErr w:type="spellStart"/>
      <w:r w:rsidRPr="00A43DB3">
        <w:rPr>
          <w:rFonts w:ascii="Times New Roman" w:hAnsi="Times New Roman" w:cs="Times New Roman"/>
          <w:sz w:val="24"/>
          <w:szCs w:val="24"/>
        </w:rPr>
        <w:t>Wayback</w:t>
      </w:r>
      <w:proofErr w:type="spellEnd"/>
      <w:r w:rsidRPr="00A43DB3">
        <w:rPr>
          <w:rFonts w:ascii="Times New Roman" w:hAnsi="Times New Roman" w:cs="Times New Roman"/>
          <w:sz w:val="24"/>
          <w:szCs w:val="24"/>
        </w:rPr>
        <w:t xml:space="preserve"> Machine,</w:t>
      </w:r>
      <w:r w:rsidRPr="00A43DB3">
        <w:rPr>
          <w:rStyle w:val="Refdenotaderodap"/>
          <w:rFonts w:ascii="Times New Roman" w:hAnsi="Times New Roman" w:cs="Times New Roman"/>
          <w:sz w:val="24"/>
          <w:szCs w:val="24"/>
        </w:rPr>
        <w:footnoteReference w:id="223"/>
      </w:r>
      <w:r w:rsidRPr="00A43DB3">
        <w:rPr>
          <w:rFonts w:ascii="Times New Roman" w:hAnsi="Times New Roman" w:cs="Times New Roman"/>
          <w:sz w:val="24"/>
          <w:szCs w:val="24"/>
        </w:rPr>
        <w:t xml:space="preserve"> which present Internet users with the possibility to examine defunct web </w:t>
      </w:r>
      <w:r w:rsidRPr="00A43DB3">
        <w:rPr>
          <w:rFonts w:ascii="Times New Roman" w:hAnsi="Times New Roman" w:cs="Times New Roman"/>
          <w:sz w:val="24"/>
          <w:szCs w:val="24"/>
        </w:rPr>
        <w:lastRenderedPageBreak/>
        <w:t xml:space="preserve">pages. Indeed, all these options pose risks to the effectiveness of the de-referencing right. Furthermore, expiration dates would not be able to supress all personal information, notably where the freedom of expression and information surpass the right to be forgotten, leading to the permanence of the contested content on the Internet. </w:t>
      </w:r>
    </w:p>
    <w:p w14:paraId="7628BD00"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expiration date proposal would be able to minimise the administrative burden in implementing the right to erasure. Accordingly, following the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’s ruling that search engine operators are data controllers, these companies had to adapt their method of operating to the novel obligations stemming from their role as such. Google, the most accessed search engine, has economic capacity to assign part of its employees to handle removal requests, which demand human review of the claims on a case-by-case basis, as opposed to the petitions regarding copyright, which may be automatically dealt with by machines, rendering such task more cost-effective. Nevertheless, the same resources may not be a reality for smaller search engines.</w:t>
      </w:r>
    </w:p>
    <w:p w14:paraId="13E7992C"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Nonetheless, a point to be discussed is who would establish the expiration dates. Undoubtedly, it seems appropriate that Internet users who publish personal information regarding themselves can do so. Indeed, the European Union generally favours data subjects. For instance, some social media platforms already apply such a temporary display of content, where posts are automatically erased after a specific period. Blockchains may also utilise expiration dates which allow </w:t>
      </w:r>
      <w:proofErr w:type="gramStart"/>
      <w:r w:rsidRPr="00A43DB3">
        <w:rPr>
          <w:rFonts w:ascii="Times New Roman" w:hAnsi="Times New Roman" w:cs="Times New Roman"/>
          <w:sz w:val="24"/>
          <w:szCs w:val="24"/>
        </w:rPr>
        <w:t>that nodes</w:t>
      </w:r>
      <w:proofErr w:type="gramEnd"/>
      <w:r w:rsidRPr="00A43DB3">
        <w:rPr>
          <w:rFonts w:ascii="Times New Roman" w:hAnsi="Times New Roman" w:cs="Times New Roman"/>
          <w:sz w:val="24"/>
          <w:szCs w:val="24"/>
        </w:rPr>
        <w:t xml:space="preserve"> ‘need not save all of the history and information’.</w:t>
      </w:r>
      <w:r w:rsidRPr="00A43DB3">
        <w:rPr>
          <w:rStyle w:val="Refdenotaderodap"/>
          <w:rFonts w:ascii="Times New Roman" w:hAnsi="Times New Roman" w:cs="Times New Roman"/>
          <w:sz w:val="24"/>
          <w:szCs w:val="24"/>
        </w:rPr>
        <w:footnoteReference w:id="224"/>
      </w:r>
      <w:r w:rsidRPr="00A43DB3">
        <w:rPr>
          <w:rFonts w:ascii="Times New Roman" w:hAnsi="Times New Roman" w:cs="Times New Roman"/>
          <w:sz w:val="24"/>
          <w:szCs w:val="24"/>
        </w:rPr>
        <w:t xml:space="preserve"> Hence, it can be inferred that contents associated with time limits are a reality on the Internet.</w:t>
      </w:r>
    </w:p>
    <w:p w14:paraId="36EBDD50" w14:textId="77777777" w:rsidR="00481564"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For online content published by third parties, however, the retention limit would be established by the publishers. In relation to material mentioning criminal convictions and offences, for example, the expiration date could correspond to the length of time of the sentence. In the cases where the public interest justifies the online availability of information, the personal data could be removed as soon as the public interest disappears. </w:t>
      </w:r>
    </w:p>
    <w:p w14:paraId="119625F9" w14:textId="77777777" w:rsidR="00481564" w:rsidRDefault="00481564" w:rsidP="00481564">
      <w:pPr>
        <w:spacing w:line="360" w:lineRule="auto"/>
        <w:jc w:val="both"/>
        <w:rPr>
          <w:rFonts w:ascii="Times New Roman" w:hAnsi="Times New Roman" w:cs="Times New Roman"/>
          <w:sz w:val="24"/>
          <w:szCs w:val="24"/>
        </w:rPr>
      </w:pPr>
    </w:p>
    <w:p w14:paraId="483B881D" w14:textId="77777777" w:rsidR="00481564" w:rsidRPr="00A43DB3" w:rsidRDefault="00481564" w:rsidP="00481564">
      <w:pPr>
        <w:spacing w:line="360" w:lineRule="auto"/>
        <w:jc w:val="both"/>
        <w:rPr>
          <w:rFonts w:ascii="Times New Roman" w:hAnsi="Times New Roman" w:cs="Times New Roman"/>
          <w:sz w:val="24"/>
          <w:szCs w:val="24"/>
        </w:rPr>
      </w:pPr>
    </w:p>
    <w:p w14:paraId="2EE1A564" w14:textId="77777777" w:rsidR="00481564" w:rsidRPr="00A43DB3" w:rsidRDefault="00481564" w:rsidP="00481564">
      <w:pPr>
        <w:pStyle w:val="PargrafodaLista"/>
        <w:numPr>
          <w:ilvl w:val="1"/>
          <w:numId w:val="10"/>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lastRenderedPageBreak/>
        <w:t>Segmentation</w:t>
      </w:r>
    </w:p>
    <w:p w14:paraId="2192B38A"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Separating removal requests into categories may represent an efficient solution to consider the most appropriate legal response to each of them. In fact, the most diverse subject-matters all labelled as personal data may be counterproductive. Indeed, when data subjects fill in the Google’s removal request form,</w:t>
      </w:r>
      <w:r w:rsidRPr="00A43DB3">
        <w:rPr>
          <w:rStyle w:val="Refdenotaderodap"/>
          <w:rFonts w:ascii="Times New Roman" w:hAnsi="Times New Roman" w:cs="Times New Roman"/>
          <w:sz w:val="24"/>
          <w:szCs w:val="24"/>
        </w:rPr>
        <w:footnoteReference w:id="225"/>
      </w:r>
      <w:r w:rsidRPr="00A43DB3">
        <w:rPr>
          <w:rFonts w:ascii="Times New Roman" w:hAnsi="Times New Roman" w:cs="Times New Roman"/>
          <w:sz w:val="24"/>
          <w:szCs w:val="24"/>
        </w:rPr>
        <w:t xml:space="preserve"> they must indicate the personal information they claim to be deleted. Such a description suggests that the search engine operator already separates different types of data into categories and may give prominence to the topics that are more likely to cause harm to the data subject. Nevertheless, as previously discussed, the lack of transparency regarding the companies’ internal procedures and decisions, accentuated by the fact that there is no external oversight, may represent a pitfall of the current implementation of the de-referencing right.</w:t>
      </w:r>
    </w:p>
    <w:p w14:paraId="13FE702E" w14:textId="77777777" w:rsidR="00481564"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Regarding the issue of the extraterritorial application of the right to be forgotten, Google already removes certain materials at a global scale. For instance, it affirms that once ‘the mere presence of child sex abuse material is illegal in most jurisdictions’, it automatically identifies and impedes such content from being indexed in the list of results.</w:t>
      </w:r>
      <w:r w:rsidRPr="00A43DB3">
        <w:rPr>
          <w:rStyle w:val="Refdenotaderodap"/>
          <w:rFonts w:ascii="Times New Roman" w:hAnsi="Times New Roman" w:cs="Times New Roman"/>
          <w:sz w:val="24"/>
          <w:szCs w:val="24"/>
        </w:rPr>
        <w:footnoteReference w:id="226"/>
      </w:r>
      <w:r w:rsidRPr="00A43DB3">
        <w:rPr>
          <w:rFonts w:ascii="Times New Roman" w:hAnsi="Times New Roman" w:cs="Times New Roman"/>
          <w:sz w:val="24"/>
          <w:szCs w:val="24"/>
        </w:rPr>
        <w:t xml:space="preserve"> Further, it follows the same approach in relation to ‘revenge porn’.</w:t>
      </w:r>
      <w:r w:rsidRPr="00A43DB3">
        <w:rPr>
          <w:rStyle w:val="Refdenotaderodap"/>
          <w:rFonts w:ascii="Times New Roman" w:hAnsi="Times New Roman" w:cs="Times New Roman"/>
          <w:sz w:val="24"/>
          <w:szCs w:val="24"/>
        </w:rPr>
        <w:footnoteReference w:id="227"/>
      </w:r>
      <w:r w:rsidRPr="00A43DB3">
        <w:rPr>
          <w:rFonts w:ascii="Times New Roman" w:hAnsi="Times New Roman" w:cs="Times New Roman"/>
          <w:sz w:val="24"/>
          <w:szCs w:val="24"/>
        </w:rPr>
        <w:t xml:space="preserve"> In this sense, it can be inferred that search engines operators are in fact able to distinguish between the various categories of data, which contrasts with the Opinion of the AG </w:t>
      </w:r>
      <w:proofErr w:type="spellStart"/>
      <w:r w:rsidRPr="00A43DB3">
        <w:rPr>
          <w:rFonts w:ascii="Times New Roman" w:hAnsi="Times New Roman" w:cs="Times New Roman"/>
          <w:sz w:val="24"/>
          <w:szCs w:val="24"/>
        </w:rPr>
        <w:t>Jääskinen</w:t>
      </w:r>
      <w:proofErr w:type="spellEnd"/>
      <w:r w:rsidRPr="00A43DB3">
        <w:rPr>
          <w:rFonts w:ascii="Times New Roman" w:hAnsi="Times New Roman" w:cs="Times New Roman"/>
          <w:sz w:val="24"/>
          <w:szCs w:val="24"/>
        </w:rPr>
        <w:t xml:space="preserve"> in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w:t>
      </w:r>
      <w:r w:rsidRPr="00A43DB3">
        <w:rPr>
          <w:rStyle w:val="Refdenotaderodap"/>
          <w:rFonts w:ascii="Times New Roman" w:hAnsi="Times New Roman" w:cs="Times New Roman"/>
          <w:sz w:val="24"/>
          <w:szCs w:val="24"/>
        </w:rPr>
        <w:footnoteReference w:id="228"/>
      </w:r>
      <w:r w:rsidRPr="00A43DB3">
        <w:rPr>
          <w:rFonts w:ascii="Times New Roman" w:hAnsi="Times New Roman" w:cs="Times New Roman"/>
          <w:sz w:val="24"/>
          <w:szCs w:val="24"/>
        </w:rPr>
        <w:t xml:space="preserve"> On these grounds, so far as concerns the deletion of intimate images or copyrighted material, the extraterritorial application of the de-referencing right seems to be conceivable according to the search engines’ policies. Van </w:t>
      </w:r>
      <w:proofErr w:type="spellStart"/>
      <w:r w:rsidRPr="00A43DB3">
        <w:rPr>
          <w:rFonts w:ascii="Times New Roman" w:hAnsi="Times New Roman" w:cs="Times New Roman"/>
          <w:sz w:val="24"/>
          <w:szCs w:val="24"/>
        </w:rPr>
        <w:t>Alsenoy</w:t>
      </w:r>
      <w:proofErr w:type="spellEnd"/>
      <w:r w:rsidRPr="00A43DB3">
        <w:rPr>
          <w:rFonts w:ascii="Times New Roman" w:hAnsi="Times New Roman" w:cs="Times New Roman"/>
          <w:sz w:val="24"/>
          <w:szCs w:val="24"/>
        </w:rPr>
        <w:t xml:space="preserve"> and Koekkoek based the debate regarding jurisdiction on public international law but depending on the facts of individual cases.</w:t>
      </w:r>
      <w:r w:rsidRPr="00A43DB3">
        <w:rPr>
          <w:rStyle w:val="Refdenotaderodap"/>
          <w:rFonts w:ascii="Times New Roman" w:hAnsi="Times New Roman" w:cs="Times New Roman"/>
          <w:sz w:val="24"/>
          <w:szCs w:val="24"/>
        </w:rPr>
        <w:footnoteReference w:id="229"/>
      </w:r>
      <w:r w:rsidRPr="00A43DB3">
        <w:rPr>
          <w:rFonts w:ascii="Times New Roman" w:hAnsi="Times New Roman" w:cs="Times New Roman"/>
          <w:sz w:val="24"/>
          <w:szCs w:val="24"/>
        </w:rPr>
        <w:t xml:space="preserve"> Additionally, associating expiration dates with separate categories of personal data could also address the issue regarding the territorial scope of </w:t>
      </w:r>
      <w:r w:rsidRPr="00A43DB3">
        <w:rPr>
          <w:rFonts w:ascii="Times New Roman" w:hAnsi="Times New Roman" w:cs="Times New Roman"/>
          <w:sz w:val="24"/>
          <w:szCs w:val="24"/>
        </w:rPr>
        <w:lastRenderedPageBreak/>
        <w:t xml:space="preserve">data protection laws. In this connection, the regional removal of some categories of online content would suffice, while for other types of personal data a global erasure would be more appropriate. </w:t>
      </w:r>
    </w:p>
    <w:p w14:paraId="23224D49" w14:textId="77777777" w:rsidR="00481564" w:rsidRPr="00A43DB3" w:rsidRDefault="00481564" w:rsidP="00481564">
      <w:pPr>
        <w:spacing w:line="360" w:lineRule="auto"/>
        <w:jc w:val="both"/>
        <w:rPr>
          <w:rFonts w:ascii="Times New Roman" w:hAnsi="Times New Roman" w:cs="Times New Roman"/>
          <w:sz w:val="24"/>
          <w:szCs w:val="24"/>
        </w:rPr>
      </w:pPr>
    </w:p>
    <w:p w14:paraId="75FBA250" w14:textId="77777777" w:rsidR="00481564" w:rsidRPr="00A43DB3" w:rsidRDefault="00481564" w:rsidP="00481564">
      <w:pPr>
        <w:pStyle w:val="PargrafodaLista"/>
        <w:numPr>
          <w:ilvl w:val="1"/>
          <w:numId w:val="10"/>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t>Pseudonymisation</w:t>
      </w:r>
    </w:p>
    <w:p w14:paraId="518ECB20" w14:textId="77777777" w:rsidR="00481564" w:rsidRPr="00A43DB3" w:rsidRDefault="00481564" w:rsidP="00481564">
      <w:pPr>
        <w:spacing w:line="360" w:lineRule="auto"/>
        <w:jc w:val="both"/>
        <w:rPr>
          <w:rFonts w:ascii="Times New Roman" w:hAnsi="Times New Roman" w:cs="Times New Roman"/>
          <w:color w:val="000000"/>
          <w:sz w:val="24"/>
          <w:szCs w:val="24"/>
          <w:shd w:val="clear" w:color="auto" w:fill="FFFFFF"/>
        </w:rPr>
      </w:pPr>
      <w:r w:rsidRPr="00A43DB3">
        <w:rPr>
          <w:rFonts w:ascii="Times New Roman" w:hAnsi="Times New Roman" w:cs="Times New Roman"/>
          <w:sz w:val="24"/>
          <w:szCs w:val="24"/>
        </w:rPr>
        <w:t>Pseudonymisation techniques would be suitable for masking third parties’ personal information in cases where the maintenance of the content on the Internet is based on the prevailing public interest. Pseudonymisation is recognised as a way to minimise the privacy risks to data subjects and help controllers to comply with data protection requirements.</w:t>
      </w:r>
      <w:r w:rsidRPr="00A43DB3">
        <w:rPr>
          <w:rStyle w:val="Refdenotaderodap"/>
          <w:rFonts w:ascii="Times New Roman" w:hAnsi="Times New Roman" w:cs="Times New Roman"/>
          <w:sz w:val="24"/>
          <w:szCs w:val="24"/>
        </w:rPr>
        <w:footnoteReference w:id="230"/>
      </w:r>
      <w:r w:rsidRPr="00A43DB3">
        <w:rPr>
          <w:rFonts w:ascii="Times New Roman" w:hAnsi="Times New Roman" w:cs="Times New Roman"/>
          <w:sz w:val="24"/>
          <w:szCs w:val="24"/>
        </w:rPr>
        <w:t xml:space="preserve"> In relation to the security of processing personal data, the GDPR also emphasises that the controller must ‘</w:t>
      </w:r>
      <w:r w:rsidRPr="00A43DB3">
        <w:rPr>
          <w:rFonts w:ascii="Times New Roman" w:hAnsi="Times New Roman" w:cs="Times New Roman"/>
          <w:color w:val="000000"/>
          <w:sz w:val="24"/>
          <w:szCs w:val="24"/>
          <w:shd w:val="clear" w:color="auto" w:fill="FFFFFF"/>
        </w:rPr>
        <w:t>ensure a level of security appropriate to the risk’, which may include the pseudonymisation of such data.</w:t>
      </w:r>
      <w:r w:rsidRPr="00A43DB3">
        <w:rPr>
          <w:rStyle w:val="Refdenotaderodap"/>
          <w:rFonts w:ascii="Times New Roman" w:hAnsi="Times New Roman" w:cs="Times New Roman"/>
          <w:color w:val="000000"/>
          <w:sz w:val="24"/>
          <w:szCs w:val="24"/>
          <w:shd w:val="clear" w:color="auto" w:fill="FFFFFF"/>
        </w:rPr>
        <w:footnoteReference w:id="231"/>
      </w:r>
      <w:r w:rsidRPr="00A43DB3">
        <w:rPr>
          <w:rFonts w:ascii="Times New Roman" w:hAnsi="Times New Roman" w:cs="Times New Roman"/>
          <w:color w:val="000000"/>
          <w:sz w:val="24"/>
          <w:szCs w:val="24"/>
          <w:shd w:val="clear" w:color="auto" w:fill="FFFFFF"/>
        </w:rPr>
        <w:t xml:space="preserve"> In this sense, pseudonymisation techniques in the context of search engines would be particularly pertinent in the cases of sensitive data, notably regarding criminal convictions and offences. </w:t>
      </w:r>
    </w:p>
    <w:p w14:paraId="6E13726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color w:val="000000"/>
          <w:sz w:val="24"/>
          <w:szCs w:val="24"/>
          <w:shd w:val="clear" w:color="auto" w:fill="FFFFFF"/>
        </w:rPr>
        <w:t xml:space="preserve">When the outcome of the balancing exercise results in the prevalence of the public interest over the data subject’s rights, the processing of personal data by the controller is regarded as lawful. Nevertheless, despite information concerning a certain criminal conviction or offence can remain in the search results when the freedom of expression and information prevails, the privacy rights of the victims should be preserved in those cases. Accordingly, the display of the content in tandem with the pseudonymisation of personal information concerning the victims would represent a reasonable solution. As all technological measures, there is always the possibility of circumvention. In fact, reversal of pseudonymisation represents a risk of re-identification, capable of disclosing data in relation to the victims. Notwithstanding, it does not exclude the beneficial effects that such alternative would present to the injured parties in many cases. </w:t>
      </w:r>
    </w:p>
    <w:p w14:paraId="7B18A2D8" w14:textId="77777777" w:rsidR="00481564" w:rsidRPr="00A43DB3" w:rsidRDefault="00481564" w:rsidP="00481564">
      <w:pPr>
        <w:spacing w:line="360" w:lineRule="auto"/>
        <w:jc w:val="both"/>
        <w:rPr>
          <w:rFonts w:ascii="Times New Roman" w:hAnsi="Times New Roman" w:cs="Times New Roman"/>
          <w:sz w:val="24"/>
          <w:szCs w:val="24"/>
        </w:rPr>
      </w:pPr>
    </w:p>
    <w:p w14:paraId="7B2C38F8" w14:textId="77777777" w:rsidR="00481564" w:rsidRPr="00A43DB3" w:rsidRDefault="00481564" w:rsidP="00481564">
      <w:pPr>
        <w:pStyle w:val="PargrafodaLista"/>
        <w:numPr>
          <w:ilvl w:val="1"/>
          <w:numId w:val="10"/>
        </w:numPr>
        <w:spacing w:line="360" w:lineRule="auto"/>
        <w:jc w:val="both"/>
        <w:rPr>
          <w:rFonts w:ascii="Times New Roman" w:hAnsi="Times New Roman" w:cs="Times New Roman"/>
          <w:b/>
          <w:bCs/>
          <w:sz w:val="24"/>
          <w:szCs w:val="24"/>
        </w:rPr>
      </w:pPr>
      <w:bookmarkStart w:id="78" w:name="_Hlk111705689"/>
      <w:r w:rsidRPr="00A43DB3">
        <w:rPr>
          <w:rFonts w:ascii="Times New Roman" w:hAnsi="Times New Roman" w:cs="Times New Roman"/>
          <w:b/>
          <w:bCs/>
          <w:sz w:val="24"/>
          <w:szCs w:val="24"/>
        </w:rPr>
        <w:t>Public-private partnership</w:t>
      </w:r>
    </w:p>
    <w:bookmarkEnd w:id="78"/>
    <w:p w14:paraId="6A926FB6"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idea of a hybrid administrative agency would assist with the provision of a greater oversight on the grant of de-referencing requests by search engine operators, allowing the </w:t>
      </w:r>
      <w:r w:rsidRPr="00A43DB3">
        <w:rPr>
          <w:rFonts w:ascii="Times New Roman" w:hAnsi="Times New Roman" w:cs="Times New Roman"/>
          <w:sz w:val="24"/>
          <w:szCs w:val="24"/>
        </w:rPr>
        <w:lastRenderedPageBreak/>
        <w:t xml:space="preserve">review of such decisions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develop the right to be forgotten on the Internet in a consistent manner between distinct search engines. In fact, the outcome of removal claims to various search engines may not correspond, once each operator has its own criteria, fact which may run counter to the purpose of the right to erasure, once it is more burdensome for users to reach each operator separately. Google’s Advisory Council has already received governmental contributions to discuss the controversial topics.</w:t>
      </w:r>
      <w:r w:rsidRPr="00A43DB3">
        <w:rPr>
          <w:rStyle w:val="Refdenotaderodap"/>
          <w:rFonts w:ascii="Times New Roman" w:hAnsi="Times New Roman" w:cs="Times New Roman"/>
          <w:sz w:val="24"/>
          <w:szCs w:val="24"/>
        </w:rPr>
        <w:footnoteReference w:id="232"/>
      </w:r>
      <w:r w:rsidRPr="00A43DB3">
        <w:rPr>
          <w:rFonts w:ascii="Times New Roman" w:hAnsi="Times New Roman" w:cs="Times New Roman"/>
          <w:sz w:val="24"/>
          <w:szCs w:val="24"/>
        </w:rPr>
        <w:t xml:space="preserve"> Accordingly, a public-private partnership would be able to address the issue of private companies exercising the role of public officials, and the lack of transparency and neutrality that it may entail. </w:t>
      </w:r>
    </w:p>
    <w:p w14:paraId="0ED48F6F"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Accordingly, a public-private partnership would be implemented to deal with highly quarrelsome cases, where search engine operators do not have experience or where it involves jurisdictions not subject to the GDPR, for example. Within the current structure of the European Union, national data protection authorities, courts and search engine operators decide upon data protection claims</w:t>
      </w:r>
      <w:r w:rsidRPr="00A43DB3">
        <w:rPr>
          <w:rFonts w:ascii="Times New Roman" w:hAnsi="Times New Roman" w:cs="Times New Roman"/>
          <w:b/>
          <w:bCs/>
          <w:sz w:val="24"/>
          <w:szCs w:val="24"/>
        </w:rPr>
        <w:t xml:space="preserve"> </w:t>
      </w:r>
      <w:r w:rsidRPr="00A43DB3">
        <w:rPr>
          <w:rFonts w:ascii="Times New Roman" w:hAnsi="Times New Roman" w:cs="Times New Roman"/>
          <w:sz w:val="24"/>
          <w:szCs w:val="24"/>
        </w:rPr>
        <w:t xml:space="preserve">separately. A hybrid agency would enable an interchange of perceptions regarding a single dispute. </w:t>
      </w:r>
    </w:p>
    <w:p w14:paraId="0B8F4189"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The model proposed by Lee would provide for an alternative forum in which data subjects could seek an initial appeal in cases where there was no consistency between the decisions issued by search engines. Nevertheless, the agency’s resolutions would not be binding on courts or data protection authorities and would not prevent claimants from appealing to such institutions. Furthermore, the agency would not interfere with the criteria internally established by search engines to deal with de-referencing requests.</w:t>
      </w:r>
      <w:r w:rsidRPr="00A43DB3">
        <w:rPr>
          <w:rStyle w:val="Refdenotaderodap"/>
          <w:rFonts w:ascii="Times New Roman" w:hAnsi="Times New Roman" w:cs="Times New Roman"/>
          <w:sz w:val="24"/>
          <w:szCs w:val="24"/>
        </w:rPr>
        <w:footnoteReference w:id="233"/>
      </w:r>
      <w:r w:rsidRPr="00A43DB3">
        <w:rPr>
          <w:rFonts w:ascii="Times New Roman" w:hAnsi="Times New Roman" w:cs="Times New Roman"/>
          <w:sz w:val="24"/>
          <w:szCs w:val="24"/>
        </w:rPr>
        <w:t xml:space="preserve"> Similarly, Hoffman and others</w:t>
      </w:r>
      <w:r w:rsidRPr="00A43DB3">
        <w:rPr>
          <w:rStyle w:val="Refdenotaderodap"/>
          <w:rFonts w:ascii="Times New Roman" w:hAnsi="Times New Roman" w:cs="Times New Roman"/>
          <w:sz w:val="24"/>
          <w:szCs w:val="24"/>
        </w:rPr>
        <w:footnoteReference w:id="234"/>
      </w:r>
      <w:r w:rsidRPr="00A43DB3">
        <w:rPr>
          <w:rFonts w:ascii="Times New Roman" w:hAnsi="Times New Roman" w:cs="Times New Roman"/>
          <w:sz w:val="24"/>
          <w:szCs w:val="24"/>
        </w:rPr>
        <w:t xml:space="preserve"> have advocated for a global solution through the establishment of a centralised co-regulatory body with the voluntary participation of search engine companies</w:t>
      </w:r>
      <w:r w:rsidRPr="00A43DB3">
        <w:rPr>
          <w:rFonts w:ascii="Times New Roman" w:hAnsi="Times New Roman" w:cs="Times New Roman"/>
          <w:b/>
          <w:bCs/>
          <w:sz w:val="24"/>
          <w:szCs w:val="24"/>
        </w:rPr>
        <w:t xml:space="preserve">, </w:t>
      </w:r>
      <w:r w:rsidRPr="00A43DB3">
        <w:rPr>
          <w:rFonts w:ascii="Times New Roman" w:hAnsi="Times New Roman" w:cs="Times New Roman"/>
          <w:sz w:val="24"/>
          <w:szCs w:val="24"/>
        </w:rPr>
        <w:t xml:space="preserve">overseen by worldwide regulators. This proposal would rely on a global perspective by instituting a forum for a transparent international discussion, not restricted to the European Union, regarding the right to be forgotten. Accordingly, by observing the </w:t>
      </w:r>
      <w:r w:rsidRPr="00A43DB3">
        <w:rPr>
          <w:rFonts w:ascii="Times New Roman" w:hAnsi="Times New Roman" w:cs="Times New Roman"/>
          <w:sz w:val="24"/>
          <w:szCs w:val="24"/>
        </w:rPr>
        <w:lastRenderedPageBreak/>
        <w:t>guidance provided for by such an international body, search engines would be prevented from being held liable.</w:t>
      </w:r>
      <w:r w:rsidRPr="00A43DB3">
        <w:rPr>
          <w:rStyle w:val="Refdenotaderodap"/>
          <w:rFonts w:ascii="Times New Roman" w:hAnsi="Times New Roman" w:cs="Times New Roman"/>
          <w:sz w:val="24"/>
          <w:szCs w:val="24"/>
        </w:rPr>
        <w:footnoteReference w:id="235"/>
      </w:r>
      <w:r w:rsidRPr="00A43DB3">
        <w:rPr>
          <w:rFonts w:ascii="Times New Roman" w:hAnsi="Times New Roman" w:cs="Times New Roman"/>
          <w:sz w:val="24"/>
          <w:szCs w:val="24"/>
        </w:rPr>
        <w:t xml:space="preserve"> </w:t>
      </w:r>
    </w:p>
    <w:p w14:paraId="11D1DEB1"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In this capacity, the proposal for a hybrid administrative agency would potentially be able to address the current issue that there is no harmonisation or consistency in relation to the criteria employed by different search engine operators when deciding upon the same request from a data subject. On these grounds, the implementation of the de-referencing right may run counter to the objective of protecting data subjects, once the denial of a removal request by one search engine operator may compel Internet users to access the same content on other search engines, prejudicing both the privacy rights of the data subject in question and the economic interests of the search engine operator which granted the request. Additionally, a public-private partnership would result in greater transparency regarding the factual operation of the right to be forgotten already exercised by private entities, which has the potential to supress fundamental rights and freedoms when the process is not overseen by public authorities. Lastly, such proposal would be advantageous for data subjects’ rights </w:t>
      </w:r>
      <w:proofErr w:type="gramStart"/>
      <w:r w:rsidRPr="00A43DB3">
        <w:rPr>
          <w:rFonts w:ascii="Times New Roman" w:hAnsi="Times New Roman" w:cs="Times New Roman"/>
          <w:sz w:val="24"/>
          <w:szCs w:val="24"/>
        </w:rPr>
        <w:t>inasmuch as</w:t>
      </w:r>
      <w:proofErr w:type="gramEnd"/>
      <w:r w:rsidRPr="00A43DB3">
        <w:rPr>
          <w:rFonts w:ascii="Times New Roman" w:hAnsi="Times New Roman" w:cs="Times New Roman"/>
          <w:sz w:val="24"/>
          <w:szCs w:val="24"/>
        </w:rPr>
        <w:t xml:space="preserve"> these multinational corporations have greater human and financial resources in comparison to the data protection authorities and national courts, which would lead to a more accurate and consistent implementation of the right to be forgotten on the Internet. Additionally, it would promote the curtailing of some of the private power over the matter and the reduction of the burden on private entities of deciding upon fundamental rights, alongside with governmental oversight on such processes. </w:t>
      </w:r>
    </w:p>
    <w:p w14:paraId="3B58EF70" w14:textId="77777777" w:rsidR="00481564" w:rsidRPr="00A43DB3" w:rsidRDefault="00481564" w:rsidP="00481564">
      <w:pPr>
        <w:spacing w:line="360" w:lineRule="auto"/>
        <w:jc w:val="both"/>
        <w:rPr>
          <w:rFonts w:ascii="Times New Roman" w:hAnsi="Times New Roman" w:cs="Times New Roman"/>
          <w:sz w:val="24"/>
          <w:szCs w:val="24"/>
        </w:rPr>
      </w:pPr>
    </w:p>
    <w:p w14:paraId="5DE66BEF" w14:textId="77777777" w:rsidR="00481564" w:rsidRPr="00A43DB3" w:rsidRDefault="00481564" w:rsidP="00481564">
      <w:pPr>
        <w:spacing w:line="360" w:lineRule="auto"/>
        <w:jc w:val="both"/>
        <w:rPr>
          <w:rFonts w:ascii="Times New Roman" w:hAnsi="Times New Roman" w:cs="Times New Roman"/>
          <w:sz w:val="24"/>
          <w:szCs w:val="24"/>
        </w:rPr>
      </w:pPr>
    </w:p>
    <w:p w14:paraId="6BC79E44" w14:textId="77777777" w:rsidR="00481564" w:rsidRDefault="00481564" w:rsidP="00481564">
      <w:pPr>
        <w:spacing w:line="360" w:lineRule="auto"/>
        <w:jc w:val="both"/>
        <w:rPr>
          <w:rFonts w:ascii="Times New Roman" w:hAnsi="Times New Roman" w:cs="Times New Roman"/>
          <w:sz w:val="24"/>
          <w:szCs w:val="24"/>
        </w:rPr>
      </w:pPr>
    </w:p>
    <w:p w14:paraId="640F8CDD" w14:textId="77777777" w:rsidR="00481564" w:rsidRDefault="00481564" w:rsidP="00481564">
      <w:pPr>
        <w:spacing w:line="360" w:lineRule="auto"/>
        <w:jc w:val="both"/>
        <w:rPr>
          <w:rFonts w:ascii="Times New Roman" w:hAnsi="Times New Roman" w:cs="Times New Roman"/>
          <w:sz w:val="24"/>
          <w:szCs w:val="24"/>
        </w:rPr>
      </w:pPr>
    </w:p>
    <w:p w14:paraId="439BE55C" w14:textId="77777777" w:rsidR="00481564" w:rsidRDefault="00481564" w:rsidP="00481564">
      <w:pPr>
        <w:spacing w:line="360" w:lineRule="auto"/>
        <w:jc w:val="both"/>
        <w:rPr>
          <w:rFonts w:ascii="Times New Roman" w:hAnsi="Times New Roman" w:cs="Times New Roman"/>
          <w:sz w:val="24"/>
          <w:szCs w:val="24"/>
        </w:rPr>
      </w:pPr>
    </w:p>
    <w:p w14:paraId="4EBAC38D" w14:textId="77777777" w:rsidR="00481564" w:rsidRPr="00A43DB3" w:rsidRDefault="00481564" w:rsidP="00481564">
      <w:pPr>
        <w:spacing w:line="360" w:lineRule="auto"/>
        <w:jc w:val="both"/>
        <w:rPr>
          <w:rFonts w:ascii="Times New Roman" w:hAnsi="Times New Roman" w:cs="Times New Roman"/>
          <w:sz w:val="24"/>
          <w:szCs w:val="24"/>
        </w:rPr>
      </w:pPr>
    </w:p>
    <w:p w14:paraId="6DECDCD9" w14:textId="77777777" w:rsidR="00481564" w:rsidRPr="00A43DB3" w:rsidRDefault="00481564" w:rsidP="00481564">
      <w:pPr>
        <w:spacing w:line="360" w:lineRule="auto"/>
        <w:jc w:val="both"/>
        <w:rPr>
          <w:rFonts w:ascii="Times New Roman" w:hAnsi="Times New Roman" w:cs="Times New Roman"/>
          <w:sz w:val="24"/>
          <w:szCs w:val="24"/>
        </w:rPr>
      </w:pPr>
    </w:p>
    <w:p w14:paraId="32E16EDD" w14:textId="77777777" w:rsidR="00481564" w:rsidRPr="00A43DB3" w:rsidRDefault="00481564" w:rsidP="00481564">
      <w:pPr>
        <w:pStyle w:val="PargrafodaLista"/>
        <w:numPr>
          <w:ilvl w:val="0"/>
          <w:numId w:val="10"/>
        </w:numPr>
        <w:spacing w:line="360" w:lineRule="auto"/>
        <w:jc w:val="both"/>
        <w:rPr>
          <w:rFonts w:ascii="Times New Roman" w:hAnsi="Times New Roman" w:cs="Times New Roman"/>
          <w:b/>
          <w:bCs/>
          <w:sz w:val="24"/>
          <w:szCs w:val="24"/>
        </w:rPr>
      </w:pPr>
      <w:r w:rsidRPr="00A43DB3">
        <w:rPr>
          <w:rFonts w:ascii="Times New Roman" w:hAnsi="Times New Roman" w:cs="Times New Roman"/>
          <w:b/>
          <w:bCs/>
          <w:sz w:val="24"/>
          <w:szCs w:val="24"/>
        </w:rPr>
        <w:lastRenderedPageBreak/>
        <w:t xml:space="preserve">Conclusion </w:t>
      </w:r>
    </w:p>
    <w:p w14:paraId="0D66DBD8" w14:textId="77777777" w:rsidR="00481564" w:rsidRPr="00A43DB3" w:rsidRDefault="00481564" w:rsidP="00481564">
      <w:pPr>
        <w:spacing w:line="360" w:lineRule="auto"/>
        <w:jc w:val="both"/>
        <w:rPr>
          <w:rFonts w:ascii="Times New Roman" w:hAnsi="Times New Roman" w:cs="Times New Roman"/>
          <w:color w:val="FF0000"/>
          <w:sz w:val="24"/>
          <w:szCs w:val="24"/>
        </w:rPr>
      </w:pPr>
      <w:r w:rsidRPr="00A43DB3">
        <w:rPr>
          <w:rFonts w:ascii="Times New Roman" w:hAnsi="Times New Roman" w:cs="Times New Roman"/>
          <w:sz w:val="24"/>
          <w:szCs w:val="24"/>
        </w:rPr>
        <w:t xml:space="preserve">The de-referencing right was judicially recognised by the Court of Justice of the European Union (CJEU) in 2014 in the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xml:space="preserve"> </w:t>
      </w:r>
      <w:proofErr w:type="gramStart"/>
      <w:r w:rsidRPr="00A43DB3">
        <w:rPr>
          <w:rFonts w:ascii="Times New Roman" w:hAnsi="Times New Roman" w:cs="Times New Roman"/>
          <w:sz w:val="24"/>
          <w:szCs w:val="24"/>
        </w:rPr>
        <w:t>case, and</w:t>
      </w:r>
      <w:proofErr w:type="gramEnd"/>
      <w:r w:rsidRPr="00A43DB3">
        <w:rPr>
          <w:rFonts w:ascii="Times New Roman" w:hAnsi="Times New Roman" w:cs="Times New Roman"/>
          <w:sz w:val="24"/>
          <w:szCs w:val="24"/>
        </w:rPr>
        <w:t xml:space="preserve"> is now codified in the General Data Protection Regulation (GDPR).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xml:space="preserve"> culminated in debates between privacy and freedom of expression. Much of the criticism, notably from media outlets and Internet companies, related to narratives regarding censorship, European </w:t>
      </w:r>
      <w:proofErr w:type="gramStart"/>
      <w:r w:rsidRPr="00A43DB3">
        <w:rPr>
          <w:rFonts w:ascii="Times New Roman" w:hAnsi="Times New Roman" w:cs="Times New Roman"/>
          <w:sz w:val="24"/>
          <w:szCs w:val="24"/>
        </w:rPr>
        <w:t>imperialism</w:t>
      </w:r>
      <w:proofErr w:type="gramEnd"/>
      <w:r w:rsidRPr="00A43DB3">
        <w:rPr>
          <w:rFonts w:ascii="Times New Roman" w:hAnsi="Times New Roman" w:cs="Times New Roman"/>
          <w:sz w:val="24"/>
          <w:szCs w:val="24"/>
        </w:rPr>
        <w:t xml:space="preserve"> or private power to modify history. Notwithstanding, it should also be emphasised that it has represented an attempt to require these corporations to comply with data protection.</w:t>
      </w:r>
    </w:p>
    <w:p w14:paraId="3E0CB2DA"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Accordingly, data subjects can submit a removal request to the search engine operator </w:t>
      </w:r>
      <w:proofErr w:type="gramStart"/>
      <w:r w:rsidRPr="00A43DB3">
        <w:rPr>
          <w:rFonts w:ascii="Times New Roman" w:hAnsi="Times New Roman" w:cs="Times New Roman"/>
          <w:sz w:val="24"/>
          <w:szCs w:val="24"/>
        </w:rPr>
        <w:t>in order to</w:t>
      </w:r>
      <w:proofErr w:type="gramEnd"/>
      <w:r w:rsidRPr="00A43DB3">
        <w:rPr>
          <w:rFonts w:ascii="Times New Roman" w:hAnsi="Times New Roman" w:cs="Times New Roman"/>
          <w:sz w:val="24"/>
          <w:szCs w:val="24"/>
        </w:rPr>
        <w:t xml:space="preserve"> de-reference links to web pages containing personal data related to him or her, notably on the ground that the information is inaccurate, inadequate, irrelevant or no longer relevant, or excessive, provided that there is no overriding public interest. On these grounds, the right to be forgotten represents the possibility that individuals can require controllers to end the processing of personal data related to them and, in the case of a search engine operator, to supress links from its online index. It does not imply, however, that the right to be forgotten is an absolute right, but the grant of a </w:t>
      </w:r>
      <w:r>
        <w:rPr>
          <w:rFonts w:ascii="Times New Roman" w:hAnsi="Times New Roman" w:cs="Times New Roman"/>
          <w:sz w:val="24"/>
          <w:szCs w:val="24"/>
        </w:rPr>
        <w:t>removal</w:t>
      </w:r>
      <w:r w:rsidRPr="00A43DB3">
        <w:rPr>
          <w:rFonts w:ascii="Times New Roman" w:hAnsi="Times New Roman" w:cs="Times New Roman"/>
          <w:sz w:val="24"/>
          <w:szCs w:val="24"/>
        </w:rPr>
        <w:t xml:space="preserve"> request must follow a balancing act between the data subjects’ right to privacy and data protection, on the one hand, and the Internet users’ freedom of expression and information, on the other. </w:t>
      </w:r>
    </w:p>
    <w:p w14:paraId="083636AE"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Nevertheless, despite its judicial recognition in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xml:space="preserve"> and subsequent codification in the GDPR, some relevant points regarding the right to erasure remained unresolved. Thus, in 2019, the CJEU ruled on two cases, which were additional to </w:t>
      </w:r>
      <w:r w:rsidRPr="00A43DB3">
        <w:rPr>
          <w:rFonts w:ascii="Times New Roman" w:hAnsi="Times New Roman" w:cs="Times New Roman"/>
          <w:i/>
          <w:iCs/>
          <w:sz w:val="24"/>
          <w:szCs w:val="24"/>
        </w:rPr>
        <w:t>Google Spain</w:t>
      </w:r>
      <w:r w:rsidRPr="00A43DB3">
        <w:rPr>
          <w:rFonts w:ascii="Times New Roman" w:hAnsi="Times New Roman" w:cs="Times New Roman"/>
          <w:sz w:val="24"/>
          <w:szCs w:val="24"/>
        </w:rPr>
        <w:t xml:space="preserve"> on the de-referencing right applied to search engines: </w:t>
      </w:r>
      <w:r w:rsidRPr="00A43DB3">
        <w:rPr>
          <w:rFonts w:ascii="Times New Roman" w:hAnsi="Times New Roman" w:cs="Times New Roman"/>
          <w:i/>
          <w:iCs/>
          <w:sz w:val="24"/>
          <w:szCs w:val="24"/>
        </w:rPr>
        <w:t>GC and Others</w:t>
      </w:r>
      <w:r w:rsidRPr="00A43DB3">
        <w:rPr>
          <w:rFonts w:ascii="Times New Roman" w:hAnsi="Times New Roman" w:cs="Times New Roman"/>
          <w:sz w:val="24"/>
          <w:szCs w:val="24"/>
        </w:rPr>
        <w:t xml:space="preserve">, regarding the processing of sensitive data, which established that the de-referencing right in such cases must occur after the submission of a removal request and following a balancing test on a case-by-case basis, and </w:t>
      </w:r>
      <w:r w:rsidRPr="00A43DB3">
        <w:rPr>
          <w:rFonts w:ascii="Times New Roman" w:hAnsi="Times New Roman" w:cs="Times New Roman"/>
          <w:i/>
          <w:iCs/>
          <w:sz w:val="24"/>
          <w:szCs w:val="24"/>
        </w:rPr>
        <w:t>Google v CNIL</w:t>
      </w:r>
      <w:r w:rsidRPr="00A43DB3">
        <w:rPr>
          <w:rFonts w:ascii="Times New Roman" w:hAnsi="Times New Roman" w:cs="Times New Roman"/>
          <w:sz w:val="24"/>
          <w:szCs w:val="24"/>
        </w:rPr>
        <w:t>,  defining the territorial scope of such right, confined to the European Union, in conjunction with measures implemented by search engine operators to prevent or at least seriously discourage access to information displayed on domains outside the Union.</w:t>
      </w:r>
    </w:p>
    <w:p w14:paraId="22DC70C1" w14:textId="77777777" w:rsidR="00481564" w:rsidRPr="00A43DB3" w:rsidRDefault="00481564" w:rsidP="00481564">
      <w:pPr>
        <w:spacing w:line="360" w:lineRule="auto"/>
        <w:jc w:val="both"/>
        <w:rPr>
          <w:rFonts w:ascii="Times New Roman" w:hAnsi="Times New Roman" w:cs="Times New Roman"/>
          <w:sz w:val="24"/>
          <w:szCs w:val="24"/>
        </w:rPr>
      </w:pPr>
      <w:r w:rsidRPr="00A43DB3">
        <w:rPr>
          <w:rFonts w:ascii="Times New Roman" w:hAnsi="Times New Roman" w:cs="Times New Roman"/>
          <w:sz w:val="24"/>
          <w:szCs w:val="24"/>
        </w:rPr>
        <w:t xml:space="preserve">The right to erasure has been criticised given the technical obstacles to effectively remove content from the Internet or prevent access to online information once it has been published. Notwithstanding, despite the difficulties in completely erasing personal data, it is feasible to limit access to the disputed data by preventing its display in search engine </w:t>
      </w:r>
      <w:r w:rsidRPr="00A43DB3">
        <w:rPr>
          <w:rFonts w:ascii="Times New Roman" w:hAnsi="Times New Roman" w:cs="Times New Roman"/>
          <w:sz w:val="24"/>
          <w:szCs w:val="24"/>
        </w:rPr>
        <w:lastRenderedPageBreak/>
        <w:t xml:space="preserve">results, for example. The CJEU’s decisions illustrate how the Court is constantly required to interpret the innovative but still incomplete European legal framework, resulting from the inability of the law to predict the technological advances. </w:t>
      </w:r>
    </w:p>
    <w:p w14:paraId="7DDE50C9" w14:textId="6A5266E0" w:rsidR="00481564" w:rsidRDefault="00481564" w:rsidP="00481564">
      <w:pPr>
        <w:spacing w:line="360" w:lineRule="auto"/>
        <w:rPr>
          <w:rFonts w:ascii="Times New Roman" w:hAnsi="Times New Roman" w:cs="Times New Roman"/>
          <w:sz w:val="24"/>
          <w:szCs w:val="24"/>
        </w:rPr>
      </w:pPr>
    </w:p>
    <w:p w14:paraId="76418A4B" w14:textId="75D06DFF" w:rsidR="00006F45" w:rsidRDefault="00006F45" w:rsidP="00481564">
      <w:pPr>
        <w:spacing w:line="360" w:lineRule="auto"/>
        <w:rPr>
          <w:rFonts w:ascii="Times New Roman" w:hAnsi="Times New Roman" w:cs="Times New Roman"/>
          <w:sz w:val="24"/>
          <w:szCs w:val="24"/>
        </w:rPr>
      </w:pPr>
    </w:p>
    <w:p w14:paraId="5818CB0B" w14:textId="4A324521" w:rsidR="00643AF4" w:rsidRDefault="00643AF4" w:rsidP="00481564">
      <w:pPr>
        <w:spacing w:line="360" w:lineRule="auto"/>
        <w:rPr>
          <w:rFonts w:ascii="Times New Roman" w:hAnsi="Times New Roman" w:cs="Times New Roman"/>
          <w:sz w:val="24"/>
          <w:szCs w:val="24"/>
        </w:rPr>
      </w:pPr>
    </w:p>
    <w:p w14:paraId="0592DE8E" w14:textId="6E709FB6" w:rsidR="00643AF4" w:rsidRDefault="00643AF4" w:rsidP="00481564">
      <w:pPr>
        <w:spacing w:line="360" w:lineRule="auto"/>
        <w:rPr>
          <w:rFonts w:ascii="Times New Roman" w:hAnsi="Times New Roman" w:cs="Times New Roman"/>
          <w:sz w:val="24"/>
          <w:szCs w:val="24"/>
        </w:rPr>
      </w:pPr>
    </w:p>
    <w:p w14:paraId="71ABF6CF" w14:textId="6D286067" w:rsidR="00643AF4" w:rsidRDefault="00643AF4" w:rsidP="00481564">
      <w:pPr>
        <w:spacing w:line="360" w:lineRule="auto"/>
        <w:rPr>
          <w:rFonts w:ascii="Times New Roman" w:hAnsi="Times New Roman" w:cs="Times New Roman"/>
          <w:sz w:val="24"/>
          <w:szCs w:val="24"/>
        </w:rPr>
      </w:pPr>
    </w:p>
    <w:p w14:paraId="41073D57" w14:textId="4DC8F810" w:rsidR="00643AF4" w:rsidRDefault="00643AF4" w:rsidP="00481564">
      <w:pPr>
        <w:spacing w:line="360" w:lineRule="auto"/>
        <w:rPr>
          <w:rFonts w:ascii="Times New Roman" w:hAnsi="Times New Roman" w:cs="Times New Roman"/>
          <w:sz w:val="24"/>
          <w:szCs w:val="24"/>
        </w:rPr>
      </w:pPr>
    </w:p>
    <w:p w14:paraId="31E16644" w14:textId="2F1CFA1F" w:rsidR="00643AF4" w:rsidRDefault="00643AF4" w:rsidP="00481564">
      <w:pPr>
        <w:spacing w:line="360" w:lineRule="auto"/>
        <w:rPr>
          <w:rFonts w:ascii="Times New Roman" w:hAnsi="Times New Roman" w:cs="Times New Roman"/>
          <w:sz w:val="24"/>
          <w:szCs w:val="24"/>
        </w:rPr>
      </w:pPr>
    </w:p>
    <w:p w14:paraId="05B452AE" w14:textId="71D48166" w:rsidR="00643AF4" w:rsidRDefault="00643AF4" w:rsidP="00481564">
      <w:pPr>
        <w:spacing w:line="360" w:lineRule="auto"/>
        <w:rPr>
          <w:rFonts w:ascii="Times New Roman" w:hAnsi="Times New Roman" w:cs="Times New Roman"/>
          <w:sz w:val="24"/>
          <w:szCs w:val="24"/>
        </w:rPr>
      </w:pPr>
    </w:p>
    <w:p w14:paraId="00751BFF" w14:textId="27BFB585" w:rsidR="00643AF4" w:rsidRDefault="00643AF4" w:rsidP="00481564">
      <w:pPr>
        <w:spacing w:line="360" w:lineRule="auto"/>
        <w:rPr>
          <w:rFonts w:ascii="Times New Roman" w:hAnsi="Times New Roman" w:cs="Times New Roman"/>
          <w:sz w:val="24"/>
          <w:szCs w:val="24"/>
        </w:rPr>
      </w:pPr>
    </w:p>
    <w:p w14:paraId="00A3656C" w14:textId="17767E65" w:rsidR="00643AF4" w:rsidRDefault="00643AF4" w:rsidP="00481564">
      <w:pPr>
        <w:spacing w:line="360" w:lineRule="auto"/>
        <w:rPr>
          <w:rFonts w:ascii="Times New Roman" w:hAnsi="Times New Roman" w:cs="Times New Roman"/>
          <w:sz w:val="24"/>
          <w:szCs w:val="24"/>
        </w:rPr>
      </w:pPr>
    </w:p>
    <w:p w14:paraId="37DBB396" w14:textId="02854262" w:rsidR="00643AF4" w:rsidRDefault="00643AF4" w:rsidP="00481564">
      <w:pPr>
        <w:spacing w:line="360" w:lineRule="auto"/>
        <w:rPr>
          <w:rFonts w:ascii="Times New Roman" w:hAnsi="Times New Roman" w:cs="Times New Roman"/>
          <w:sz w:val="24"/>
          <w:szCs w:val="24"/>
        </w:rPr>
      </w:pPr>
    </w:p>
    <w:p w14:paraId="4D50689E" w14:textId="20CA4607" w:rsidR="00643AF4" w:rsidRDefault="00643AF4" w:rsidP="00481564">
      <w:pPr>
        <w:spacing w:line="360" w:lineRule="auto"/>
        <w:rPr>
          <w:rFonts w:ascii="Times New Roman" w:hAnsi="Times New Roman" w:cs="Times New Roman"/>
          <w:sz w:val="24"/>
          <w:szCs w:val="24"/>
        </w:rPr>
      </w:pPr>
    </w:p>
    <w:p w14:paraId="0AED2FBF" w14:textId="484D6483" w:rsidR="00643AF4" w:rsidRDefault="00643AF4" w:rsidP="00481564">
      <w:pPr>
        <w:spacing w:line="360" w:lineRule="auto"/>
        <w:rPr>
          <w:rFonts w:ascii="Times New Roman" w:hAnsi="Times New Roman" w:cs="Times New Roman"/>
          <w:sz w:val="24"/>
          <w:szCs w:val="24"/>
        </w:rPr>
      </w:pPr>
    </w:p>
    <w:p w14:paraId="5C15E349" w14:textId="4EBD3E5C" w:rsidR="00643AF4" w:rsidRDefault="00643AF4" w:rsidP="00481564">
      <w:pPr>
        <w:spacing w:line="360" w:lineRule="auto"/>
        <w:rPr>
          <w:rFonts w:ascii="Times New Roman" w:hAnsi="Times New Roman" w:cs="Times New Roman"/>
          <w:sz w:val="24"/>
          <w:szCs w:val="24"/>
        </w:rPr>
      </w:pPr>
    </w:p>
    <w:p w14:paraId="4D0E3D44" w14:textId="36513E7C" w:rsidR="00643AF4" w:rsidRDefault="00643AF4" w:rsidP="00481564">
      <w:pPr>
        <w:spacing w:line="360" w:lineRule="auto"/>
        <w:rPr>
          <w:rFonts w:ascii="Times New Roman" w:hAnsi="Times New Roman" w:cs="Times New Roman"/>
          <w:sz w:val="24"/>
          <w:szCs w:val="24"/>
        </w:rPr>
      </w:pPr>
    </w:p>
    <w:p w14:paraId="65D6DA49" w14:textId="7E81080B" w:rsidR="00643AF4" w:rsidRDefault="00643AF4" w:rsidP="00481564">
      <w:pPr>
        <w:spacing w:line="360" w:lineRule="auto"/>
        <w:rPr>
          <w:rFonts w:ascii="Times New Roman" w:hAnsi="Times New Roman" w:cs="Times New Roman"/>
          <w:sz w:val="24"/>
          <w:szCs w:val="24"/>
        </w:rPr>
      </w:pPr>
    </w:p>
    <w:p w14:paraId="371E92EB" w14:textId="2AF72434" w:rsidR="00643AF4" w:rsidRDefault="00643AF4" w:rsidP="00481564">
      <w:pPr>
        <w:spacing w:line="360" w:lineRule="auto"/>
        <w:rPr>
          <w:rFonts w:ascii="Times New Roman" w:hAnsi="Times New Roman" w:cs="Times New Roman"/>
          <w:sz w:val="24"/>
          <w:szCs w:val="24"/>
        </w:rPr>
      </w:pPr>
    </w:p>
    <w:p w14:paraId="6634A8C5" w14:textId="0D3B6B28" w:rsidR="00643AF4" w:rsidRDefault="00643AF4" w:rsidP="00481564">
      <w:pPr>
        <w:spacing w:line="360" w:lineRule="auto"/>
        <w:rPr>
          <w:rFonts w:ascii="Times New Roman" w:hAnsi="Times New Roman" w:cs="Times New Roman"/>
          <w:sz w:val="24"/>
          <w:szCs w:val="24"/>
        </w:rPr>
      </w:pPr>
    </w:p>
    <w:p w14:paraId="3B8A8BFD" w14:textId="4D293410" w:rsidR="00643AF4" w:rsidRDefault="00643AF4" w:rsidP="00481564">
      <w:pPr>
        <w:spacing w:line="360" w:lineRule="auto"/>
        <w:rPr>
          <w:rFonts w:ascii="Times New Roman" w:hAnsi="Times New Roman" w:cs="Times New Roman"/>
          <w:sz w:val="24"/>
          <w:szCs w:val="24"/>
        </w:rPr>
      </w:pPr>
    </w:p>
    <w:p w14:paraId="40BF2AC5" w14:textId="00D8A30F" w:rsidR="00643AF4" w:rsidRDefault="00643AF4" w:rsidP="00481564">
      <w:pPr>
        <w:spacing w:line="360" w:lineRule="auto"/>
        <w:rPr>
          <w:rFonts w:ascii="Times New Roman" w:hAnsi="Times New Roman" w:cs="Times New Roman"/>
          <w:sz w:val="24"/>
          <w:szCs w:val="24"/>
        </w:rPr>
      </w:pPr>
    </w:p>
    <w:p w14:paraId="11F4219C" w14:textId="5DBA2920" w:rsidR="00643AF4" w:rsidRDefault="00643AF4" w:rsidP="00481564">
      <w:pPr>
        <w:spacing w:line="360" w:lineRule="auto"/>
        <w:rPr>
          <w:rFonts w:ascii="Times New Roman" w:hAnsi="Times New Roman" w:cs="Times New Roman"/>
          <w:sz w:val="24"/>
          <w:szCs w:val="24"/>
        </w:rPr>
      </w:pPr>
    </w:p>
    <w:p w14:paraId="49C89298" w14:textId="2EACAAD6" w:rsidR="00643AF4" w:rsidRDefault="00643AF4" w:rsidP="00481564">
      <w:pPr>
        <w:spacing w:line="360" w:lineRule="auto"/>
        <w:rPr>
          <w:rFonts w:ascii="Times New Roman" w:hAnsi="Times New Roman" w:cs="Times New Roman"/>
          <w:sz w:val="24"/>
          <w:szCs w:val="24"/>
        </w:rPr>
      </w:pPr>
    </w:p>
    <w:p w14:paraId="160EB0FB" w14:textId="77777777" w:rsidR="00643AF4" w:rsidRPr="00DB4FCC" w:rsidRDefault="00643AF4" w:rsidP="00643AF4">
      <w:pPr>
        <w:spacing w:line="240" w:lineRule="auto"/>
        <w:jc w:val="center"/>
        <w:rPr>
          <w:rFonts w:ascii="Times New Roman" w:hAnsi="Times New Roman" w:cs="Times New Roman"/>
          <w:b/>
          <w:bCs/>
          <w:sz w:val="24"/>
          <w:szCs w:val="24"/>
        </w:rPr>
      </w:pPr>
      <w:r w:rsidRPr="00DB4FCC">
        <w:rPr>
          <w:rFonts w:ascii="Times New Roman" w:hAnsi="Times New Roman" w:cs="Times New Roman"/>
          <w:b/>
          <w:bCs/>
          <w:sz w:val="24"/>
          <w:szCs w:val="24"/>
        </w:rPr>
        <w:lastRenderedPageBreak/>
        <w:t>BIBLIOGRAPHY</w:t>
      </w:r>
    </w:p>
    <w:p w14:paraId="4CA85A49" w14:textId="77777777" w:rsidR="00643AF4" w:rsidRDefault="00643AF4" w:rsidP="00643AF4">
      <w:pPr>
        <w:spacing w:line="240" w:lineRule="auto"/>
        <w:jc w:val="both"/>
        <w:rPr>
          <w:rFonts w:ascii="Times New Roman" w:hAnsi="Times New Roman" w:cs="Times New Roman"/>
          <w:b/>
          <w:bCs/>
          <w:sz w:val="24"/>
          <w:szCs w:val="24"/>
        </w:rPr>
      </w:pPr>
    </w:p>
    <w:p w14:paraId="719C78D6" w14:textId="77777777" w:rsidR="00643AF4" w:rsidRPr="00A42FC7" w:rsidRDefault="00643AF4" w:rsidP="00643AF4">
      <w:pPr>
        <w:spacing w:line="240" w:lineRule="auto"/>
        <w:jc w:val="both"/>
        <w:rPr>
          <w:rFonts w:ascii="Times New Roman" w:hAnsi="Times New Roman" w:cs="Times New Roman"/>
          <w:b/>
          <w:bCs/>
          <w:sz w:val="24"/>
          <w:szCs w:val="24"/>
        </w:rPr>
      </w:pPr>
      <w:r w:rsidRPr="00A42FC7">
        <w:rPr>
          <w:rFonts w:ascii="Times New Roman" w:hAnsi="Times New Roman" w:cs="Times New Roman"/>
          <w:b/>
          <w:bCs/>
          <w:sz w:val="24"/>
          <w:szCs w:val="24"/>
        </w:rPr>
        <w:t>Legal references</w:t>
      </w:r>
    </w:p>
    <w:p w14:paraId="1AD48D2D" w14:textId="77777777" w:rsidR="00643AF4" w:rsidRPr="00A42FC7" w:rsidRDefault="00643AF4" w:rsidP="00643AF4">
      <w:pPr>
        <w:spacing w:line="240" w:lineRule="auto"/>
        <w:jc w:val="both"/>
        <w:rPr>
          <w:rFonts w:ascii="Times New Roman" w:hAnsi="Times New Roman" w:cs="Times New Roman"/>
          <w:b/>
          <w:bCs/>
          <w:sz w:val="24"/>
          <w:szCs w:val="24"/>
        </w:rPr>
      </w:pPr>
      <w:r w:rsidRPr="00A42FC7">
        <w:rPr>
          <w:rFonts w:ascii="Times New Roman" w:hAnsi="Times New Roman" w:cs="Times New Roman"/>
          <w:sz w:val="24"/>
          <w:szCs w:val="24"/>
        </w:rPr>
        <w:t>Article 29 Working Party WP225 Guidelines on the implementation of the Court of Justice of the European Union Judgment on “Google Spain and Inc v. AEPD and Mario Costeja González” C-131/12</w:t>
      </w:r>
    </w:p>
    <w:p w14:paraId="6738AC52"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Charter of Fundamental Rights of the European Union [2000] OJ C364/1</w:t>
      </w:r>
    </w:p>
    <w:p w14:paraId="0437AFBE"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Council Convention for the Protection of Individuals </w:t>
      </w:r>
      <w:proofErr w:type="gramStart"/>
      <w:r w:rsidRPr="00A42FC7">
        <w:rPr>
          <w:rFonts w:ascii="Times New Roman" w:hAnsi="Times New Roman" w:cs="Times New Roman"/>
          <w:sz w:val="24"/>
          <w:szCs w:val="24"/>
        </w:rPr>
        <w:t>with regard to</w:t>
      </w:r>
      <w:proofErr w:type="gramEnd"/>
      <w:r w:rsidRPr="00A42FC7">
        <w:rPr>
          <w:rFonts w:ascii="Times New Roman" w:hAnsi="Times New Roman" w:cs="Times New Roman"/>
          <w:sz w:val="24"/>
          <w:szCs w:val="24"/>
        </w:rPr>
        <w:t xml:space="preserve"> Automatic Processing of Personal Data [1981] CETS no. 108</w:t>
      </w:r>
    </w:p>
    <w:p w14:paraId="675DB95A"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Council Directive (EC) 95/46 on the protection of individuals </w:t>
      </w:r>
      <w:proofErr w:type="gramStart"/>
      <w:r w:rsidRPr="00A42FC7">
        <w:rPr>
          <w:rFonts w:ascii="Times New Roman" w:hAnsi="Times New Roman" w:cs="Times New Roman"/>
          <w:sz w:val="24"/>
          <w:szCs w:val="24"/>
        </w:rPr>
        <w:t>with regard to</w:t>
      </w:r>
      <w:proofErr w:type="gramEnd"/>
      <w:r w:rsidRPr="00A42FC7">
        <w:rPr>
          <w:rFonts w:ascii="Times New Roman" w:hAnsi="Times New Roman" w:cs="Times New Roman"/>
          <w:sz w:val="24"/>
          <w:szCs w:val="24"/>
        </w:rPr>
        <w:t xml:space="preserve"> the processing of personal data and on the free movement of such data [1995] OJ L281/31 (Data Protection Directive)</w:t>
      </w:r>
    </w:p>
    <w:p w14:paraId="119CADC8"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Council Directive (EC) 2000/31 on certain legal aspects of information society services, in particular electronic commerce, in the Internal Market [2000] OJ L178/1 ('Directive on electronic commerce')</w:t>
      </w:r>
    </w:p>
    <w:p w14:paraId="42C37D57" w14:textId="77777777" w:rsidR="00643AF4"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Council Directive (EU) 2017/541 on combating terrorism [2017] OJ L88/6</w:t>
      </w:r>
    </w:p>
    <w:p w14:paraId="60AC4879"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European Convention for the Protection of Human Rights and Fundamental Freedoms, as amended by Protocols Nos. 11, 14 and 15 [1950] ETS 5/1</w:t>
      </w:r>
    </w:p>
    <w:p w14:paraId="4C6529F1"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European Data Protection Board Guidelines 5/2019 on the criteria of the Right to be Forgotten in the search engines cases under the GDPR (part 1)</w:t>
      </w:r>
    </w:p>
    <w:p w14:paraId="6006D02D"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Explanations Relating to the Charter of Fundamental Rights [2007] OJ C303/17 (Charter of Fundamental Rights of the European Union 2000)</w:t>
      </w:r>
    </w:p>
    <w:p w14:paraId="006D2F16"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Explanatory Memorandum to the Proposal for a Regulation of the European Parliament and of the Council on the protection of individuals </w:t>
      </w:r>
      <w:proofErr w:type="gramStart"/>
      <w:r w:rsidRPr="00A42FC7">
        <w:rPr>
          <w:rFonts w:ascii="Times New Roman" w:hAnsi="Times New Roman" w:cs="Times New Roman"/>
          <w:sz w:val="24"/>
          <w:szCs w:val="24"/>
        </w:rPr>
        <w:t>with regard to</w:t>
      </w:r>
      <w:proofErr w:type="gramEnd"/>
      <w:r w:rsidRPr="00A42FC7">
        <w:rPr>
          <w:rFonts w:ascii="Times New Roman" w:hAnsi="Times New Roman" w:cs="Times New Roman"/>
          <w:sz w:val="24"/>
          <w:szCs w:val="24"/>
        </w:rPr>
        <w:t xml:space="preserve"> the processing of personal data and on the free movement of such data (General Data Protection Regulation) 2012</w:t>
      </w:r>
    </w:p>
    <w:p w14:paraId="77B3FF35"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OECD Guidelines on the Protection of Privacy and Transborder Flows of Personal Data (1980) </w:t>
      </w:r>
    </w:p>
    <w:p w14:paraId="4F529881" w14:textId="77777777" w:rsidR="00643AF4" w:rsidRDefault="00643AF4" w:rsidP="00643AF4">
      <w:pPr>
        <w:pStyle w:val="Textodenotaderodap"/>
        <w:jc w:val="both"/>
        <w:rPr>
          <w:rFonts w:ascii="Times New Roman" w:hAnsi="Times New Roman" w:cs="Times New Roman"/>
          <w:sz w:val="24"/>
          <w:szCs w:val="24"/>
        </w:rPr>
      </w:pPr>
      <w:r w:rsidRPr="00A42FC7">
        <w:rPr>
          <w:rFonts w:ascii="Times New Roman" w:hAnsi="Times New Roman" w:cs="Times New Roman"/>
          <w:sz w:val="24"/>
          <w:szCs w:val="24"/>
        </w:rPr>
        <w:t xml:space="preserve">Regulation (EU) 2016/679 on the protection of natural persons </w:t>
      </w:r>
      <w:proofErr w:type="gramStart"/>
      <w:r w:rsidRPr="00A42FC7">
        <w:rPr>
          <w:rFonts w:ascii="Times New Roman" w:hAnsi="Times New Roman" w:cs="Times New Roman"/>
          <w:sz w:val="24"/>
          <w:szCs w:val="24"/>
        </w:rPr>
        <w:t>with regard to</w:t>
      </w:r>
      <w:proofErr w:type="gramEnd"/>
      <w:r w:rsidRPr="00A42FC7">
        <w:rPr>
          <w:rFonts w:ascii="Times New Roman" w:hAnsi="Times New Roman" w:cs="Times New Roman"/>
          <w:sz w:val="24"/>
          <w:szCs w:val="24"/>
        </w:rPr>
        <w:t xml:space="preserve"> the processing of personal data and on the free movement of such data [2016] OJ L199/1 (General Data Protection Regulation)</w:t>
      </w:r>
    </w:p>
    <w:p w14:paraId="2EB162CF" w14:textId="77777777" w:rsidR="00643AF4" w:rsidRDefault="00643AF4" w:rsidP="00643AF4">
      <w:pPr>
        <w:pStyle w:val="Textodenotaderodap"/>
        <w:jc w:val="both"/>
        <w:rPr>
          <w:rFonts w:ascii="Times New Roman" w:hAnsi="Times New Roman" w:cs="Times New Roman"/>
          <w:sz w:val="24"/>
          <w:szCs w:val="24"/>
        </w:rPr>
      </w:pPr>
    </w:p>
    <w:p w14:paraId="66285FC9"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Universal Declaration of Human Rights </w:t>
      </w:r>
      <w:bookmarkStart w:id="81" w:name="_Hlk111710273"/>
      <w:r w:rsidRPr="00A42FC7">
        <w:rPr>
          <w:rFonts w:ascii="Times New Roman" w:hAnsi="Times New Roman" w:cs="Times New Roman"/>
          <w:sz w:val="24"/>
          <w:szCs w:val="24"/>
        </w:rPr>
        <w:t>217 A (III) of 10 December 1948</w:t>
      </w:r>
      <w:bookmarkEnd w:id="81"/>
    </w:p>
    <w:p w14:paraId="35EF91E3"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WP225 Guidelines on the implementation of the Court of Justice of the European Union Judgment on “Google Spain and Inc v. AEPD and Mario Costeja González” C-131/12 (2020)</w:t>
      </w:r>
    </w:p>
    <w:p w14:paraId="42BC9292" w14:textId="77777777" w:rsidR="00643AF4" w:rsidRPr="00A42FC7" w:rsidRDefault="00643AF4" w:rsidP="00643AF4">
      <w:pPr>
        <w:spacing w:line="240" w:lineRule="auto"/>
        <w:jc w:val="both"/>
        <w:rPr>
          <w:rFonts w:ascii="Times New Roman" w:hAnsi="Times New Roman" w:cs="Times New Roman"/>
          <w:sz w:val="24"/>
          <w:szCs w:val="24"/>
        </w:rPr>
      </w:pPr>
    </w:p>
    <w:p w14:paraId="574FD476" w14:textId="77777777" w:rsidR="00643AF4" w:rsidRPr="00A42FC7" w:rsidRDefault="00643AF4" w:rsidP="00643AF4">
      <w:pPr>
        <w:spacing w:line="240" w:lineRule="auto"/>
        <w:jc w:val="both"/>
        <w:rPr>
          <w:rFonts w:ascii="Times New Roman" w:hAnsi="Times New Roman" w:cs="Times New Roman"/>
          <w:sz w:val="24"/>
          <w:szCs w:val="24"/>
        </w:rPr>
      </w:pPr>
    </w:p>
    <w:p w14:paraId="2C96A283" w14:textId="77777777" w:rsidR="00643AF4" w:rsidRDefault="00643AF4" w:rsidP="00643AF4">
      <w:pPr>
        <w:spacing w:line="240" w:lineRule="auto"/>
        <w:jc w:val="both"/>
        <w:rPr>
          <w:rFonts w:ascii="Times New Roman" w:hAnsi="Times New Roman" w:cs="Times New Roman"/>
          <w:b/>
          <w:bCs/>
          <w:sz w:val="24"/>
          <w:szCs w:val="24"/>
        </w:rPr>
      </w:pPr>
    </w:p>
    <w:p w14:paraId="29E547CB" w14:textId="77777777" w:rsidR="00643AF4" w:rsidRPr="00A42FC7" w:rsidRDefault="00643AF4" w:rsidP="00643AF4">
      <w:pPr>
        <w:spacing w:line="240" w:lineRule="auto"/>
        <w:jc w:val="both"/>
        <w:rPr>
          <w:rFonts w:ascii="Times New Roman" w:hAnsi="Times New Roman" w:cs="Times New Roman"/>
          <w:b/>
          <w:bCs/>
          <w:sz w:val="24"/>
          <w:szCs w:val="24"/>
        </w:rPr>
      </w:pPr>
      <w:r w:rsidRPr="00A42FC7">
        <w:rPr>
          <w:rFonts w:ascii="Times New Roman" w:hAnsi="Times New Roman" w:cs="Times New Roman"/>
          <w:b/>
          <w:bCs/>
          <w:sz w:val="24"/>
          <w:szCs w:val="24"/>
        </w:rPr>
        <w:lastRenderedPageBreak/>
        <w:t xml:space="preserve">Case-law references </w:t>
      </w:r>
    </w:p>
    <w:p w14:paraId="5C00062B"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Case C-101/01 </w:t>
      </w:r>
      <w:proofErr w:type="spellStart"/>
      <w:r w:rsidRPr="00A42FC7">
        <w:rPr>
          <w:rFonts w:ascii="Times New Roman" w:hAnsi="Times New Roman" w:cs="Times New Roman"/>
          <w:sz w:val="24"/>
          <w:szCs w:val="24"/>
        </w:rPr>
        <w:t>Bodil</w:t>
      </w:r>
      <w:proofErr w:type="spellEnd"/>
      <w:r w:rsidRPr="00A42FC7">
        <w:rPr>
          <w:rFonts w:ascii="Times New Roman" w:hAnsi="Times New Roman" w:cs="Times New Roman"/>
          <w:sz w:val="24"/>
          <w:szCs w:val="24"/>
        </w:rPr>
        <w:t xml:space="preserve"> Lindqvist v </w:t>
      </w:r>
      <w:proofErr w:type="spellStart"/>
      <w:r w:rsidRPr="00A42FC7">
        <w:rPr>
          <w:rFonts w:ascii="Times New Roman" w:hAnsi="Times New Roman" w:cs="Times New Roman"/>
          <w:sz w:val="24"/>
          <w:szCs w:val="24"/>
        </w:rPr>
        <w:t>Åklagarkammaren</w:t>
      </w:r>
      <w:proofErr w:type="spellEnd"/>
      <w:r w:rsidRPr="00A42FC7">
        <w:rPr>
          <w:rFonts w:ascii="Times New Roman" w:hAnsi="Times New Roman" w:cs="Times New Roman"/>
          <w:sz w:val="24"/>
          <w:szCs w:val="24"/>
        </w:rPr>
        <w:t xml:space="preserve"> </w:t>
      </w:r>
      <w:proofErr w:type="spellStart"/>
      <w:r w:rsidRPr="00A42FC7">
        <w:rPr>
          <w:rFonts w:ascii="Times New Roman" w:hAnsi="Times New Roman" w:cs="Times New Roman"/>
          <w:sz w:val="24"/>
          <w:szCs w:val="24"/>
        </w:rPr>
        <w:t>i</w:t>
      </w:r>
      <w:proofErr w:type="spellEnd"/>
      <w:r w:rsidRPr="00A42FC7">
        <w:rPr>
          <w:rFonts w:ascii="Times New Roman" w:hAnsi="Times New Roman" w:cs="Times New Roman"/>
          <w:sz w:val="24"/>
          <w:szCs w:val="24"/>
        </w:rPr>
        <w:t xml:space="preserve"> Jönköping [2002] ECLI:EU:</w:t>
      </w:r>
      <w:proofErr w:type="gramStart"/>
      <w:r w:rsidRPr="00A42FC7">
        <w:rPr>
          <w:rFonts w:ascii="Times New Roman" w:hAnsi="Times New Roman" w:cs="Times New Roman"/>
          <w:sz w:val="24"/>
          <w:szCs w:val="24"/>
        </w:rPr>
        <w:t>C:2002:513</w:t>
      </w:r>
      <w:proofErr w:type="gramEnd"/>
    </w:p>
    <w:p w14:paraId="07F98E25" w14:textId="77777777" w:rsidR="00643AF4" w:rsidRPr="00A42FC7" w:rsidRDefault="00643AF4" w:rsidP="00643AF4">
      <w:pPr>
        <w:spacing w:line="240" w:lineRule="auto"/>
        <w:jc w:val="both"/>
        <w:rPr>
          <w:rFonts w:ascii="Times New Roman" w:hAnsi="Times New Roman" w:cs="Times New Roman"/>
          <w:b/>
          <w:bCs/>
          <w:sz w:val="24"/>
          <w:szCs w:val="24"/>
        </w:rPr>
      </w:pPr>
      <w:r w:rsidRPr="00A42FC7">
        <w:rPr>
          <w:rFonts w:ascii="Times New Roman" w:hAnsi="Times New Roman" w:cs="Times New Roman"/>
          <w:sz w:val="24"/>
          <w:szCs w:val="24"/>
        </w:rPr>
        <w:t xml:space="preserve">Case C-18/18 Eva </w:t>
      </w:r>
      <w:proofErr w:type="spellStart"/>
      <w:r w:rsidRPr="00A42FC7">
        <w:rPr>
          <w:rFonts w:ascii="Times New Roman" w:hAnsi="Times New Roman" w:cs="Times New Roman"/>
          <w:sz w:val="24"/>
          <w:szCs w:val="24"/>
        </w:rPr>
        <w:t>Glawischnig-Piesczek</w:t>
      </w:r>
      <w:proofErr w:type="spellEnd"/>
      <w:r w:rsidRPr="00A42FC7">
        <w:rPr>
          <w:rFonts w:ascii="Times New Roman" w:hAnsi="Times New Roman" w:cs="Times New Roman"/>
          <w:sz w:val="24"/>
          <w:szCs w:val="24"/>
        </w:rPr>
        <w:t xml:space="preserve"> v Facebook Ireland Limited [2019] OJ C413/5</w:t>
      </w:r>
    </w:p>
    <w:p w14:paraId="0BCED1D9" w14:textId="77777777" w:rsidR="00643AF4" w:rsidRPr="00A42FC7" w:rsidRDefault="00643AF4" w:rsidP="00643AF4">
      <w:pPr>
        <w:spacing w:line="240" w:lineRule="auto"/>
        <w:jc w:val="both"/>
        <w:rPr>
          <w:rFonts w:ascii="Times New Roman" w:hAnsi="Times New Roman" w:cs="Times New Roman"/>
          <w:sz w:val="24"/>
          <w:szCs w:val="24"/>
        </w:rPr>
      </w:pPr>
      <w:bookmarkStart w:id="82" w:name="_Hlk111720501"/>
      <w:r w:rsidRPr="00A42FC7">
        <w:rPr>
          <w:rFonts w:ascii="Times New Roman" w:hAnsi="Times New Roman" w:cs="Times New Roman"/>
          <w:sz w:val="24"/>
          <w:szCs w:val="24"/>
        </w:rPr>
        <w:t>Case C-136/17 GC and Others v CNIL [2019] ECLI:EU:</w:t>
      </w:r>
      <w:proofErr w:type="gramStart"/>
      <w:r w:rsidRPr="00A42FC7">
        <w:rPr>
          <w:rFonts w:ascii="Times New Roman" w:hAnsi="Times New Roman" w:cs="Times New Roman"/>
          <w:sz w:val="24"/>
          <w:szCs w:val="24"/>
        </w:rPr>
        <w:t>C:2019:773</w:t>
      </w:r>
      <w:bookmarkEnd w:id="82"/>
      <w:proofErr w:type="gramEnd"/>
    </w:p>
    <w:p w14:paraId="18553259"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Case C-507/17 Google LLC v CNIL [2019] ECLI:EU:</w:t>
      </w:r>
      <w:proofErr w:type="gramStart"/>
      <w:r w:rsidRPr="00A42FC7">
        <w:rPr>
          <w:rFonts w:ascii="Times New Roman" w:hAnsi="Times New Roman" w:cs="Times New Roman"/>
          <w:sz w:val="24"/>
          <w:szCs w:val="24"/>
        </w:rPr>
        <w:t>C:2019:772</w:t>
      </w:r>
      <w:proofErr w:type="gramEnd"/>
    </w:p>
    <w:p w14:paraId="177942DF" w14:textId="77777777" w:rsidR="00643AF4" w:rsidRPr="00A42FC7" w:rsidRDefault="00643AF4" w:rsidP="00643AF4">
      <w:pPr>
        <w:pStyle w:val="Textodenotaderodap"/>
        <w:jc w:val="both"/>
        <w:rPr>
          <w:rFonts w:ascii="Times New Roman" w:hAnsi="Times New Roman" w:cs="Times New Roman"/>
          <w:sz w:val="24"/>
          <w:szCs w:val="24"/>
        </w:rPr>
      </w:pPr>
      <w:r w:rsidRPr="00A42FC7">
        <w:rPr>
          <w:rFonts w:ascii="Times New Roman" w:hAnsi="Times New Roman" w:cs="Times New Roman"/>
          <w:sz w:val="24"/>
          <w:szCs w:val="24"/>
        </w:rPr>
        <w:t>Case C-131/12 Google Spain v AEPD [2014] OJ C212/4</w:t>
      </w:r>
    </w:p>
    <w:p w14:paraId="220723E1"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Case C-324/09 L’Oréal and Others v eBay International AG and Others [2011] ECR I-6011</w:t>
      </w:r>
    </w:p>
    <w:p w14:paraId="06F8316E" w14:textId="77777777" w:rsidR="00643AF4" w:rsidRPr="00A42FC7" w:rsidRDefault="00643AF4" w:rsidP="00643AF4">
      <w:pPr>
        <w:spacing w:line="240" w:lineRule="auto"/>
        <w:jc w:val="both"/>
        <w:rPr>
          <w:rFonts w:ascii="Times New Roman" w:hAnsi="Times New Roman" w:cs="Times New Roman"/>
          <w:color w:val="000000"/>
          <w:sz w:val="24"/>
          <w:szCs w:val="24"/>
          <w:shd w:val="clear" w:color="auto" w:fill="FFFFFF"/>
        </w:rPr>
      </w:pPr>
      <w:r w:rsidRPr="00A42FC7">
        <w:rPr>
          <w:rFonts w:ascii="Times New Roman" w:hAnsi="Times New Roman" w:cs="Times New Roman"/>
          <w:sz w:val="24"/>
          <w:szCs w:val="24"/>
        </w:rPr>
        <w:t xml:space="preserve">Case C-362/14 </w:t>
      </w:r>
      <w:r w:rsidRPr="00A42FC7">
        <w:rPr>
          <w:rFonts w:ascii="Times New Roman" w:hAnsi="Times New Roman" w:cs="Times New Roman"/>
          <w:color w:val="000000"/>
          <w:sz w:val="24"/>
          <w:szCs w:val="24"/>
          <w:shd w:val="clear" w:color="auto" w:fill="FFFFFF"/>
        </w:rPr>
        <w:t xml:space="preserve">Maximillian </w:t>
      </w:r>
      <w:proofErr w:type="spellStart"/>
      <w:r w:rsidRPr="00A42FC7">
        <w:rPr>
          <w:rFonts w:ascii="Times New Roman" w:hAnsi="Times New Roman" w:cs="Times New Roman"/>
          <w:color w:val="000000"/>
          <w:sz w:val="24"/>
          <w:szCs w:val="24"/>
          <w:shd w:val="clear" w:color="auto" w:fill="FFFFFF"/>
        </w:rPr>
        <w:t>Schrems</w:t>
      </w:r>
      <w:proofErr w:type="spellEnd"/>
      <w:r w:rsidRPr="00A42FC7">
        <w:rPr>
          <w:rFonts w:ascii="Times New Roman" w:hAnsi="Times New Roman" w:cs="Times New Roman"/>
          <w:color w:val="000000"/>
          <w:sz w:val="24"/>
          <w:szCs w:val="24"/>
          <w:shd w:val="clear" w:color="auto" w:fill="FFFFFF"/>
        </w:rPr>
        <w:t xml:space="preserve"> v Data Protection Commissioner [2015] OJ C398/5</w:t>
      </w:r>
    </w:p>
    <w:p w14:paraId="7A8CEF65"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Case C-230/14 </w:t>
      </w:r>
      <w:proofErr w:type="spellStart"/>
      <w:r w:rsidRPr="00A42FC7">
        <w:rPr>
          <w:rFonts w:ascii="Times New Roman" w:hAnsi="Times New Roman" w:cs="Times New Roman"/>
          <w:sz w:val="24"/>
          <w:szCs w:val="24"/>
        </w:rPr>
        <w:t>Weltimmo</w:t>
      </w:r>
      <w:proofErr w:type="spellEnd"/>
      <w:r w:rsidRPr="00A42FC7">
        <w:rPr>
          <w:rFonts w:ascii="Times New Roman" w:hAnsi="Times New Roman" w:cs="Times New Roman"/>
          <w:sz w:val="24"/>
          <w:szCs w:val="24"/>
        </w:rPr>
        <w:t xml:space="preserve"> s. r. o. v </w:t>
      </w:r>
      <w:proofErr w:type="spellStart"/>
      <w:r w:rsidRPr="00A42FC7">
        <w:rPr>
          <w:rFonts w:ascii="Times New Roman" w:hAnsi="Times New Roman" w:cs="Times New Roman"/>
          <w:sz w:val="24"/>
          <w:szCs w:val="24"/>
        </w:rPr>
        <w:t>Nemzeti</w:t>
      </w:r>
      <w:proofErr w:type="spellEnd"/>
      <w:r w:rsidRPr="00A42FC7">
        <w:rPr>
          <w:rFonts w:ascii="Times New Roman" w:hAnsi="Times New Roman" w:cs="Times New Roman"/>
          <w:sz w:val="24"/>
          <w:szCs w:val="24"/>
        </w:rPr>
        <w:t xml:space="preserve"> </w:t>
      </w:r>
      <w:proofErr w:type="spellStart"/>
      <w:r w:rsidRPr="00A42FC7">
        <w:rPr>
          <w:rFonts w:ascii="Times New Roman" w:hAnsi="Times New Roman" w:cs="Times New Roman"/>
          <w:sz w:val="24"/>
          <w:szCs w:val="24"/>
        </w:rPr>
        <w:t>Adatvédelmi</w:t>
      </w:r>
      <w:proofErr w:type="spellEnd"/>
      <w:r w:rsidRPr="00A42FC7">
        <w:rPr>
          <w:rFonts w:ascii="Times New Roman" w:hAnsi="Times New Roman" w:cs="Times New Roman"/>
          <w:sz w:val="24"/>
          <w:szCs w:val="24"/>
        </w:rPr>
        <w:t xml:space="preserve"> </w:t>
      </w:r>
      <w:proofErr w:type="spellStart"/>
      <w:r w:rsidRPr="00A42FC7">
        <w:rPr>
          <w:rFonts w:ascii="Times New Roman" w:hAnsi="Times New Roman" w:cs="Times New Roman"/>
          <w:sz w:val="24"/>
          <w:szCs w:val="24"/>
        </w:rPr>
        <w:t>és</w:t>
      </w:r>
      <w:proofErr w:type="spellEnd"/>
      <w:r w:rsidRPr="00A42FC7">
        <w:rPr>
          <w:rFonts w:ascii="Times New Roman" w:hAnsi="Times New Roman" w:cs="Times New Roman"/>
          <w:sz w:val="24"/>
          <w:szCs w:val="24"/>
        </w:rPr>
        <w:t xml:space="preserve"> </w:t>
      </w:r>
      <w:proofErr w:type="spellStart"/>
      <w:r w:rsidRPr="00A42FC7">
        <w:rPr>
          <w:rFonts w:ascii="Times New Roman" w:hAnsi="Times New Roman" w:cs="Times New Roman"/>
          <w:sz w:val="24"/>
          <w:szCs w:val="24"/>
        </w:rPr>
        <w:t>Információszabadság</w:t>
      </w:r>
      <w:proofErr w:type="spellEnd"/>
      <w:r w:rsidRPr="00A42FC7">
        <w:rPr>
          <w:rFonts w:ascii="Times New Roman" w:hAnsi="Times New Roman" w:cs="Times New Roman"/>
          <w:sz w:val="24"/>
          <w:szCs w:val="24"/>
        </w:rPr>
        <w:t xml:space="preserve"> </w:t>
      </w:r>
      <w:proofErr w:type="spellStart"/>
      <w:r w:rsidRPr="00A42FC7">
        <w:rPr>
          <w:rFonts w:ascii="Times New Roman" w:hAnsi="Times New Roman" w:cs="Times New Roman"/>
          <w:sz w:val="24"/>
          <w:szCs w:val="24"/>
        </w:rPr>
        <w:t>Hatóság</w:t>
      </w:r>
      <w:proofErr w:type="spellEnd"/>
      <w:r w:rsidRPr="00A42FC7">
        <w:rPr>
          <w:rFonts w:ascii="Times New Roman" w:hAnsi="Times New Roman" w:cs="Times New Roman"/>
          <w:sz w:val="24"/>
          <w:szCs w:val="24"/>
        </w:rPr>
        <w:t xml:space="preserve"> [2015] OJ C245/1</w:t>
      </w:r>
    </w:p>
    <w:p w14:paraId="0BC8FCDE"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M.L. and W.W. v Germany Apps </w:t>
      </w:r>
      <w:proofErr w:type="spellStart"/>
      <w:r w:rsidRPr="00A42FC7">
        <w:rPr>
          <w:rFonts w:ascii="Times New Roman" w:hAnsi="Times New Roman" w:cs="Times New Roman"/>
          <w:sz w:val="24"/>
          <w:szCs w:val="24"/>
        </w:rPr>
        <w:t>nos</w:t>
      </w:r>
      <w:proofErr w:type="spellEnd"/>
      <w:r w:rsidRPr="00A42FC7">
        <w:rPr>
          <w:rFonts w:ascii="Times New Roman" w:hAnsi="Times New Roman" w:cs="Times New Roman"/>
          <w:sz w:val="24"/>
          <w:szCs w:val="24"/>
        </w:rPr>
        <w:t xml:space="preserve"> 60798/10 and 65599/10 (ECHR, 28 June 2018)</w:t>
      </w:r>
    </w:p>
    <w:p w14:paraId="389977D6"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Voluntary Submission in support of Motion no. 399.922 [2017] French Council of State. </w:t>
      </w:r>
    </w:p>
    <w:p w14:paraId="72972681" w14:textId="77777777" w:rsidR="00643AF4" w:rsidRPr="00A42FC7" w:rsidRDefault="00643AF4" w:rsidP="00643AF4">
      <w:pPr>
        <w:spacing w:line="240" w:lineRule="auto"/>
        <w:jc w:val="both"/>
        <w:rPr>
          <w:rFonts w:ascii="Times New Roman" w:hAnsi="Times New Roman" w:cs="Times New Roman"/>
          <w:color w:val="000000"/>
          <w:sz w:val="24"/>
          <w:szCs w:val="24"/>
          <w:shd w:val="clear" w:color="auto" w:fill="FFFFFF"/>
        </w:rPr>
      </w:pPr>
    </w:p>
    <w:p w14:paraId="2BAD13EF" w14:textId="77777777" w:rsidR="00643AF4" w:rsidRPr="00A42FC7" w:rsidRDefault="00643AF4" w:rsidP="00643AF4">
      <w:pPr>
        <w:spacing w:line="240" w:lineRule="auto"/>
        <w:jc w:val="both"/>
        <w:rPr>
          <w:rFonts w:ascii="Times New Roman" w:hAnsi="Times New Roman" w:cs="Times New Roman"/>
          <w:b/>
          <w:bCs/>
          <w:sz w:val="24"/>
          <w:szCs w:val="24"/>
        </w:rPr>
      </w:pPr>
    </w:p>
    <w:p w14:paraId="29E26F0C" w14:textId="77777777" w:rsidR="00643AF4" w:rsidRPr="00A42FC7" w:rsidRDefault="00643AF4" w:rsidP="00643AF4">
      <w:pPr>
        <w:spacing w:line="240" w:lineRule="auto"/>
        <w:jc w:val="both"/>
        <w:rPr>
          <w:rFonts w:ascii="Times New Roman" w:hAnsi="Times New Roman" w:cs="Times New Roman"/>
          <w:i/>
          <w:iCs/>
          <w:sz w:val="24"/>
          <w:szCs w:val="24"/>
        </w:rPr>
      </w:pPr>
      <w:r w:rsidRPr="00A42FC7">
        <w:rPr>
          <w:rFonts w:ascii="Times New Roman" w:hAnsi="Times New Roman" w:cs="Times New Roman"/>
          <w:b/>
          <w:bCs/>
          <w:sz w:val="24"/>
          <w:szCs w:val="24"/>
        </w:rPr>
        <w:t>Books</w:t>
      </w:r>
    </w:p>
    <w:p w14:paraId="6ECAF42D" w14:textId="77777777" w:rsidR="00643AF4" w:rsidRPr="00A42FC7" w:rsidRDefault="00643AF4" w:rsidP="00643AF4">
      <w:pPr>
        <w:spacing w:line="240" w:lineRule="auto"/>
        <w:jc w:val="both"/>
        <w:rPr>
          <w:rFonts w:ascii="Times New Roman" w:hAnsi="Times New Roman" w:cs="Times New Roman"/>
          <w:sz w:val="24"/>
          <w:szCs w:val="24"/>
        </w:rPr>
      </w:pPr>
      <w:proofErr w:type="spellStart"/>
      <w:r w:rsidRPr="00A42FC7">
        <w:rPr>
          <w:rFonts w:ascii="Times New Roman" w:hAnsi="Times New Roman" w:cs="Times New Roman"/>
          <w:sz w:val="24"/>
          <w:szCs w:val="24"/>
        </w:rPr>
        <w:t>Alén-Savikko</w:t>
      </w:r>
      <w:proofErr w:type="spellEnd"/>
      <w:r w:rsidRPr="00A42FC7">
        <w:rPr>
          <w:rFonts w:ascii="Times New Roman" w:hAnsi="Times New Roman" w:cs="Times New Roman"/>
          <w:sz w:val="24"/>
          <w:szCs w:val="24"/>
        </w:rPr>
        <w:t xml:space="preserve"> A, ‘Finland: The Right to Be Forgotten’ in Franz </w:t>
      </w:r>
      <w:proofErr w:type="spellStart"/>
      <w:r w:rsidRPr="00A42FC7">
        <w:rPr>
          <w:rFonts w:ascii="Times New Roman" w:hAnsi="Times New Roman" w:cs="Times New Roman"/>
          <w:sz w:val="24"/>
          <w:szCs w:val="24"/>
        </w:rPr>
        <w:t>Werro</w:t>
      </w:r>
      <w:proofErr w:type="spellEnd"/>
      <w:r w:rsidRPr="00A42FC7">
        <w:rPr>
          <w:rFonts w:ascii="Times New Roman" w:hAnsi="Times New Roman" w:cs="Times New Roman"/>
          <w:sz w:val="24"/>
          <w:szCs w:val="24"/>
        </w:rPr>
        <w:t xml:space="preserve"> (ed), </w:t>
      </w:r>
      <w:r w:rsidRPr="00A42FC7">
        <w:rPr>
          <w:rFonts w:ascii="Times New Roman" w:hAnsi="Times New Roman" w:cs="Times New Roman"/>
          <w:i/>
          <w:iCs/>
          <w:sz w:val="24"/>
          <w:szCs w:val="24"/>
        </w:rPr>
        <w:t xml:space="preserve">The Right </w:t>
      </w:r>
      <w:proofErr w:type="gramStart"/>
      <w:r w:rsidRPr="00A42FC7">
        <w:rPr>
          <w:rFonts w:ascii="Times New Roman" w:hAnsi="Times New Roman" w:cs="Times New Roman"/>
          <w:i/>
          <w:iCs/>
          <w:sz w:val="24"/>
          <w:szCs w:val="24"/>
        </w:rPr>
        <w:t>To</w:t>
      </w:r>
      <w:proofErr w:type="gramEnd"/>
      <w:r w:rsidRPr="00A42FC7">
        <w:rPr>
          <w:rFonts w:ascii="Times New Roman" w:hAnsi="Times New Roman" w:cs="Times New Roman"/>
          <w:i/>
          <w:iCs/>
          <w:sz w:val="24"/>
          <w:szCs w:val="24"/>
        </w:rPr>
        <w:t xml:space="preserve"> Be Forgotten: A Comparative Study of the Emergent Right’s Evolution and Application in Europe, the Americas, and Asia</w:t>
      </w:r>
      <w:r w:rsidRPr="00A42FC7">
        <w:rPr>
          <w:rFonts w:ascii="Times New Roman" w:hAnsi="Times New Roman" w:cs="Times New Roman"/>
          <w:sz w:val="24"/>
          <w:szCs w:val="24"/>
        </w:rPr>
        <w:t xml:space="preserve"> (Springer Cham 2020)</w:t>
      </w:r>
    </w:p>
    <w:p w14:paraId="7B0653DC"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Bauman Z and Lyon D, </w:t>
      </w:r>
      <w:r w:rsidRPr="00A42FC7">
        <w:rPr>
          <w:rFonts w:ascii="Times New Roman" w:hAnsi="Times New Roman" w:cs="Times New Roman"/>
          <w:i/>
          <w:iCs/>
          <w:sz w:val="24"/>
          <w:szCs w:val="24"/>
        </w:rPr>
        <w:t>Liquid Surveillance: A Conversation</w:t>
      </w:r>
      <w:r w:rsidRPr="00A42FC7">
        <w:rPr>
          <w:rFonts w:ascii="Times New Roman" w:hAnsi="Times New Roman" w:cs="Times New Roman"/>
          <w:sz w:val="24"/>
          <w:szCs w:val="24"/>
        </w:rPr>
        <w:t xml:space="preserve"> (Polity Press 2013)</w:t>
      </w:r>
    </w:p>
    <w:p w14:paraId="3CCC2651"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Lindsay D, </w:t>
      </w:r>
      <w:proofErr w:type="gramStart"/>
      <w:r w:rsidRPr="00A42FC7">
        <w:rPr>
          <w:rFonts w:ascii="Times New Roman" w:hAnsi="Times New Roman" w:cs="Times New Roman"/>
          <w:i/>
          <w:iCs/>
          <w:sz w:val="24"/>
          <w:szCs w:val="24"/>
        </w:rPr>
        <w:t>The</w:t>
      </w:r>
      <w:proofErr w:type="gramEnd"/>
      <w:r w:rsidRPr="00A42FC7">
        <w:rPr>
          <w:rFonts w:ascii="Times New Roman" w:hAnsi="Times New Roman" w:cs="Times New Roman"/>
          <w:i/>
          <w:iCs/>
          <w:sz w:val="24"/>
          <w:szCs w:val="24"/>
        </w:rPr>
        <w:t xml:space="preserve"> ‘right to be forgotten’ in European data protection law. Emerging Challenges in Privacy Law: Comparative Perspectives</w:t>
      </w:r>
      <w:r w:rsidRPr="00A42FC7">
        <w:rPr>
          <w:rFonts w:ascii="Times New Roman" w:hAnsi="Times New Roman" w:cs="Times New Roman"/>
          <w:sz w:val="24"/>
          <w:szCs w:val="24"/>
        </w:rPr>
        <w:t xml:space="preserve"> (Cambridge University Press 2014)</w:t>
      </w:r>
    </w:p>
    <w:p w14:paraId="7EE6D3F4"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Lynskey O, </w:t>
      </w:r>
      <w:r w:rsidRPr="00A42FC7">
        <w:rPr>
          <w:rFonts w:ascii="Times New Roman" w:hAnsi="Times New Roman" w:cs="Times New Roman"/>
          <w:i/>
          <w:iCs/>
          <w:sz w:val="24"/>
          <w:szCs w:val="24"/>
        </w:rPr>
        <w:t>The Foundations of EU Data Protection Law</w:t>
      </w:r>
      <w:r w:rsidRPr="00A42FC7">
        <w:rPr>
          <w:rFonts w:ascii="Times New Roman" w:hAnsi="Times New Roman" w:cs="Times New Roman"/>
          <w:sz w:val="24"/>
          <w:szCs w:val="24"/>
        </w:rPr>
        <w:t xml:space="preserve"> (Oxford University Press 2015)</w:t>
      </w:r>
    </w:p>
    <w:p w14:paraId="785E325F" w14:textId="77777777" w:rsidR="00643AF4" w:rsidRDefault="00643AF4" w:rsidP="00643AF4">
      <w:pPr>
        <w:spacing w:line="240" w:lineRule="auto"/>
        <w:jc w:val="both"/>
        <w:rPr>
          <w:rFonts w:ascii="Times New Roman" w:hAnsi="Times New Roman" w:cs="Times New Roman"/>
          <w:b/>
          <w:bCs/>
          <w:sz w:val="24"/>
          <w:szCs w:val="24"/>
        </w:rPr>
      </w:pPr>
      <w:r w:rsidRPr="00A42FC7">
        <w:rPr>
          <w:rFonts w:ascii="Times New Roman" w:hAnsi="Times New Roman" w:cs="Times New Roman"/>
          <w:sz w:val="24"/>
          <w:szCs w:val="24"/>
        </w:rPr>
        <w:t>Mayer-</w:t>
      </w:r>
      <w:proofErr w:type="spellStart"/>
      <w:r w:rsidRPr="00A42FC7">
        <w:rPr>
          <w:rFonts w:ascii="Times New Roman" w:hAnsi="Times New Roman" w:cs="Times New Roman"/>
          <w:sz w:val="24"/>
          <w:szCs w:val="24"/>
        </w:rPr>
        <w:t>Schönberger</w:t>
      </w:r>
      <w:proofErr w:type="spellEnd"/>
      <w:r w:rsidRPr="00A42FC7">
        <w:rPr>
          <w:rFonts w:ascii="Times New Roman" w:hAnsi="Times New Roman" w:cs="Times New Roman"/>
          <w:sz w:val="24"/>
          <w:szCs w:val="24"/>
        </w:rPr>
        <w:t xml:space="preserve"> V, </w:t>
      </w:r>
      <w:proofErr w:type="gramStart"/>
      <w:r w:rsidRPr="00A42FC7">
        <w:rPr>
          <w:rFonts w:ascii="Times New Roman" w:hAnsi="Times New Roman" w:cs="Times New Roman"/>
          <w:i/>
          <w:iCs/>
          <w:sz w:val="24"/>
          <w:szCs w:val="24"/>
        </w:rPr>
        <w:t>Delete</w:t>
      </w:r>
      <w:proofErr w:type="gramEnd"/>
      <w:r w:rsidRPr="00A42FC7">
        <w:rPr>
          <w:rFonts w:ascii="Times New Roman" w:hAnsi="Times New Roman" w:cs="Times New Roman"/>
          <w:i/>
          <w:iCs/>
          <w:sz w:val="24"/>
          <w:szCs w:val="24"/>
        </w:rPr>
        <w:t>: the Virtue of Forgetting in the Digital Age</w:t>
      </w:r>
      <w:r w:rsidRPr="00A42FC7">
        <w:rPr>
          <w:rFonts w:ascii="Times New Roman" w:hAnsi="Times New Roman" w:cs="Times New Roman"/>
          <w:sz w:val="24"/>
          <w:szCs w:val="24"/>
        </w:rPr>
        <w:t xml:space="preserve"> (Princeton University Press 2009)</w:t>
      </w:r>
    </w:p>
    <w:p w14:paraId="50BF54BB" w14:textId="77777777" w:rsidR="00643AF4" w:rsidRDefault="00643AF4" w:rsidP="00643AF4">
      <w:pPr>
        <w:spacing w:line="240" w:lineRule="auto"/>
        <w:jc w:val="both"/>
        <w:rPr>
          <w:rFonts w:ascii="Times New Roman" w:hAnsi="Times New Roman" w:cs="Times New Roman"/>
          <w:b/>
          <w:bCs/>
          <w:sz w:val="24"/>
          <w:szCs w:val="24"/>
        </w:rPr>
      </w:pPr>
    </w:p>
    <w:p w14:paraId="57226B44" w14:textId="77777777" w:rsidR="00643AF4" w:rsidRDefault="00643AF4" w:rsidP="00643AF4">
      <w:pPr>
        <w:spacing w:line="240" w:lineRule="auto"/>
        <w:jc w:val="both"/>
        <w:rPr>
          <w:rFonts w:ascii="Times New Roman" w:hAnsi="Times New Roman" w:cs="Times New Roman"/>
          <w:b/>
          <w:bCs/>
          <w:sz w:val="24"/>
          <w:szCs w:val="24"/>
        </w:rPr>
      </w:pPr>
    </w:p>
    <w:p w14:paraId="5E79E7AB" w14:textId="77777777" w:rsidR="00643AF4" w:rsidRPr="00A42FC7" w:rsidRDefault="00643AF4" w:rsidP="00643AF4">
      <w:pPr>
        <w:spacing w:line="240" w:lineRule="auto"/>
        <w:jc w:val="both"/>
        <w:rPr>
          <w:rFonts w:ascii="Times New Roman" w:hAnsi="Times New Roman" w:cs="Times New Roman"/>
          <w:b/>
          <w:bCs/>
          <w:sz w:val="24"/>
          <w:szCs w:val="24"/>
        </w:rPr>
      </w:pPr>
      <w:r w:rsidRPr="00A42FC7">
        <w:rPr>
          <w:rFonts w:ascii="Times New Roman" w:hAnsi="Times New Roman" w:cs="Times New Roman"/>
          <w:b/>
          <w:bCs/>
          <w:sz w:val="24"/>
          <w:szCs w:val="24"/>
        </w:rPr>
        <w:t>Articles and Journals</w:t>
      </w:r>
    </w:p>
    <w:p w14:paraId="05B96E68" w14:textId="77777777" w:rsidR="00643AF4" w:rsidRDefault="00643AF4" w:rsidP="00643AF4">
      <w:pPr>
        <w:pStyle w:val="Textodenotaderodap"/>
        <w:jc w:val="both"/>
        <w:rPr>
          <w:rFonts w:ascii="Times New Roman" w:hAnsi="Times New Roman" w:cs="Times New Roman"/>
          <w:sz w:val="24"/>
          <w:szCs w:val="24"/>
        </w:rPr>
      </w:pPr>
    </w:p>
    <w:p w14:paraId="35CD32BF" w14:textId="77777777" w:rsidR="00643AF4" w:rsidRDefault="00643AF4" w:rsidP="00643AF4">
      <w:pPr>
        <w:pStyle w:val="Textodenotaderodap"/>
        <w:jc w:val="both"/>
        <w:rPr>
          <w:rFonts w:ascii="Times New Roman" w:hAnsi="Times New Roman" w:cs="Times New Roman"/>
          <w:sz w:val="24"/>
          <w:szCs w:val="24"/>
        </w:rPr>
      </w:pPr>
      <w:r w:rsidRPr="00A42FC7">
        <w:rPr>
          <w:rFonts w:ascii="Times New Roman" w:hAnsi="Times New Roman" w:cs="Times New Roman"/>
          <w:sz w:val="24"/>
          <w:szCs w:val="24"/>
        </w:rPr>
        <w:t xml:space="preserve">Ambrose ML and </w:t>
      </w:r>
      <w:proofErr w:type="spellStart"/>
      <w:r w:rsidRPr="00A42FC7">
        <w:rPr>
          <w:rFonts w:ascii="Times New Roman" w:hAnsi="Times New Roman" w:cs="Times New Roman"/>
          <w:sz w:val="24"/>
          <w:szCs w:val="24"/>
        </w:rPr>
        <w:t>Ausloos</w:t>
      </w:r>
      <w:proofErr w:type="spellEnd"/>
      <w:r w:rsidRPr="00A42FC7">
        <w:rPr>
          <w:rFonts w:ascii="Times New Roman" w:hAnsi="Times New Roman" w:cs="Times New Roman"/>
          <w:sz w:val="24"/>
          <w:szCs w:val="24"/>
        </w:rPr>
        <w:t xml:space="preserve"> J, ‘The Right to Be Forgotten Across the Pond’ [2013] 3(1) Journal of Information Policy, 3. &lt;https://www.jstor.org/stable/10.5325/jinfopoli.3.2013.0001&gt;</w:t>
      </w:r>
    </w:p>
    <w:p w14:paraId="1C208E40" w14:textId="77777777" w:rsidR="00643AF4" w:rsidRDefault="00643AF4" w:rsidP="00643AF4">
      <w:pPr>
        <w:pStyle w:val="Textodenotaderodap"/>
        <w:jc w:val="both"/>
        <w:rPr>
          <w:rFonts w:ascii="Times New Roman" w:hAnsi="Times New Roman" w:cs="Times New Roman"/>
          <w:sz w:val="24"/>
          <w:szCs w:val="24"/>
        </w:rPr>
      </w:pPr>
    </w:p>
    <w:p w14:paraId="27FDDDF5" w14:textId="77777777" w:rsidR="00643AF4" w:rsidRPr="00A42FC7" w:rsidRDefault="00643AF4" w:rsidP="00643AF4">
      <w:pPr>
        <w:pStyle w:val="Textodenotaderodap"/>
        <w:jc w:val="both"/>
        <w:rPr>
          <w:rFonts w:ascii="Times New Roman" w:hAnsi="Times New Roman" w:cs="Times New Roman"/>
          <w:sz w:val="24"/>
          <w:szCs w:val="24"/>
        </w:rPr>
      </w:pPr>
      <w:r w:rsidRPr="00A42FC7">
        <w:rPr>
          <w:rFonts w:ascii="Times New Roman" w:hAnsi="Times New Roman" w:cs="Times New Roman"/>
          <w:sz w:val="24"/>
          <w:szCs w:val="24"/>
        </w:rPr>
        <w:t>European Union</w:t>
      </w:r>
      <w:r>
        <w:rPr>
          <w:rFonts w:ascii="Times New Roman" w:hAnsi="Times New Roman" w:cs="Times New Roman"/>
          <w:sz w:val="24"/>
          <w:szCs w:val="24"/>
        </w:rPr>
        <w:t xml:space="preserve"> </w:t>
      </w:r>
      <w:r w:rsidRPr="00A42FC7">
        <w:rPr>
          <w:rFonts w:ascii="Times New Roman" w:hAnsi="Times New Roman" w:cs="Times New Roman"/>
          <w:sz w:val="24"/>
          <w:szCs w:val="24"/>
        </w:rPr>
        <w:t xml:space="preserve">Explanations Relating to the Charter of Fundamental Rights [2007] OJ C303/17. &lt;https://eur-lex.europa.eu/LexUriServ/LexUriServ.do?uri=OJ:C:2007:303:0017:0035:en:PDF&gt; </w:t>
      </w:r>
    </w:p>
    <w:p w14:paraId="5138B607" w14:textId="77777777" w:rsidR="00643AF4" w:rsidRDefault="00643AF4" w:rsidP="00643AF4">
      <w:pPr>
        <w:spacing w:line="240" w:lineRule="auto"/>
        <w:jc w:val="both"/>
        <w:rPr>
          <w:rFonts w:ascii="Times New Roman" w:hAnsi="Times New Roman" w:cs="Times New Roman"/>
          <w:sz w:val="24"/>
          <w:szCs w:val="24"/>
        </w:rPr>
      </w:pPr>
    </w:p>
    <w:p w14:paraId="07AC02F6" w14:textId="77777777" w:rsidR="00643AF4" w:rsidRDefault="00643AF4" w:rsidP="00643AF4">
      <w:pPr>
        <w:spacing w:line="240" w:lineRule="auto"/>
        <w:jc w:val="both"/>
        <w:rPr>
          <w:rFonts w:ascii="Times New Roman" w:hAnsi="Times New Roman" w:cs="Times New Roman"/>
          <w:sz w:val="24"/>
          <w:szCs w:val="24"/>
        </w:rPr>
      </w:pPr>
      <w:proofErr w:type="spellStart"/>
      <w:r w:rsidRPr="00A42FC7">
        <w:rPr>
          <w:rFonts w:ascii="Times New Roman" w:hAnsi="Times New Roman" w:cs="Times New Roman"/>
          <w:sz w:val="24"/>
          <w:szCs w:val="24"/>
        </w:rPr>
        <w:t>Globocnik</w:t>
      </w:r>
      <w:proofErr w:type="spellEnd"/>
      <w:r w:rsidRPr="00A42FC7">
        <w:rPr>
          <w:rFonts w:ascii="Times New Roman" w:hAnsi="Times New Roman" w:cs="Times New Roman"/>
          <w:sz w:val="24"/>
          <w:szCs w:val="24"/>
        </w:rPr>
        <w:t xml:space="preserve"> J, ‘The Right to Be Forgotten is Taking Shape: CJEU Judgments in GC and Others (C-136/17) and Google v CNIL (C-507/17)’ [2020] 69(4) GRUR International &lt;https://doi.org/10.1093/grurint/ikaa002&gt;</w:t>
      </w:r>
    </w:p>
    <w:p w14:paraId="6CFA57BA"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Hoffman</w:t>
      </w:r>
      <w:r>
        <w:rPr>
          <w:rFonts w:ascii="Times New Roman" w:hAnsi="Times New Roman" w:cs="Times New Roman"/>
          <w:sz w:val="24"/>
          <w:szCs w:val="24"/>
        </w:rPr>
        <w:t xml:space="preserve"> D,</w:t>
      </w:r>
      <w:r w:rsidRPr="00A42FC7">
        <w:rPr>
          <w:rFonts w:ascii="Times New Roman" w:hAnsi="Times New Roman" w:cs="Times New Roman"/>
          <w:sz w:val="24"/>
          <w:szCs w:val="24"/>
        </w:rPr>
        <w:t xml:space="preserve"> </w:t>
      </w:r>
      <w:proofErr w:type="spellStart"/>
      <w:r w:rsidRPr="00A42FC7">
        <w:rPr>
          <w:rFonts w:ascii="Times New Roman" w:hAnsi="Times New Roman" w:cs="Times New Roman"/>
          <w:sz w:val="24"/>
          <w:szCs w:val="24"/>
        </w:rPr>
        <w:t>Bruening</w:t>
      </w:r>
      <w:proofErr w:type="spellEnd"/>
      <w:r w:rsidRPr="00A42FC7">
        <w:rPr>
          <w:rFonts w:ascii="Times New Roman" w:hAnsi="Times New Roman" w:cs="Times New Roman"/>
          <w:sz w:val="24"/>
          <w:szCs w:val="24"/>
        </w:rPr>
        <w:t xml:space="preserve"> </w:t>
      </w:r>
      <w:r>
        <w:rPr>
          <w:rFonts w:ascii="Times New Roman" w:hAnsi="Times New Roman" w:cs="Times New Roman"/>
          <w:sz w:val="24"/>
          <w:szCs w:val="24"/>
        </w:rPr>
        <w:t xml:space="preserve">P </w:t>
      </w:r>
      <w:r w:rsidRPr="00A42FC7">
        <w:rPr>
          <w:rFonts w:ascii="Times New Roman" w:hAnsi="Times New Roman" w:cs="Times New Roman"/>
          <w:sz w:val="24"/>
          <w:szCs w:val="24"/>
        </w:rPr>
        <w:t>and Carter</w:t>
      </w:r>
      <w:r>
        <w:rPr>
          <w:rFonts w:ascii="Times New Roman" w:hAnsi="Times New Roman" w:cs="Times New Roman"/>
          <w:sz w:val="24"/>
          <w:szCs w:val="24"/>
        </w:rPr>
        <w:t xml:space="preserve"> S</w:t>
      </w:r>
      <w:r w:rsidRPr="00A42FC7">
        <w:rPr>
          <w:rFonts w:ascii="Times New Roman" w:hAnsi="Times New Roman" w:cs="Times New Roman"/>
          <w:sz w:val="24"/>
          <w:szCs w:val="24"/>
        </w:rPr>
        <w:t>, ‘The Right to Obscurity: How We Can Implement the Google Spain Decision’ [2016] 17(3) North Carolina Journal of Law &amp; Technology &lt;https://scholarship.law.unc.edu/cgi/viewcontent.cgi?article=1302&amp;context=ncjolt&gt;</w:t>
      </w:r>
    </w:p>
    <w:p w14:paraId="5B047BE5" w14:textId="77777777" w:rsidR="00643AF4" w:rsidRDefault="00643AF4" w:rsidP="00643AF4">
      <w:pPr>
        <w:spacing w:line="240" w:lineRule="auto"/>
        <w:jc w:val="both"/>
        <w:rPr>
          <w:rFonts w:ascii="Times New Roman" w:hAnsi="Times New Roman" w:cs="Times New Roman"/>
          <w:sz w:val="24"/>
          <w:szCs w:val="24"/>
        </w:rPr>
      </w:pPr>
      <w:proofErr w:type="spellStart"/>
      <w:r w:rsidRPr="00A42FC7">
        <w:rPr>
          <w:rFonts w:ascii="Times New Roman" w:hAnsi="Times New Roman" w:cs="Times New Roman"/>
          <w:sz w:val="24"/>
          <w:szCs w:val="24"/>
        </w:rPr>
        <w:t>Koops</w:t>
      </w:r>
      <w:proofErr w:type="spellEnd"/>
      <w:r w:rsidRPr="00A42FC7">
        <w:rPr>
          <w:rFonts w:ascii="Times New Roman" w:hAnsi="Times New Roman" w:cs="Times New Roman"/>
          <w:sz w:val="24"/>
          <w:szCs w:val="24"/>
        </w:rPr>
        <w:t xml:space="preserve"> BJ, ‘Forgetting Footprints, Shunning Shadows. A Critical Analysis </w:t>
      </w:r>
      <w:proofErr w:type="gramStart"/>
      <w:r w:rsidRPr="00A42FC7">
        <w:rPr>
          <w:rFonts w:ascii="Times New Roman" w:hAnsi="Times New Roman" w:cs="Times New Roman"/>
          <w:sz w:val="24"/>
          <w:szCs w:val="24"/>
        </w:rPr>
        <w:t>Of</w:t>
      </w:r>
      <w:proofErr w:type="gramEnd"/>
      <w:r w:rsidRPr="00A42FC7">
        <w:rPr>
          <w:rFonts w:ascii="Times New Roman" w:hAnsi="Times New Roman" w:cs="Times New Roman"/>
          <w:sz w:val="24"/>
          <w:szCs w:val="24"/>
        </w:rPr>
        <w:t xml:space="preserve"> The “Right To Be Forgotten” In Big Data Practice’ [2011] 8(3) </w:t>
      </w:r>
      <w:proofErr w:type="spellStart"/>
      <w:r w:rsidRPr="00A42FC7">
        <w:rPr>
          <w:rFonts w:ascii="Times New Roman" w:hAnsi="Times New Roman" w:cs="Times New Roman"/>
          <w:sz w:val="24"/>
          <w:szCs w:val="24"/>
        </w:rPr>
        <w:t>SCRIPTed</w:t>
      </w:r>
      <w:proofErr w:type="spellEnd"/>
      <w:r w:rsidRPr="00A42FC7">
        <w:rPr>
          <w:rFonts w:ascii="Times New Roman" w:hAnsi="Times New Roman" w:cs="Times New Roman"/>
          <w:sz w:val="24"/>
          <w:szCs w:val="24"/>
        </w:rPr>
        <w:t xml:space="preserve"> &lt;https://script-ed.org/article/forgetting-footprints-shunning-shadows/&gt;</w:t>
      </w:r>
    </w:p>
    <w:p w14:paraId="5611EDCF"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Lee E, ‘Recognizing Rights in Real Time: The Role of Google in the EU Right to Be Forgotten’ [2015] UC Davis Law Review, Forthcoming, Chicago-Kent College of Law Research Paper No. 2015-13 &lt;https://ssrn.com/abstract=2636856&gt;</w:t>
      </w:r>
    </w:p>
    <w:p w14:paraId="08DD1471"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McIntyre T.J. and O'Donnell I, ‘Criminals, Data Protection, and the Right to a Second Chance’ [2017] 58(1) Irish Jurist, 27–55 &lt;https://heinonline.org/HOL/Page?public=true&amp;handle=hein.journals/irishjur58&amp;div=5&amp;start_page=27&amp;collection=journals&amp;set_as_cursor=0&amp;men_tab=srchresults&gt;</w:t>
      </w:r>
    </w:p>
    <w:p w14:paraId="2465D84B" w14:textId="77777777" w:rsidR="00643AF4" w:rsidRPr="00A42FC7" w:rsidRDefault="00643AF4" w:rsidP="00643AF4">
      <w:pPr>
        <w:pStyle w:val="Textodenotaderodap"/>
        <w:jc w:val="both"/>
        <w:rPr>
          <w:rFonts w:ascii="Times New Roman" w:hAnsi="Times New Roman" w:cs="Times New Roman"/>
          <w:sz w:val="24"/>
          <w:szCs w:val="24"/>
        </w:rPr>
      </w:pPr>
      <w:r w:rsidRPr="00A42FC7">
        <w:rPr>
          <w:rFonts w:ascii="Times New Roman" w:hAnsi="Times New Roman" w:cs="Times New Roman"/>
          <w:sz w:val="24"/>
          <w:szCs w:val="24"/>
        </w:rPr>
        <w:t>Padova Y, ‘Is the right to be forgotten a universal, regional, or ‘</w:t>
      </w:r>
      <w:proofErr w:type="spellStart"/>
      <w:r w:rsidRPr="00A42FC7">
        <w:rPr>
          <w:rFonts w:ascii="Times New Roman" w:hAnsi="Times New Roman" w:cs="Times New Roman"/>
          <w:sz w:val="24"/>
          <w:szCs w:val="24"/>
        </w:rPr>
        <w:t>glocal</w:t>
      </w:r>
      <w:proofErr w:type="spellEnd"/>
      <w:r w:rsidRPr="00A42FC7">
        <w:rPr>
          <w:rFonts w:ascii="Times New Roman" w:hAnsi="Times New Roman" w:cs="Times New Roman"/>
          <w:sz w:val="24"/>
          <w:szCs w:val="24"/>
        </w:rPr>
        <w:t>’ right?’ [2019] 9(1) International Data Privacy Law, 9 &lt;https://doi.org/10.1093/idpl/ipy025&gt;</w:t>
      </w:r>
    </w:p>
    <w:p w14:paraId="72277349" w14:textId="77777777" w:rsidR="00643AF4" w:rsidRPr="00A42FC7" w:rsidRDefault="00643AF4" w:rsidP="00643AF4">
      <w:pPr>
        <w:pStyle w:val="Textodenotaderodap"/>
        <w:jc w:val="both"/>
        <w:rPr>
          <w:rFonts w:ascii="Times New Roman" w:hAnsi="Times New Roman" w:cs="Times New Roman"/>
          <w:sz w:val="24"/>
          <w:szCs w:val="24"/>
        </w:rPr>
      </w:pPr>
    </w:p>
    <w:p w14:paraId="6E7EA0A4" w14:textId="77777777" w:rsidR="00643AF4"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Powles J, 'The Case That Won't Be Forgotten' [2015] 47(2) Loyola University Chicago Law Journal &lt;https://lawecommons.luc.edu/luclj/vol47/iss2/8/&gt;</w:t>
      </w:r>
    </w:p>
    <w:p w14:paraId="0AE5ADCA" w14:textId="77777777" w:rsidR="00643AF4" w:rsidRDefault="00643AF4" w:rsidP="00643AF4">
      <w:pPr>
        <w:pStyle w:val="Textodenotaderodap"/>
        <w:jc w:val="both"/>
        <w:rPr>
          <w:rFonts w:ascii="Times New Roman" w:hAnsi="Times New Roman" w:cs="Times New Roman"/>
          <w:sz w:val="24"/>
          <w:szCs w:val="24"/>
        </w:rPr>
      </w:pPr>
      <w:proofErr w:type="spellStart"/>
      <w:r w:rsidRPr="00A42FC7">
        <w:rPr>
          <w:rFonts w:ascii="Times New Roman" w:hAnsi="Times New Roman" w:cs="Times New Roman"/>
          <w:sz w:val="24"/>
          <w:szCs w:val="24"/>
        </w:rPr>
        <w:t>Rengel</w:t>
      </w:r>
      <w:proofErr w:type="spellEnd"/>
      <w:r w:rsidRPr="00A42FC7">
        <w:rPr>
          <w:rFonts w:ascii="Times New Roman" w:hAnsi="Times New Roman" w:cs="Times New Roman"/>
          <w:sz w:val="24"/>
          <w:szCs w:val="24"/>
        </w:rPr>
        <w:t xml:space="preserve"> A, ‘Privacy as an International Human Right and the Right to Obscurity in Cyberspace’ [2014] 2(2) Groningen Journal of International Law &lt;https://papers.ssrn.com/sol3/papers.cfm?abstract_id=2599271&gt;</w:t>
      </w:r>
    </w:p>
    <w:p w14:paraId="2848DBC0" w14:textId="77777777" w:rsidR="00643AF4" w:rsidRDefault="00643AF4" w:rsidP="00643AF4">
      <w:pPr>
        <w:pStyle w:val="Textodenotaderodap"/>
        <w:jc w:val="both"/>
        <w:rPr>
          <w:rFonts w:ascii="Times New Roman" w:hAnsi="Times New Roman" w:cs="Times New Roman"/>
          <w:sz w:val="24"/>
          <w:szCs w:val="24"/>
        </w:rPr>
      </w:pPr>
    </w:p>
    <w:p w14:paraId="0E232587" w14:textId="77777777" w:rsidR="00643AF4" w:rsidRPr="00A42FC7" w:rsidRDefault="00643AF4" w:rsidP="00643AF4">
      <w:pPr>
        <w:spacing w:line="240" w:lineRule="auto"/>
        <w:jc w:val="both"/>
        <w:rPr>
          <w:rFonts w:ascii="Times New Roman" w:hAnsi="Times New Roman" w:cs="Times New Roman"/>
          <w:i/>
          <w:iCs/>
          <w:sz w:val="24"/>
          <w:szCs w:val="24"/>
        </w:rPr>
      </w:pPr>
      <w:proofErr w:type="spellStart"/>
      <w:r w:rsidRPr="00A42FC7">
        <w:rPr>
          <w:rFonts w:ascii="Times New Roman" w:hAnsi="Times New Roman" w:cs="Times New Roman"/>
          <w:sz w:val="24"/>
          <w:szCs w:val="24"/>
        </w:rPr>
        <w:t>Rustad</w:t>
      </w:r>
      <w:proofErr w:type="spellEnd"/>
      <w:r w:rsidRPr="00A42FC7">
        <w:rPr>
          <w:rFonts w:ascii="Times New Roman" w:hAnsi="Times New Roman" w:cs="Times New Roman"/>
          <w:sz w:val="24"/>
          <w:szCs w:val="24"/>
        </w:rPr>
        <w:t xml:space="preserve"> M and </w:t>
      </w:r>
      <w:proofErr w:type="spellStart"/>
      <w:r w:rsidRPr="00A42FC7">
        <w:rPr>
          <w:rFonts w:ascii="Times New Roman" w:hAnsi="Times New Roman" w:cs="Times New Roman"/>
          <w:sz w:val="24"/>
          <w:szCs w:val="24"/>
        </w:rPr>
        <w:t>Kulevska</w:t>
      </w:r>
      <w:proofErr w:type="spellEnd"/>
      <w:r w:rsidRPr="00A42FC7">
        <w:rPr>
          <w:rFonts w:ascii="Times New Roman" w:hAnsi="Times New Roman" w:cs="Times New Roman"/>
          <w:sz w:val="24"/>
          <w:szCs w:val="24"/>
        </w:rPr>
        <w:t xml:space="preserve"> S, ‘Reconceptualizing the Right to be Forgotten to Enable Transatlantic Data Flow’ [2015] 28(2) Harvard Journal of Law &amp; Technology, 411 &lt;https://papers.ssrn.com/sol3/papers.cfm?abstract_id=2627383&gt; </w:t>
      </w:r>
    </w:p>
    <w:p w14:paraId="7563582C" w14:textId="77777777" w:rsidR="00643AF4" w:rsidRPr="00A42FC7" w:rsidRDefault="00643AF4" w:rsidP="00643AF4">
      <w:pPr>
        <w:spacing w:line="240" w:lineRule="auto"/>
        <w:jc w:val="both"/>
        <w:rPr>
          <w:rFonts w:ascii="Times New Roman" w:hAnsi="Times New Roman" w:cs="Times New Roman"/>
          <w:sz w:val="24"/>
          <w:szCs w:val="24"/>
        </w:rPr>
      </w:pPr>
      <w:proofErr w:type="spellStart"/>
      <w:r w:rsidRPr="00A42FC7">
        <w:rPr>
          <w:rFonts w:ascii="Times New Roman" w:hAnsi="Times New Roman" w:cs="Times New Roman"/>
          <w:sz w:val="24"/>
          <w:szCs w:val="24"/>
        </w:rPr>
        <w:t>Svantesson</w:t>
      </w:r>
      <w:proofErr w:type="spellEnd"/>
      <w:r w:rsidRPr="00A42FC7">
        <w:rPr>
          <w:rFonts w:ascii="Times New Roman" w:hAnsi="Times New Roman" w:cs="Times New Roman"/>
          <w:sz w:val="24"/>
          <w:szCs w:val="24"/>
        </w:rPr>
        <w:t xml:space="preserve"> D, ‘A "layered approach" to the extraterritoriality of data privacy laws’ [2013] 3(4) International Data Privacy Law &lt;https://doi.org/10.1093/idpl/ipt027&gt;</w:t>
      </w:r>
    </w:p>
    <w:p w14:paraId="7F3A8FA9"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Van </w:t>
      </w:r>
      <w:proofErr w:type="spellStart"/>
      <w:r w:rsidRPr="00A42FC7">
        <w:rPr>
          <w:rFonts w:ascii="Times New Roman" w:hAnsi="Times New Roman" w:cs="Times New Roman"/>
          <w:sz w:val="24"/>
          <w:szCs w:val="24"/>
        </w:rPr>
        <w:t>Alsenoy</w:t>
      </w:r>
      <w:proofErr w:type="spellEnd"/>
      <w:r w:rsidRPr="00A42FC7">
        <w:rPr>
          <w:rFonts w:ascii="Times New Roman" w:hAnsi="Times New Roman" w:cs="Times New Roman"/>
          <w:sz w:val="24"/>
          <w:szCs w:val="24"/>
        </w:rPr>
        <w:t xml:space="preserve"> B and Koekkoek M, ‘Internet and jurisdiction after Google Spain: the extraterritorial reach of the 'right to be delisted'’ [2015] 5(2) International Data Privacy Law &lt;https://www.researchgate.net/publication/275227288_Internet_and_jurisdiction_after_Google_Spain_the_extraterritorial_reach_of_the_'right_to_be_delisted'&gt;</w:t>
      </w:r>
    </w:p>
    <w:p w14:paraId="04A63405"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Wrigley S and Klinefelter A, ‘Google LLC. v. CNIL: The Location-Based Limits of the EU Right to Erasure and Lessons for U.S. Privacy Law’ [2021] 22(4) North Carolina Journal of Law &amp; Technology, 713 &lt;https://papers.ssrn.com/sol3/papers.cfm?abstract_id=3844968&gt; </w:t>
      </w:r>
    </w:p>
    <w:p w14:paraId="77264D66" w14:textId="77777777" w:rsidR="00643AF4" w:rsidRPr="00A42FC7" w:rsidRDefault="00643AF4" w:rsidP="00643AF4">
      <w:pPr>
        <w:spacing w:line="240" w:lineRule="auto"/>
        <w:jc w:val="both"/>
        <w:rPr>
          <w:rFonts w:ascii="Times New Roman" w:hAnsi="Times New Roman" w:cs="Times New Roman"/>
          <w:i/>
          <w:iCs/>
          <w:sz w:val="24"/>
          <w:szCs w:val="24"/>
        </w:rPr>
      </w:pPr>
    </w:p>
    <w:p w14:paraId="5B0F2150" w14:textId="77777777" w:rsidR="00774A9E" w:rsidRDefault="00774A9E" w:rsidP="00643AF4">
      <w:pPr>
        <w:pStyle w:val="Textodenotaderodap"/>
        <w:jc w:val="both"/>
        <w:rPr>
          <w:rFonts w:ascii="Times New Roman" w:hAnsi="Times New Roman" w:cs="Times New Roman"/>
          <w:b/>
          <w:bCs/>
          <w:sz w:val="24"/>
          <w:szCs w:val="24"/>
        </w:rPr>
      </w:pPr>
    </w:p>
    <w:p w14:paraId="6ECC38D8" w14:textId="77777777" w:rsidR="00774A9E" w:rsidRDefault="00774A9E" w:rsidP="00643AF4">
      <w:pPr>
        <w:pStyle w:val="Textodenotaderodap"/>
        <w:jc w:val="both"/>
        <w:rPr>
          <w:rFonts w:ascii="Times New Roman" w:hAnsi="Times New Roman" w:cs="Times New Roman"/>
          <w:b/>
          <w:bCs/>
          <w:sz w:val="24"/>
          <w:szCs w:val="24"/>
        </w:rPr>
      </w:pPr>
    </w:p>
    <w:p w14:paraId="13743AFE" w14:textId="6E7DE522" w:rsidR="00643AF4" w:rsidRDefault="00643AF4" w:rsidP="00643AF4">
      <w:pPr>
        <w:pStyle w:val="Textodenotaderodap"/>
        <w:jc w:val="both"/>
        <w:rPr>
          <w:rFonts w:ascii="Times New Roman" w:hAnsi="Times New Roman" w:cs="Times New Roman"/>
          <w:b/>
          <w:bCs/>
          <w:sz w:val="24"/>
          <w:szCs w:val="24"/>
        </w:rPr>
      </w:pPr>
      <w:r w:rsidRPr="00A42FC7">
        <w:rPr>
          <w:rFonts w:ascii="Times New Roman" w:hAnsi="Times New Roman" w:cs="Times New Roman"/>
          <w:b/>
          <w:bCs/>
          <w:sz w:val="24"/>
          <w:szCs w:val="24"/>
        </w:rPr>
        <w:lastRenderedPageBreak/>
        <w:t xml:space="preserve">Websites </w:t>
      </w:r>
    </w:p>
    <w:p w14:paraId="6D07DC57" w14:textId="77777777" w:rsidR="00643AF4" w:rsidRDefault="00643AF4" w:rsidP="00643AF4">
      <w:pPr>
        <w:pStyle w:val="Textodenotaderodap"/>
        <w:jc w:val="both"/>
        <w:rPr>
          <w:rFonts w:ascii="Times New Roman" w:hAnsi="Times New Roman" w:cs="Times New Roman"/>
          <w:b/>
          <w:bCs/>
          <w:sz w:val="24"/>
          <w:szCs w:val="24"/>
        </w:rPr>
      </w:pPr>
    </w:p>
    <w:p w14:paraId="619CED0A"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Balls J, ‘Articles Have Been Hidden by Google’ </w:t>
      </w:r>
      <w:r w:rsidRPr="00A42FC7">
        <w:rPr>
          <w:rFonts w:ascii="Times New Roman" w:hAnsi="Times New Roman" w:cs="Times New Roman"/>
          <w:i/>
          <w:iCs/>
          <w:sz w:val="24"/>
          <w:szCs w:val="24"/>
        </w:rPr>
        <w:t>The Guardian</w:t>
      </w:r>
      <w:r w:rsidRPr="00A42FC7">
        <w:rPr>
          <w:rFonts w:ascii="Times New Roman" w:hAnsi="Times New Roman" w:cs="Times New Roman"/>
          <w:sz w:val="24"/>
          <w:szCs w:val="24"/>
        </w:rPr>
        <w:t xml:space="preserve"> (London, 2 July 2014) &lt;https://www.theguardian.com/commentisfree/2014/jul/02/eu-right-to-be-forgotten-guardian-google&gt;</w:t>
      </w:r>
    </w:p>
    <w:p w14:paraId="5C3E8727"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Brin S and Page L, ‘The Anatomy of a Large-Scale Hypertextual Web Search Engine’ [1998] &lt;http://infolab.stanford.edu/~backrub/google.html&gt;</w:t>
      </w:r>
    </w:p>
    <w:p w14:paraId="65D3B9EF" w14:textId="77777777" w:rsidR="00643AF4" w:rsidRPr="00A42FC7" w:rsidRDefault="00643AF4" w:rsidP="00643AF4">
      <w:pPr>
        <w:spacing w:line="240" w:lineRule="auto"/>
        <w:jc w:val="both"/>
        <w:rPr>
          <w:rFonts w:ascii="Times New Roman" w:hAnsi="Times New Roman" w:cs="Times New Roman"/>
          <w:i/>
          <w:iCs/>
          <w:sz w:val="24"/>
          <w:szCs w:val="24"/>
        </w:rPr>
      </w:pPr>
      <w:proofErr w:type="spellStart"/>
      <w:r w:rsidRPr="00A42FC7">
        <w:rPr>
          <w:rFonts w:ascii="Times New Roman" w:hAnsi="Times New Roman" w:cs="Times New Roman"/>
          <w:color w:val="000000"/>
          <w:sz w:val="24"/>
          <w:szCs w:val="24"/>
          <w:shd w:val="clear" w:color="auto" w:fill="FFFFFF"/>
        </w:rPr>
        <w:t>Finck</w:t>
      </w:r>
      <w:proofErr w:type="spellEnd"/>
      <w:r w:rsidRPr="00A42FC7">
        <w:rPr>
          <w:rFonts w:ascii="Times New Roman" w:hAnsi="Times New Roman" w:cs="Times New Roman"/>
          <w:color w:val="000000"/>
          <w:sz w:val="24"/>
          <w:szCs w:val="24"/>
          <w:shd w:val="clear" w:color="auto" w:fill="FFFFFF"/>
        </w:rPr>
        <w:t xml:space="preserve"> M, ‘Google v CNIL: Defining the Territorial Scope of European Data Protection Law’ (University of Oxford, 16 November 2018) &lt;https://www.law.ox.ac.uk/business-law-blog/blog/2018/11/google-v-cnil-defining-territorial-scope-european-data-protection-law&gt;</w:t>
      </w:r>
    </w:p>
    <w:p w14:paraId="0690ECB4" w14:textId="77777777" w:rsidR="00643AF4"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Fleischer P, ‘“The Right To Be Forgotten”, Seen from Spain’ (</w:t>
      </w:r>
      <w:r w:rsidRPr="00A42FC7">
        <w:rPr>
          <w:rFonts w:ascii="Times New Roman" w:hAnsi="Times New Roman" w:cs="Times New Roman"/>
          <w:i/>
          <w:iCs/>
          <w:sz w:val="24"/>
          <w:szCs w:val="24"/>
        </w:rPr>
        <w:t>Peter Fleischer: Privacy</w:t>
      </w:r>
      <w:proofErr w:type="gramStart"/>
      <w:r w:rsidRPr="00A42FC7">
        <w:rPr>
          <w:rFonts w:ascii="Times New Roman" w:hAnsi="Times New Roman" w:cs="Times New Roman"/>
          <w:i/>
          <w:iCs/>
          <w:sz w:val="24"/>
          <w:szCs w:val="24"/>
        </w:rPr>
        <w:t>…?</w:t>
      </w:r>
      <w:r w:rsidRPr="00A42FC7">
        <w:rPr>
          <w:rFonts w:ascii="Times New Roman" w:hAnsi="Times New Roman" w:cs="Times New Roman"/>
          <w:sz w:val="24"/>
          <w:szCs w:val="24"/>
        </w:rPr>
        <w:t>,</w:t>
      </w:r>
      <w:proofErr w:type="gramEnd"/>
      <w:r w:rsidRPr="00A42FC7">
        <w:rPr>
          <w:rFonts w:ascii="Times New Roman" w:hAnsi="Times New Roman" w:cs="Times New Roman"/>
          <w:sz w:val="24"/>
          <w:szCs w:val="24"/>
        </w:rPr>
        <w:t xml:space="preserve"> 5 September 2011). &lt;http://peterfleischer.blogspot.com/2011/09/right-to-be-forgotten-seen-from-spain.html&gt;</w:t>
      </w:r>
    </w:p>
    <w:p w14:paraId="00D577EE" w14:textId="77777777" w:rsidR="00643AF4" w:rsidRPr="00A42FC7" w:rsidRDefault="00643AF4" w:rsidP="00643AF4">
      <w:pPr>
        <w:spacing w:line="240" w:lineRule="auto"/>
        <w:jc w:val="both"/>
        <w:rPr>
          <w:rFonts w:ascii="Times New Roman" w:hAnsi="Times New Roman" w:cs="Times New Roman"/>
          <w:i/>
          <w:iCs/>
          <w:sz w:val="24"/>
          <w:szCs w:val="24"/>
        </w:rPr>
      </w:pPr>
      <w:proofErr w:type="spellStart"/>
      <w:r w:rsidRPr="00A42FC7">
        <w:rPr>
          <w:rFonts w:ascii="Times New Roman" w:hAnsi="Times New Roman" w:cs="Times New Roman"/>
          <w:sz w:val="24"/>
          <w:szCs w:val="24"/>
        </w:rPr>
        <w:t>Floridi</w:t>
      </w:r>
      <w:proofErr w:type="spellEnd"/>
      <w:r w:rsidRPr="00A42FC7">
        <w:rPr>
          <w:rFonts w:ascii="Times New Roman" w:hAnsi="Times New Roman" w:cs="Times New Roman"/>
          <w:sz w:val="24"/>
          <w:szCs w:val="24"/>
        </w:rPr>
        <w:t xml:space="preserve"> L, ‘Right to Be Forgotten: Who May Exercise Power, Over Which Kind of Information?’ </w:t>
      </w:r>
      <w:r w:rsidRPr="00A42FC7">
        <w:rPr>
          <w:rFonts w:ascii="Times New Roman" w:hAnsi="Times New Roman" w:cs="Times New Roman"/>
          <w:i/>
          <w:iCs/>
          <w:sz w:val="24"/>
          <w:szCs w:val="24"/>
        </w:rPr>
        <w:t>The Guardian</w:t>
      </w:r>
      <w:r w:rsidRPr="00A42FC7">
        <w:rPr>
          <w:rFonts w:ascii="Times New Roman" w:hAnsi="Times New Roman" w:cs="Times New Roman"/>
          <w:sz w:val="24"/>
          <w:szCs w:val="24"/>
        </w:rPr>
        <w:t xml:space="preserve"> (London, 21 October 2014) &lt;https://www.theguardian.com/technology/2014/oct/21/right-to-be-forgotten-who-may-exercise-power-information&gt;</w:t>
      </w:r>
    </w:p>
    <w:p w14:paraId="1866A454" w14:textId="77777777" w:rsidR="00643AF4" w:rsidRPr="00A42FC7" w:rsidRDefault="00643AF4" w:rsidP="00643AF4">
      <w:pPr>
        <w:pStyle w:val="Textodenotaderodap"/>
        <w:jc w:val="both"/>
        <w:rPr>
          <w:rFonts w:ascii="Times New Roman" w:hAnsi="Times New Roman" w:cs="Times New Roman"/>
          <w:i/>
          <w:iCs/>
          <w:sz w:val="24"/>
          <w:szCs w:val="24"/>
        </w:rPr>
      </w:pPr>
      <w:proofErr w:type="spellStart"/>
      <w:r w:rsidRPr="00A42FC7">
        <w:rPr>
          <w:rFonts w:ascii="Times New Roman" w:hAnsi="Times New Roman" w:cs="Times New Roman"/>
          <w:sz w:val="24"/>
          <w:szCs w:val="24"/>
        </w:rPr>
        <w:t>Foco</w:t>
      </w:r>
      <w:proofErr w:type="spellEnd"/>
      <w:r w:rsidRPr="00A42FC7">
        <w:rPr>
          <w:rFonts w:ascii="Times New Roman" w:hAnsi="Times New Roman" w:cs="Times New Roman"/>
          <w:sz w:val="24"/>
          <w:szCs w:val="24"/>
        </w:rPr>
        <w:t xml:space="preserve"> E, ‘The Codification of the Right to be Forgotten in the Digital Era: From Directive 95/46/EC to the General Data Protection Regulation’ </w:t>
      </w:r>
      <w:r w:rsidRPr="00A42FC7">
        <w:rPr>
          <w:rFonts w:ascii="Times New Roman" w:hAnsi="Times New Roman" w:cs="Times New Roman"/>
          <w:i/>
          <w:iCs/>
          <w:sz w:val="24"/>
          <w:szCs w:val="24"/>
        </w:rPr>
        <w:t>Media Laws</w:t>
      </w:r>
      <w:r w:rsidRPr="00A42FC7">
        <w:rPr>
          <w:rFonts w:ascii="Times New Roman" w:hAnsi="Times New Roman" w:cs="Times New Roman"/>
          <w:sz w:val="24"/>
          <w:szCs w:val="24"/>
        </w:rPr>
        <w:t xml:space="preserve"> (Italy, 16 November 2016) &lt;https://www.medialaws.eu/the-codification-of-the-right-to-be-forgotten-in-the-digital-era-from-directive-9546ec-to-the-general-data-protection-regulation/&gt;</w:t>
      </w:r>
    </w:p>
    <w:p w14:paraId="34BAED34" w14:textId="77777777" w:rsidR="00643AF4" w:rsidRPr="00A42FC7" w:rsidRDefault="00643AF4" w:rsidP="00643AF4">
      <w:pPr>
        <w:pStyle w:val="Textodenotaderodap"/>
        <w:jc w:val="both"/>
        <w:rPr>
          <w:rFonts w:ascii="Times New Roman" w:hAnsi="Times New Roman" w:cs="Times New Roman"/>
          <w:i/>
          <w:iCs/>
          <w:sz w:val="24"/>
          <w:szCs w:val="24"/>
        </w:rPr>
      </w:pPr>
    </w:p>
    <w:p w14:paraId="022ABC33" w14:textId="77777777" w:rsidR="00643AF4" w:rsidRPr="00A42FC7" w:rsidRDefault="00643AF4" w:rsidP="00643AF4">
      <w:pPr>
        <w:spacing w:line="240" w:lineRule="auto"/>
        <w:jc w:val="both"/>
        <w:rPr>
          <w:rFonts w:ascii="Times New Roman" w:hAnsi="Times New Roman" w:cs="Times New Roman"/>
          <w:i/>
          <w:iCs/>
          <w:sz w:val="24"/>
          <w:szCs w:val="24"/>
        </w:rPr>
      </w:pPr>
      <w:r w:rsidRPr="00A42FC7">
        <w:rPr>
          <w:rFonts w:ascii="Times New Roman" w:hAnsi="Times New Roman" w:cs="Times New Roman"/>
          <w:sz w:val="24"/>
          <w:szCs w:val="24"/>
        </w:rPr>
        <w:t xml:space="preserve">Gibbs S, ‘Larry Page: 'Right to be Forgotten' Could Empower Government Repression’ </w:t>
      </w:r>
      <w:r w:rsidRPr="00A42FC7">
        <w:rPr>
          <w:rFonts w:ascii="Times New Roman" w:hAnsi="Times New Roman" w:cs="Times New Roman"/>
          <w:i/>
          <w:iCs/>
          <w:sz w:val="24"/>
          <w:szCs w:val="24"/>
        </w:rPr>
        <w:t>The Guardian</w:t>
      </w:r>
      <w:r w:rsidRPr="00A42FC7">
        <w:rPr>
          <w:rFonts w:ascii="Times New Roman" w:hAnsi="Times New Roman" w:cs="Times New Roman"/>
          <w:sz w:val="24"/>
          <w:szCs w:val="24"/>
        </w:rPr>
        <w:t xml:space="preserve"> (London, 30 May 2014) &lt;https://www.theguardian.com/technology/2014/may/30/larry-page-right-to-be-forgotten-government-repression&gt;</w:t>
      </w:r>
    </w:p>
    <w:p w14:paraId="3C829342"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Google Personal Information Removal Request Form &lt;https://www.google.com/webmasters/tools/legal-removal-request?complaint_type=rtbf&gt;</w:t>
      </w:r>
    </w:p>
    <w:p w14:paraId="785818F0"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Google Transparency Report &lt;https://transparencyreport.google.com/?hl=en&gt;</w:t>
      </w:r>
    </w:p>
    <w:p w14:paraId="66C1B30F"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Google Transparency Report, ‘Requests to Delist Content Under European Privacy Law’ &lt;https://transparencyreport.google.com/eu-privacy/overview&gt;</w:t>
      </w:r>
    </w:p>
    <w:p w14:paraId="2FFF3AAA" w14:textId="77777777" w:rsidR="00643AF4" w:rsidRPr="00A42FC7" w:rsidRDefault="00643AF4" w:rsidP="00643AF4">
      <w:pPr>
        <w:pStyle w:val="Textodenotaderodap"/>
        <w:jc w:val="both"/>
        <w:rPr>
          <w:rFonts w:ascii="Times New Roman" w:hAnsi="Times New Roman" w:cs="Times New Roman"/>
          <w:sz w:val="24"/>
          <w:szCs w:val="24"/>
        </w:rPr>
      </w:pPr>
      <w:r w:rsidRPr="00A42FC7">
        <w:rPr>
          <w:rFonts w:ascii="Times New Roman" w:hAnsi="Times New Roman" w:cs="Times New Roman"/>
          <w:sz w:val="24"/>
          <w:szCs w:val="24"/>
        </w:rPr>
        <w:t xml:space="preserve">Harris J, ‘How to watch Instagram Stories anonymously’ (New York Post, 31 March 2022) &lt;https://nypost.com/2022/03/31/how-to-watch-instagram-stories-anonymously/&gt; </w:t>
      </w:r>
    </w:p>
    <w:p w14:paraId="6D7A5B08" w14:textId="77777777" w:rsidR="00643AF4" w:rsidRPr="00A42FC7" w:rsidRDefault="00643AF4" w:rsidP="00643AF4">
      <w:pPr>
        <w:spacing w:line="240" w:lineRule="auto"/>
        <w:jc w:val="both"/>
        <w:rPr>
          <w:rFonts w:ascii="Times New Roman" w:hAnsi="Times New Roman" w:cs="Times New Roman"/>
          <w:i/>
          <w:iCs/>
          <w:sz w:val="24"/>
          <w:szCs w:val="24"/>
        </w:rPr>
      </w:pPr>
      <w:r w:rsidRPr="00A42FC7">
        <w:rPr>
          <w:rFonts w:ascii="Times New Roman" w:hAnsi="Times New Roman" w:cs="Times New Roman"/>
          <w:sz w:val="24"/>
          <w:szCs w:val="24"/>
        </w:rPr>
        <w:t xml:space="preserve">Mitchell D, ‘The Right </w:t>
      </w:r>
      <w:proofErr w:type="gramStart"/>
      <w:r w:rsidRPr="00A42FC7">
        <w:rPr>
          <w:rFonts w:ascii="Times New Roman" w:hAnsi="Times New Roman" w:cs="Times New Roman"/>
          <w:sz w:val="24"/>
          <w:szCs w:val="24"/>
        </w:rPr>
        <w:t>To</w:t>
      </w:r>
      <w:proofErr w:type="gramEnd"/>
      <w:r w:rsidRPr="00A42FC7">
        <w:rPr>
          <w:rFonts w:ascii="Times New Roman" w:hAnsi="Times New Roman" w:cs="Times New Roman"/>
          <w:sz w:val="24"/>
          <w:szCs w:val="24"/>
        </w:rPr>
        <w:t xml:space="preserve"> Be Forgotten Will Turn the Internet into a Work of Fiction’ </w:t>
      </w:r>
      <w:r w:rsidRPr="00A42FC7">
        <w:rPr>
          <w:rFonts w:ascii="Times New Roman" w:hAnsi="Times New Roman" w:cs="Times New Roman"/>
          <w:i/>
          <w:iCs/>
          <w:sz w:val="24"/>
          <w:szCs w:val="24"/>
        </w:rPr>
        <w:t>The Guardian</w:t>
      </w:r>
      <w:r w:rsidRPr="00A42FC7">
        <w:rPr>
          <w:rFonts w:ascii="Times New Roman" w:hAnsi="Times New Roman" w:cs="Times New Roman"/>
          <w:sz w:val="24"/>
          <w:szCs w:val="24"/>
        </w:rPr>
        <w:t xml:space="preserve"> (London, 5 July 2014) &lt;https://www.theguardian.com/commentisfree/2014/jul/06/right-to-be-forgotten-internet-work-of-fiction-david-mitchell-eu-google&gt;</w:t>
      </w:r>
    </w:p>
    <w:p w14:paraId="0A03227E" w14:textId="77777777" w:rsidR="00643AF4" w:rsidRPr="00A42FC7" w:rsidRDefault="00643AF4" w:rsidP="00643AF4">
      <w:pPr>
        <w:pStyle w:val="Textodenotaderodap"/>
        <w:jc w:val="both"/>
        <w:rPr>
          <w:rFonts w:ascii="Times New Roman" w:hAnsi="Times New Roman" w:cs="Times New Roman"/>
          <w:sz w:val="24"/>
          <w:szCs w:val="24"/>
        </w:rPr>
      </w:pPr>
      <w:r w:rsidRPr="00A42FC7">
        <w:rPr>
          <w:rFonts w:ascii="Times New Roman" w:hAnsi="Times New Roman" w:cs="Times New Roman"/>
          <w:sz w:val="24"/>
          <w:szCs w:val="24"/>
        </w:rPr>
        <w:t xml:space="preserve">Oreskovic A, ‘“Right </w:t>
      </w:r>
      <w:proofErr w:type="gramStart"/>
      <w:r w:rsidRPr="00A42FC7">
        <w:rPr>
          <w:rFonts w:ascii="Times New Roman" w:hAnsi="Times New Roman" w:cs="Times New Roman"/>
          <w:sz w:val="24"/>
          <w:szCs w:val="24"/>
        </w:rPr>
        <w:t>To</w:t>
      </w:r>
      <w:proofErr w:type="gramEnd"/>
      <w:r w:rsidRPr="00A42FC7">
        <w:rPr>
          <w:rFonts w:ascii="Times New Roman" w:hAnsi="Times New Roman" w:cs="Times New Roman"/>
          <w:sz w:val="24"/>
          <w:szCs w:val="24"/>
        </w:rPr>
        <w:t xml:space="preserve"> Be Forgotten”: Google Hit with Takedown Requests After European Court Ruling’ </w:t>
      </w:r>
      <w:r w:rsidRPr="00A42FC7">
        <w:rPr>
          <w:rFonts w:ascii="Times New Roman" w:hAnsi="Times New Roman" w:cs="Times New Roman"/>
          <w:i/>
          <w:iCs/>
          <w:sz w:val="24"/>
          <w:szCs w:val="24"/>
        </w:rPr>
        <w:t>Reuters</w:t>
      </w:r>
      <w:r w:rsidRPr="00A42FC7">
        <w:rPr>
          <w:rFonts w:ascii="Times New Roman" w:hAnsi="Times New Roman" w:cs="Times New Roman"/>
          <w:sz w:val="24"/>
          <w:szCs w:val="24"/>
        </w:rPr>
        <w:t xml:space="preserve"> (San Francisco, 14 May 2014), &lt;https://www.rawstory.com/2014/05/right-to-be-forgotten-google-hit-with-takedown-requests-after-european-court-ruling/&gt;</w:t>
      </w:r>
    </w:p>
    <w:p w14:paraId="354EF47F" w14:textId="77777777" w:rsidR="00643AF4" w:rsidRDefault="00643AF4" w:rsidP="00643AF4">
      <w:pPr>
        <w:spacing w:line="240" w:lineRule="auto"/>
        <w:jc w:val="both"/>
        <w:rPr>
          <w:rFonts w:ascii="Times New Roman" w:hAnsi="Times New Roman" w:cs="Times New Roman"/>
          <w:sz w:val="24"/>
          <w:szCs w:val="24"/>
        </w:rPr>
      </w:pPr>
    </w:p>
    <w:p w14:paraId="310672DF"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lastRenderedPageBreak/>
        <w:t xml:space="preserve">Parkinson J, ‘The Perils of Streisand Effect’ </w:t>
      </w:r>
      <w:r w:rsidRPr="00A42FC7">
        <w:rPr>
          <w:rFonts w:ascii="Times New Roman" w:hAnsi="Times New Roman" w:cs="Times New Roman"/>
          <w:i/>
          <w:iCs/>
          <w:sz w:val="24"/>
          <w:szCs w:val="24"/>
        </w:rPr>
        <w:t>BBC News</w:t>
      </w:r>
      <w:r w:rsidRPr="00A42FC7">
        <w:rPr>
          <w:rFonts w:ascii="Times New Roman" w:hAnsi="Times New Roman" w:cs="Times New Roman"/>
          <w:sz w:val="24"/>
          <w:szCs w:val="24"/>
        </w:rPr>
        <w:t xml:space="preserve"> (London, 31 July 2014) &lt;https://www.bbc.com/news/magazine-28562156&gt; </w:t>
      </w:r>
    </w:p>
    <w:p w14:paraId="5F719A78"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Personal Information Removal Request Form &lt;https://www.google.com/webmasters/tools/legal-removal-request?complaint_type=rtbf&amp;visit_id=637909907348896979-2535998864&amp;rd=1&gt; </w:t>
      </w:r>
    </w:p>
    <w:p w14:paraId="243FD60C" w14:textId="77777777" w:rsidR="00643AF4"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 xml:space="preserve">Phelan S, ‘From €100k Wedding Cake, Christmas in Jail and Trips to Russia – 11 Stories Seán Quinn’s Family Wants us to Forget’ </w:t>
      </w:r>
      <w:r w:rsidRPr="00A42FC7">
        <w:rPr>
          <w:rFonts w:ascii="Times New Roman" w:hAnsi="Times New Roman" w:cs="Times New Roman"/>
          <w:i/>
          <w:iCs/>
          <w:sz w:val="24"/>
          <w:szCs w:val="24"/>
        </w:rPr>
        <w:t>Irish Independent</w:t>
      </w:r>
      <w:r w:rsidRPr="00A42FC7">
        <w:rPr>
          <w:rFonts w:ascii="Times New Roman" w:hAnsi="Times New Roman" w:cs="Times New Roman"/>
          <w:sz w:val="24"/>
          <w:szCs w:val="24"/>
        </w:rPr>
        <w:t xml:space="preserve"> (Dublin, 6 November 2021) &lt;https://www.independent.ie/irish-news/from-100k-wedding-cake-christmas-in-jail-and-trips-to-russia-11-stories-sean-quinns-family-wants-us-to-forget-41023066.html&gt;</w:t>
      </w:r>
    </w:p>
    <w:p w14:paraId="400345C7" w14:textId="77777777" w:rsidR="00643AF4" w:rsidRPr="00A42FC7" w:rsidRDefault="00643AF4" w:rsidP="00643AF4">
      <w:pPr>
        <w:spacing w:line="240" w:lineRule="auto"/>
        <w:jc w:val="both"/>
        <w:rPr>
          <w:rFonts w:ascii="Times New Roman" w:hAnsi="Times New Roman" w:cs="Times New Roman"/>
          <w:i/>
          <w:iCs/>
          <w:sz w:val="24"/>
          <w:szCs w:val="24"/>
        </w:rPr>
      </w:pPr>
      <w:r w:rsidRPr="00A42FC7">
        <w:rPr>
          <w:rFonts w:ascii="Times New Roman" w:hAnsi="Times New Roman" w:cs="Times New Roman"/>
          <w:sz w:val="24"/>
          <w:szCs w:val="24"/>
        </w:rPr>
        <w:t>Singhal A, ‘“Revenge porn” and Search’ (Google Public Policy Blog, 19 June 2015) &lt;https://publicpolicy.googleblog.com/2015/06/revenge-porn-and-search.html&gt;</w:t>
      </w:r>
    </w:p>
    <w:p w14:paraId="5898BEB4" w14:textId="77777777" w:rsidR="00643AF4" w:rsidRPr="00A42FC7" w:rsidRDefault="00643AF4" w:rsidP="00643AF4">
      <w:pPr>
        <w:spacing w:line="240" w:lineRule="auto"/>
        <w:jc w:val="both"/>
        <w:rPr>
          <w:rFonts w:ascii="Times New Roman" w:hAnsi="Times New Roman" w:cs="Times New Roman"/>
          <w:i/>
          <w:iCs/>
          <w:sz w:val="24"/>
          <w:szCs w:val="24"/>
        </w:rPr>
      </w:pPr>
      <w:r w:rsidRPr="00A42FC7">
        <w:rPr>
          <w:rFonts w:ascii="Times New Roman" w:hAnsi="Times New Roman" w:cs="Times New Roman"/>
          <w:sz w:val="24"/>
          <w:szCs w:val="24"/>
        </w:rPr>
        <w:t>Sullivan D, ‘When (and why) we remove content from Google search results’ (Google Blog, 19 April 2021) &lt;https://blog.google/products/search/when-and-why-we-remove-content-google-search-results/&gt;</w:t>
      </w:r>
    </w:p>
    <w:p w14:paraId="76D8F04E" w14:textId="77777777" w:rsidR="00643AF4" w:rsidRPr="00A42FC7" w:rsidRDefault="00643AF4" w:rsidP="00643AF4">
      <w:pPr>
        <w:spacing w:line="240" w:lineRule="auto"/>
        <w:jc w:val="both"/>
        <w:rPr>
          <w:rFonts w:ascii="Times New Roman" w:hAnsi="Times New Roman" w:cs="Times New Roman"/>
          <w:sz w:val="24"/>
          <w:szCs w:val="24"/>
        </w:rPr>
      </w:pPr>
      <w:r w:rsidRPr="00A42FC7">
        <w:rPr>
          <w:rFonts w:ascii="Times New Roman" w:hAnsi="Times New Roman" w:cs="Times New Roman"/>
          <w:sz w:val="24"/>
          <w:szCs w:val="24"/>
        </w:rPr>
        <w:t>The Advisory Council to Google on the Right to be Forgotten &lt;https://archive.google.com/advisorycouncil/&gt;</w:t>
      </w:r>
    </w:p>
    <w:p w14:paraId="7B87D645" w14:textId="77777777" w:rsidR="00643AF4" w:rsidRPr="00A42FC7" w:rsidRDefault="00643AF4" w:rsidP="00643AF4">
      <w:pPr>
        <w:spacing w:line="240" w:lineRule="auto"/>
        <w:jc w:val="both"/>
        <w:rPr>
          <w:rFonts w:ascii="Times New Roman" w:hAnsi="Times New Roman" w:cs="Times New Roman"/>
          <w:i/>
          <w:iCs/>
          <w:sz w:val="24"/>
          <w:szCs w:val="24"/>
        </w:rPr>
      </w:pPr>
      <w:proofErr w:type="spellStart"/>
      <w:r w:rsidRPr="00A42FC7">
        <w:rPr>
          <w:rFonts w:ascii="Times New Roman" w:hAnsi="Times New Roman" w:cs="Times New Roman"/>
          <w:sz w:val="24"/>
          <w:szCs w:val="24"/>
        </w:rPr>
        <w:t>Wayback</w:t>
      </w:r>
      <w:proofErr w:type="spellEnd"/>
      <w:r w:rsidRPr="00A42FC7">
        <w:rPr>
          <w:rFonts w:ascii="Times New Roman" w:hAnsi="Times New Roman" w:cs="Times New Roman"/>
          <w:sz w:val="24"/>
          <w:szCs w:val="24"/>
        </w:rPr>
        <w:t xml:space="preserve"> Machine &lt;web.archive.org&gt;</w:t>
      </w:r>
    </w:p>
    <w:p w14:paraId="253411AD" w14:textId="77777777" w:rsidR="00643AF4" w:rsidRPr="00A42FC7" w:rsidRDefault="00643AF4" w:rsidP="00643AF4">
      <w:pPr>
        <w:spacing w:line="240" w:lineRule="auto"/>
        <w:jc w:val="both"/>
        <w:rPr>
          <w:rFonts w:ascii="Times New Roman" w:hAnsi="Times New Roman" w:cs="Times New Roman"/>
          <w:b/>
          <w:bCs/>
          <w:sz w:val="24"/>
          <w:szCs w:val="24"/>
        </w:rPr>
      </w:pPr>
    </w:p>
    <w:p w14:paraId="5996D005" w14:textId="77777777" w:rsidR="00643AF4" w:rsidRPr="00A42FC7" w:rsidRDefault="00643AF4" w:rsidP="00643AF4">
      <w:pPr>
        <w:spacing w:line="240" w:lineRule="auto"/>
        <w:jc w:val="both"/>
        <w:rPr>
          <w:rFonts w:ascii="Times New Roman" w:hAnsi="Times New Roman" w:cs="Times New Roman"/>
          <w:b/>
          <w:bCs/>
          <w:sz w:val="24"/>
          <w:szCs w:val="24"/>
        </w:rPr>
      </w:pPr>
    </w:p>
    <w:p w14:paraId="09B7362C" w14:textId="77777777" w:rsidR="00643AF4" w:rsidRPr="00A42FC7" w:rsidRDefault="00643AF4" w:rsidP="00643AF4">
      <w:pPr>
        <w:spacing w:line="240" w:lineRule="auto"/>
        <w:jc w:val="both"/>
        <w:rPr>
          <w:rFonts w:ascii="Times New Roman" w:hAnsi="Times New Roman" w:cs="Times New Roman"/>
          <w:b/>
          <w:bCs/>
          <w:sz w:val="24"/>
          <w:szCs w:val="24"/>
        </w:rPr>
      </w:pPr>
      <w:r w:rsidRPr="00A42FC7">
        <w:rPr>
          <w:rFonts w:ascii="Times New Roman" w:hAnsi="Times New Roman" w:cs="Times New Roman"/>
          <w:b/>
          <w:bCs/>
          <w:sz w:val="24"/>
          <w:szCs w:val="24"/>
        </w:rPr>
        <w:t>Statistics references</w:t>
      </w:r>
    </w:p>
    <w:p w14:paraId="54A5EE1B" w14:textId="77777777" w:rsidR="00643AF4" w:rsidRPr="00A42FC7" w:rsidRDefault="00643AF4" w:rsidP="00643AF4">
      <w:pPr>
        <w:pStyle w:val="Textodenotaderodap"/>
        <w:jc w:val="both"/>
        <w:rPr>
          <w:rFonts w:ascii="Times New Roman" w:hAnsi="Times New Roman" w:cs="Times New Roman"/>
          <w:sz w:val="24"/>
          <w:szCs w:val="24"/>
        </w:rPr>
      </w:pPr>
      <w:r w:rsidRPr="00A42FC7">
        <w:rPr>
          <w:rFonts w:ascii="Times New Roman" w:hAnsi="Times New Roman" w:cs="Times New Roman"/>
          <w:sz w:val="24"/>
          <w:szCs w:val="24"/>
        </w:rPr>
        <w:t xml:space="preserve">Kemp S, ‘Digital 2022: April Global </w:t>
      </w:r>
      <w:proofErr w:type="spellStart"/>
      <w:r w:rsidRPr="00A42FC7">
        <w:rPr>
          <w:rFonts w:ascii="Times New Roman" w:hAnsi="Times New Roman" w:cs="Times New Roman"/>
          <w:sz w:val="24"/>
          <w:szCs w:val="24"/>
        </w:rPr>
        <w:t>Statshot</w:t>
      </w:r>
      <w:proofErr w:type="spellEnd"/>
      <w:r w:rsidRPr="00A42FC7">
        <w:rPr>
          <w:rFonts w:ascii="Times New Roman" w:hAnsi="Times New Roman" w:cs="Times New Roman"/>
          <w:sz w:val="24"/>
          <w:szCs w:val="24"/>
        </w:rPr>
        <w:t xml:space="preserve"> Report’ (</w:t>
      </w:r>
      <w:proofErr w:type="spellStart"/>
      <w:r w:rsidRPr="00A42FC7">
        <w:rPr>
          <w:rFonts w:ascii="Times New Roman" w:hAnsi="Times New Roman" w:cs="Times New Roman"/>
          <w:sz w:val="24"/>
          <w:szCs w:val="24"/>
        </w:rPr>
        <w:t>DataReportal</w:t>
      </w:r>
      <w:proofErr w:type="spellEnd"/>
      <w:r w:rsidRPr="00A42FC7">
        <w:rPr>
          <w:rFonts w:ascii="Times New Roman" w:hAnsi="Times New Roman" w:cs="Times New Roman"/>
          <w:sz w:val="24"/>
          <w:szCs w:val="24"/>
        </w:rPr>
        <w:t xml:space="preserve">, 21 April 2022) &lt;https://datareportal.com/reports/digital-2022-april-global-statshot&gt; </w:t>
      </w:r>
    </w:p>
    <w:p w14:paraId="7CAC5D84" w14:textId="77777777" w:rsidR="00643AF4" w:rsidRPr="00A42FC7" w:rsidRDefault="00643AF4" w:rsidP="00643AF4">
      <w:pPr>
        <w:spacing w:line="240" w:lineRule="auto"/>
        <w:jc w:val="both"/>
        <w:rPr>
          <w:rFonts w:ascii="Times New Roman" w:hAnsi="Times New Roman" w:cs="Times New Roman"/>
          <w:b/>
          <w:bCs/>
          <w:sz w:val="24"/>
          <w:szCs w:val="24"/>
        </w:rPr>
      </w:pPr>
    </w:p>
    <w:p w14:paraId="7B8C9DBD" w14:textId="77777777" w:rsidR="00643AF4" w:rsidRPr="00A42FC7" w:rsidRDefault="00643AF4" w:rsidP="00643AF4">
      <w:pPr>
        <w:spacing w:line="240" w:lineRule="auto"/>
        <w:jc w:val="both"/>
        <w:rPr>
          <w:rFonts w:ascii="Times New Roman" w:hAnsi="Times New Roman" w:cs="Times New Roman"/>
          <w:b/>
          <w:bCs/>
          <w:sz w:val="24"/>
          <w:szCs w:val="24"/>
        </w:rPr>
      </w:pPr>
      <w:r w:rsidRPr="00A42FC7">
        <w:rPr>
          <w:rFonts w:ascii="Times New Roman" w:hAnsi="Times New Roman" w:cs="Times New Roman"/>
          <w:b/>
          <w:bCs/>
          <w:sz w:val="24"/>
          <w:szCs w:val="24"/>
        </w:rPr>
        <w:t>Speeches references</w:t>
      </w:r>
    </w:p>
    <w:p w14:paraId="5C8C678D" w14:textId="77777777" w:rsidR="00643AF4" w:rsidRPr="00A42FC7" w:rsidRDefault="00643AF4" w:rsidP="00643AF4">
      <w:pPr>
        <w:spacing w:line="240" w:lineRule="auto"/>
        <w:jc w:val="both"/>
        <w:rPr>
          <w:rFonts w:ascii="Times New Roman" w:hAnsi="Times New Roman" w:cs="Times New Roman"/>
          <w:i/>
          <w:iCs/>
          <w:sz w:val="24"/>
          <w:szCs w:val="24"/>
        </w:rPr>
      </w:pPr>
      <w:r w:rsidRPr="00A42FC7">
        <w:rPr>
          <w:rFonts w:ascii="Times New Roman" w:hAnsi="Times New Roman" w:cs="Times New Roman"/>
          <w:sz w:val="24"/>
          <w:szCs w:val="24"/>
        </w:rPr>
        <w:t>Reding V, ‘The EU Data Protection Reform 2012: Making Europe the Standard Setter for Modern Data Protection Rules in the Digital Age’ (Speech delivered at Innovation Conference Digital, Life, Design, Munich, 22 January 2012), 5 &lt;http://europa.eu/rapid/pressReleasesAction.do?reference=SPEECH/12/26&amp;format=PDF&gt;</w:t>
      </w:r>
    </w:p>
    <w:p w14:paraId="116D6ADC" w14:textId="77777777" w:rsidR="00643AF4" w:rsidRPr="00A42FC7" w:rsidRDefault="00643AF4" w:rsidP="00643AF4">
      <w:pPr>
        <w:spacing w:line="240" w:lineRule="auto"/>
        <w:jc w:val="both"/>
        <w:rPr>
          <w:rFonts w:ascii="Times New Roman" w:hAnsi="Times New Roman" w:cs="Times New Roman"/>
          <w:b/>
          <w:bCs/>
          <w:sz w:val="24"/>
          <w:szCs w:val="24"/>
        </w:rPr>
      </w:pPr>
    </w:p>
    <w:p w14:paraId="54CE2375" w14:textId="77777777" w:rsidR="00481564" w:rsidRPr="00A43DB3" w:rsidRDefault="00481564" w:rsidP="00481564">
      <w:pPr>
        <w:spacing w:line="360" w:lineRule="auto"/>
        <w:rPr>
          <w:rFonts w:ascii="Times New Roman" w:hAnsi="Times New Roman" w:cs="Times New Roman"/>
          <w:sz w:val="24"/>
          <w:szCs w:val="24"/>
        </w:rPr>
      </w:pPr>
    </w:p>
    <w:p w14:paraId="033323D6" w14:textId="77777777" w:rsidR="00481564" w:rsidRPr="00A43DB3" w:rsidRDefault="00481564" w:rsidP="00481564">
      <w:pPr>
        <w:spacing w:line="360" w:lineRule="auto"/>
        <w:rPr>
          <w:rFonts w:ascii="Times New Roman" w:hAnsi="Times New Roman" w:cs="Times New Roman"/>
          <w:sz w:val="24"/>
          <w:szCs w:val="24"/>
        </w:rPr>
      </w:pPr>
    </w:p>
    <w:p w14:paraId="5BF28489" w14:textId="77777777" w:rsidR="00481564" w:rsidRPr="00A43DB3" w:rsidRDefault="00481564" w:rsidP="00481564">
      <w:pPr>
        <w:spacing w:line="360" w:lineRule="auto"/>
        <w:rPr>
          <w:rFonts w:ascii="Times New Roman" w:hAnsi="Times New Roman" w:cs="Times New Roman"/>
          <w:sz w:val="24"/>
          <w:szCs w:val="24"/>
        </w:rPr>
      </w:pPr>
    </w:p>
    <w:p w14:paraId="01D353AB" w14:textId="77777777" w:rsidR="00481564" w:rsidRPr="00A43DB3" w:rsidRDefault="00481564" w:rsidP="00481564">
      <w:pPr>
        <w:spacing w:line="360" w:lineRule="auto"/>
        <w:rPr>
          <w:rFonts w:ascii="Times New Roman" w:hAnsi="Times New Roman" w:cs="Times New Roman"/>
          <w:sz w:val="24"/>
          <w:szCs w:val="24"/>
        </w:rPr>
      </w:pPr>
    </w:p>
    <w:p w14:paraId="5AA54AF4" w14:textId="12395FD0" w:rsidR="00481564" w:rsidRDefault="00481564" w:rsidP="00481564">
      <w:pPr>
        <w:spacing w:after="0" w:line="360" w:lineRule="auto"/>
        <w:jc w:val="both"/>
        <w:rPr>
          <w:rFonts w:ascii="Times New Roman" w:hAnsi="Times New Roman" w:cs="Times New Roman"/>
          <w:sz w:val="24"/>
          <w:szCs w:val="24"/>
        </w:rPr>
      </w:pPr>
    </w:p>
    <w:p w14:paraId="3E1D7AFD" w14:textId="77777777" w:rsidR="00481564" w:rsidRPr="00481564" w:rsidRDefault="00481564" w:rsidP="00481564">
      <w:pPr>
        <w:spacing w:after="0" w:line="360" w:lineRule="auto"/>
        <w:jc w:val="both"/>
        <w:rPr>
          <w:rFonts w:ascii="Times New Roman" w:hAnsi="Times New Roman" w:cs="Times New Roman"/>
          <w:sz w:val="24"/>
          <w:szCs w:val="24"/>
        </w:rPr>
      </w:pPr>
    </w:p>
    <w:sectPr w:rsidR="00481564" w:rsidRPr="00481564" w:rsidSect="00845D1E">
      <w:pgSz w:w="11906" w:h="16838"/>
      <w:pgMar w:top="1418" w:right="1134" w:bottom="1418" w:left="226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B085E7" w14:textId="77777777" w:rsidR="000E5787" w:rsidRDefault="000E5787" w:rsidP="00481564">
      <w:pPr>
        <w:spacing w:after="0" w:line="240" w:lineRule="auto"/>
      </w:pPr>
      <w:r>
        <w:separator/>
      </w:r>
    </w:p>
  </w:endnote>
  <w:endnote w:type="continuationSeparator" w:id="0">
    <w:p w14:paraId="61184073" w14:textId="77777777" w:rsidR="000E5787" w:rsidRDefault="000E5787" w:rsidP="00481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5521013"/>
      <w:docPartObj>
        <w:docPartGallery w:val="Page Numbers (Bottom of Page)"/>
        <w:docPartUnique/>
      </w:docPartObj>
    </w:sdtPr>
    <w:sdtContent>
      <w:p w14:paraId="45581E0F" w14:textId="2C5F34D4" w:rsidR="007D69B0" w:rsidRDefault="007D69B0">
        <w:pPr>
          <w:pStyle w:val="Rodap"/>
          <w:jc w:val="right"/>
        </w:pPr>
        <w:r>
          <w:fldChar w:fldCharType="begin"/>
        </w:r>
        <w:r>
          <w:instrText>PAGE   \* MERGEFORMAT</w:instrText>
        </w:r>
        <w:r>
          <w:fldChar w:fldCharType="separate"/>
        </w:r>
        <w:r>
          <w:rPr>
            <w:lang w:val="pt-BR"/>
          </w:rPr>
          <w:t>2</w:t>
        </w:r>
        <w:r>
          <w:fldChar w:fldCharType="end"/>
        </w:r>
      </w:p>
    </w:sdtContent>
  </w:sdt>
  <w:p w14:paraId="38F51D04" w14:textId="77777777" w:rsidR="007D69B0" w:rsidRDefault="007D69B0">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76850C" w14:textId="77777777" w:rsidR="000E5787" w:rsidRDefault="000E5787" w:rsidP="00481564">
      <w:pPr>
        <w:spacing w:after="0" w:line="240" w:lineRule="auto"/>
      </w:pPr>
      <w:r>
        <w:separator/>
      </w:r>
    </w:p>
  </w:footnote>
  <w:footnote w:type="continuationSeparator" w:id="0">
    <w:p w14:paraId="77501C73" w14:textId="77777777" w:rsidR="000E5787" w:rsidRDefault="000E5787" w:rsidP="00481564">
      <w:pPr>
        <w:spacing w:after="0" w:line="240" w:lineRule="auto"/>
      </w:pPr>
      <w:r>
        <w:continuationSeparator/>
      </w:r>
    </w:p>
  </w:footnote>
  <w:footnote w:id="1">
    <w:p w14:paraId="233D6DB6" w14:textId="77777777" w:rsidR="00481564" w:rsidRDefault="00481564" w:rsidP="00481564">
      <w:pPr>
        <w:pStyle w:val="Textodenotaderodap"/>
      </w:pPr>
      <w:r>
        <w:rPr>
          <w:rStyle w:val="Refdenotaderodap"/>
        </w:rPr>
        <w:footnoteRef/>
      </w:r>
      <w:r>
        <w:t xml:space="preserve"> </w:t>
      </w:r>
      <w:bookmarkStart w:id="0" w:name="_Hlk111706419"/>
      <w:r>
        <w:t>Simon Kemp, ‘Digital 2022: April Global Statshot Report’ (DataReportal, 21 April 2022) &lt;</w:t>
      </w:r>
      <w:r w:rsidRPr="00E9095E">
        <w:t>https://datareportal.com/reports/digital-2022-april-global-statshot</w:t>
      </w:r>
      <w:r>
        <w:t>&gt; accessed 03 June 2022</w:t>
      </w:r>
    </w:p>
    <w:bookmarkEnd w:id="0"/>
  </w:footnote>
  <w:footnote w:id="2">
    <w:p w14:paraId="06A6A781" w14:textId="77777777" w:rsidR="00481564" w:rsidRDefault="00481564" w:rsidP="00481564">
      <w:pPr>
        <w:pStyle w:val="Textodenotaderodap"/>
      </w:pPr>
      <w:r>
        <w:rPr>
          <w:rStyle w:val="Refdenotaderodap"/>
        </w:rPr>
        <w:footnoteRef/>
      </w:r>
      <w:r>
        <w:t xml:space="preserve"> Viktor Mayer-</w:t>
      </w:r>
      <w:r w:rsidRPr="00DA624A">
        <w:t>Schönberger</w:t>
      </w:r>
      <w:r>
        <w:t xml:space="preserve">, </w:t>
      </w:r>
      <w:r w:rsidRPr="00B50E18">
        <w:rPr>
          <w:i/>
          <w:iCs/>
        </w:rPr>
        <w:t xml:space="preserve">Delete: the </w:t>
      </w:r>
      <w:r>
        <w:rPr>
          <w:i/>
          <w:iCs/>
        </w:rPr>
        <w:t>V</w:t>
      </w:r>
      <w:r w:rsidRPr="00B50E18">
        <w:rPr>
          <w:i/>
          <w:iCs/>
        </w:rPr>
        <w:t xml:space="preserve">irtue of </w:t>
      </w:r>
      <w:r>
        <w:rPr>
          <w:i/>
          <w:iCs/>
        </w:rPr>
        <w:t>F</w:t>
      </w:r>
      <w:r w:rsidRPr="00B50E18">
        <w:rPr>
          <w:i/>
          <w:iCs/>
        </w:rPr>
        <w:t xml:space="preserve">orgetting in the </w:t>
      </w:r>
      <w:r>
        <w:rPr>
          <w:i/>
          <w:iCs/>
        </w:rPr>
        <w:t>D</w:t>
      </w:r>
      <w:r w:rsidRPr="00B50E18">
        <w:rPr>
          <w:i/>
          <w:iCs/>
        </w:rPr>
        <w:t xml:space="preserve">igital </w:t>
      </w:r>
      <w:r>
        <w:rPr>
          <w:i/>
          <w:iCs/>
        </w:rPr>
        <w:t>A</w:t>
      </w:r>
      <w:r w:rsidRPr="00B50E18">
        <w:rPr>
          <w:i/>
          <w:iCs/>
        </w:rPr>
        <w:t>ge</w:t>
      </w:r>
      <w:r>
        <w:t xml:space="preserve"> (Princeton University Press 2009) 45.</w:t>
      </w:r>
    </w:p>
  </w:footnote>
  <w:footnote w:id="3">
    <w:p w14:paraId="4274B5D0" w14:textId="77777777" w:rsidR="00481564" w:rsidRDefault="00481564" w:rsidP="00481564">
      <w:pPr>
        <w:pStyle w:val="Textodenotaderodap"/>
      </w:pPr>
      <w:r>
        <w:rPr>
          <w:rStyle w:val="Refdenotaderodap"/>
        </w:rPr>
        <w:footnoteRef/>
      </w:r>
      <w:r>
        <w:t xml:space="preserve"> </w:t>
      </w:r>
      <w:bookmarkStart w:id="1" w:name="_Hlk111730734"/>
      <w:bookmarkStart w:id="2" w:name="_Hlk111707937"/>
      <w:r>
        <w:t xml:space="preserve">Council </w:t>
      </w:r>
      <w:r w:rsidRPr="006E4AB6">
        <w:t xml:space="preserve">Directive </w:t>
      </w:r>
      <w:r>
        <w:t xml:space="preserve">(EC) </w:t>
      </w:r>
      <w:r w:rsidRPr="006E4AB6">
        <w:t xml:space="preserve">95/46 </w:t>
      </w:r>
      <w:r w:rsidRPr="0053154C">
        <w:t xml:space="preserve">on the protection of individuals </w:t>
      </w:r>
      <w:r w:rsidRPr="0053154C">
        <w:t xml:space="preserve">with regard to the processing of personal data and on the free movement of such data </w:t>
      </w:r>
      <w:r>
        <w:t>[1995] OJ L281/31 (Data Protection Directive).</w:t>
      </w:r>
      <w:bookmarkEnd w:id="1"/>
    </w:p>
    <w:bookmarkEnd w:id="2"/>
  </w:footnote>
  <w:footnote w:id="4">
    <w:p w14:paraId="126FBE03" w14:textId="77777777" w:rsidR="00481564" w:rsidRDefault="00481564" w:rsidP="00481564">
      <w:pPr>
        <w:pStyle w:val="Textodenotaderodap"/>
      </w:pPr>
      <w:r>
        <w:rPr>
          <w:rStyle w:val="Refdenotaderodap"/>
        </w:rPr>
        <w:footnoteRef/>
      </w:r>
      <w:r>
        <w:t xml:space="preserve"> </w:t>
      </w:r>
      <w:bookmarkStart w:id="3" w:name="_Hlk111730865"/>
      <w:bookmarkStart w:id="4" w:name="_Hlk111708150"/>
      <w:r w:rsidRPr="006660E6">
        <w:t>Regulation (EU) 2016/679</w:t>
      </w:r>
      <w:r>
        <w:t xml:space="preserve"> </w:t>
      </w:r>
      <w:r w:rsidRPr="006660E6">
        <w:t xml:space="preserve">on the protection of natural persons </w:t>
      </w:r>
      <w:r w:rsidRPr="006660E6">
        <w:t>with regard to the processing of personal data and on the free movement of such data</w:t>
      </w:r>
      <w:r>
        <w:t xml:space="preserve"> [2016] OJ L199/1 (General Data Protection Regulation).</w:t>
      </w:r>
      <w:bookmarkEnd w:id="3"/>
    </w:p>
    <w:bookmarkEnd w:id="4"/>
  </w:footnote>
  <w:footnote w:id="5">
    <w:p w14:paraId="63D93D93" w14:textId="77777777" w:rsidR="00481564" w:rsidRPr="00F74D91" w:rsidRDefault="00481564" w:rsidP="00481564">
      <w:pPr>
        <w:pStyle w:val="Textodenotaderodap"/>
      </w:pPr>
      <w:r>
        <w:rPr>
          <w:rStyle w:val="Refdenotaderodap"/>
        </w:rPr>
        <w:footnoteRef/>
      </w:r>
      <w:r>
        <w:t xml:space="preserve"> </w:t>
      </w:r>
      <w:bookmarkStart w:id="5" w:name="_Hlk111708457"/>
      <w:r w:rsidRPr="00F74D91">
        <w:t>Case C-131/12</w:t>
      </w:r>
      <w:r>
        <w:t xml:space="preserve"> </w:t>
      </w:r>
      <w:r w:rsidRPr="00F74D91">
        <w:rPr>
          <w:i/>
          <w:iCs/>
        </w:rPr>
        <w:t>Google Spain v AEPD</w:t>
      </w:r>
      <w:r>
        <w:rPr>
          <w:i/>
          <w:iCs/>
        </w:rPr>
        <w:t xml:space="preserve"> </w:t>
      </w:r>
      <w:r>
        <w:t>[2014] OJ C212/4</w:t>
      </w:r>
    </w:p>
    <w:bookmarkEnd w:id="5"/>
  </w:footnote>
  <w:footnote w:id="6">
    <w:p w14:paraId="201C0AFE" w14:textId="77777777" w:rsidR="00481564" w:rsidRDefault="00481564" w:rsidP="00481564">
      <w:pPr>
        <w:pStyle w:val="Textodenotaderodap"/>
      </w:pPr>
      <w:r>
        <w:rPr>
          <w:rStyle w:val="Refdenotaderodap"/>
        </w:rPr>
        <w:footnoteRef/>
      </w:r>
      <w:r>
        <w:t xml:space="preserve"> </w:t>
      </w:r>
      <w:bookmarkStart w:id="6" w:name="_Hlk111708640"/>
      <w:r w:rsidRPr="00F74D91">
        <w:t>Case C-136/17</w:t>
      </w:r>
      <w:r>
        <w:t xml:space="preserve"> </w:t>
      </w:r>
      <w:r w:rsidRPr="00B121CE">
        <w:rPr>
          <w:i/>
          <w:iCs/>
        </w:rPr>
        <w:t>GC and Others v CNIL</w:t>
      </w:r>
      <w:r>
        <w:t xml:space="preserve"> [2019] </w:t>
      </w:r>
      <w:r w:rsidRPr="00B121CE">
        <w:t>ECLI:EU:</w:t>
      </w:r>
      <w:r w:rsidRPr="00B121CE">
        <w:t>C:2019:773</w:t>
      </w:r>
      <w:bookmarkEnd w:id="6"/>
    </w:p>
  </w:footnote>
  <w:footnote w:id="7">
    <w:p w14:paraId="6EDE7CE6" w14:textId="77777777" w:rsidR="00481564" w:rsidRDefault="00481564" w:rsidP="00481564">
      <w:pPr>
        <w:pStyle w:val="Textodenotaderodap"/>
      </w:pPr>
      <w:r>
        <w:rPr>
          <w:rStyle w:val="Refdenotaderodap"/>
        </w:rPr>
        <w:footnoteRef/>
      </w:r>
      <w:r>
        <w:t xml:space="preserve"> </w:t>
      </w:r>
      <w:r w:rsidRPr="00B121CE">
        <w:t>Case C-507/17</w:t>
      </w:r>
      <w:r>
        <w:t xml:space="preserve"> </w:t>
      </w:r>
      <w:r w:rsidRPr="00B121CE">
        <w:rPr>
          <w:i/>
          <w:iCs/>
        </w:rPr>
        <w:t>Google LLC v CNIL</w:t>
      </w:r>
      <w:r>
        <w:t xml:space="preserve"> [2019] </w:t>
      </w:r>
      <w:r w:rsidRPr="00B121CE">
        <w:t>ECLI:EU:</w:t>
      </w:r>
      <w:r w:rsidRPr="00B121CE">
        <w:t>C:2019:772</w:t>
      </w:r>
    </w:p>
  </w:footnote>
  <w:footnote w:id="8">
    <w:p w14:paraId="686A8075" w14:textId="77777777" w:rsidR="00481564" w:rsidRDefault="00481564" w:rsidP="00481564">
      <w:pPr>
        <w:pStyle w:val="Textodenotaderodap"/>
      </w:pPr>
      <w:r>
        <w:rPr>
          <w:rStyle w:val="Refdenotaderodap"/>
        </w:rPr>
        <w:footnoteRef/>
      </w:r>
      <w:r>
        <w:t xml:space="preserve"> </w:t>
      </w:r>
      <w:bookmarkStart w:id="7" w:name="_Hlk111709372"/>
      <w:r w:rsidRPr="00D541AD">
        <w:t>Charter of Fundamental Rights of the European Union</w:t>
      </w:r>
      <w:r>
        <w:t xml:space="preserve"> [2000] OJ C364/1</w:t>
      </w:r>
      <w:bookmarkEnd w:id="7"/>
      <w:r>
        <w:t>, art 7.</w:t>
      </w:r>
    </w:p>
  </w:footnote>
  <w:footnote w:id="9">
    <w:p w14:paraId="58CF00EA" w14:textId="77777777" w:rsidR="00481564" w:rsidRDefault="00481564" w:rsidP="00481564">
      <w:pPr>
        <w:pStyle w:val="Textodenotaderodap"/>
      </w:pPr>
      <w:r>
        <w:rPr>
          <w:rStyle w:val="Refdenotaderodap"/>
        </w:rPr>
        <w:footnoteRef/>
      </w:r>
      <w:r>
        <w:t xml:space="preserve"> ibid, art 8.</w:t>
      </w:r>
    </w:p>
  </w:footnote>
  <w:footnote w:id="10">
    <w:p w14:paraId="1862E6E1" w14:textId="77777777" w:rsidR="00481564" w:rsidRDefault="00481564" w:rsidP="00481564">
      <w:pPr>
        <w:pStyle w:val="Textodenotaderodap"/>
      </w:pPr>
      <w:r>
        <w:rPr>
          <w:rStyle w:val="Refdenotaderodap"/>
        </w:rPr>
        <w:footnoteRef/>
      </w:r>
      <w:r>
        <w:t xml:space="preserve"> </w:t>
      </w:r>
      <w:bookmarkStart w:id="8" w:name="_Hlk111709822"/>
      <w:r w:rsidRPr="00900B7E">
        <w:t>European Convention for the Protection of Human Rights and Fundamental Freedoms, as amended by Protocols Nos. 11</w:t>
      </w:r>
      <w:r>
        <w:t xml:space="preserve">, </w:t>
      </w:r>
      <w:r w:rsidRPr="00900B7E">
        <w:t>14</w:t>
      </w:r>
      <w:r>
        <w:t xml:space="preserve"> and 15 [1950] </w:t>
      </w:r>
      <w:r w:rsidRPr="00900B7E">
        <w:t>ETS 5</w:t>
      </w:r>
      <w:r>
        <w:t>/1</w:t>
      </w:r>
      <w:bookmarkEnd w:id="8"/>
      <w:r>
        <w:t>, art 8(1).</w:t>
      </w:r>
    </w:p>
  </w:footnote>
  <w:footnote w:id="11">
    <w:p w14:paraId="253FFF5C" w14:textId="77777777" w:rsidR="00481564" w:rsidRDefault="00481564" w:rsidP="00481564">
      <w:pPr>
        <w:pStyle w:val="Textodenotaderodap"/>
      </w:pPr>
      <w:r>
        <w:rPr>
          <w:rStyle w:val="Refdenotaderodap"/>
        </w:rPr>
        <w:footnoteRef/>
      </w:r>
      <w:r>
        <w:t xml:space="preserve"> ibid, art 8(2).</w:t>
      </w:r>
    </w:p>
  </w:footnote>
  <w:footnote w:id="12">
    <w:p w14:paraId="23343A0D" w14:textId="77777777" w:rsidR="00481564" w:rsidRDefault="00481564" w:rsidP="00481564">
      <w:pPr>
        <w:pStyle w:val="Textodenotaderodap"/>
      </w:pPr>
      <w:r>
        <w:rPr>
          <w:rStyle w:val="Refdenotaderodap"/>
        </w:rPr>
        <w:footnoteRef/>
      </w:r>
      <w:r>
        <w:t xml:space="preserve"> Universal Declaration of Human Rights [1948]</w:t>
      </w:r>
      <w:r w:rsidRPr="00060905">
        <w:t xml:space="preserve"> </w:t>
      </w:r>
      <w:r w:rsidRPr="003B4F9B">
        <w:t>217 A (III)</w:t>
      </w:r>
      <w:r>
        <w:t>, art 12.</w:t>
      </w:r>
    </w:p>
  </w:footnote>
  <w:footnote w:id="13">
    <w:p w14:paraId="25A3BF18" w14:textId="77777777" w:rsidR="00481564" w:rsidRDefault="00481564" w:rsidP="00481564">
      <w:pPr>
        <w:pStyle w:val="Textodenotaderodap"/>
      </w:pPr>
      <w:r>
        <w:rPr>
          <w:rStyle w:val="Refdenotaderodap"/>
        </w:rPr>
        <w:footnoteRef/>
      </w:r>
      <w:r>
        <w:t xml:space="preserve"> ibid, art 19.</w:t>
      </w:r>
    </w:p>
  </w:footnote>
  <w:footnote w:id="14">
    <w:p w14:paraId="15E6C24E" w14:textId="77777777" w:rsidR="00481564" w:rsidRDefault="00481564" w:rsidP="00481564">
      <w:pPr>
        <w:pStyle w:val="Textodenotaderodap"/>
      </w:pPr>
      <w:r>
        <w:rPr>
          <w:rStyle w:val="Refdenotaderodap"/>
        </w:rPr>
        <w:footnoteRef/>
      </w:r>
      <w:r>
        <w:t xml:space="preserve"> GDPR (n 4).</w:t>
      </w:r>
    </w:p>
  </w:footnote>
  <w:footnote w:id="15">
    <w:p w14:paraId="50B8E1DB" w14:textId="77777777" w:rsidR="00481564" w:rsidRDefault="00481564" w:rsidP="00481564">
      <w:pPr>
        <w:pStyle w:val="Textodenotaderodap"/>
      </w:pPr>
      <w:r>
        <w:rPr>
          <w:rStyle w:val="Refdenotaderodap"/>
        </w:rPr>
        <w:footnoteRef/>
      </w:r>
      <w:r>
        <w:t xml:space="preserve"> ibid, art 1(2).</w:t>
      </w:r>
    </w:p>
  </w:footnote>
  <w:footnote w:id="16">
    <w:p w14:paraId="5FBD7F40" w14:textId="77777777" w:rsidR="00481564" w:rsidRDefault="00481564" w:rsidP="00481564">
      <w:pPr>
        <w:pStyle w:val="Textodenotaderodap"/>
      </w:pPr>
      <w:r>
        <w:rPr>
          <w:rStyle w:val="Refdenotaderodap"/>
        </w:rPr>
        <w:footnoteRef/>
      </w:r>
      <w:r>
        <w:t xml:space="preserve"> ibid, art 17(3)(a).</w:t>
      </w:r>
    </w:p>
  </w:footnote>
  <w:footnote w:id="17">
    <w:p w14:paraId="03C79B49" w14:textId="77777777" w:rsidR="00481564" w:rsidRPr="007D33B3" w:rsidRDefault="00481564" w:rsidP="00481564">
      <w:pPr>
        <w:pStyle w:val="Textodenotaderodap"/>
      </w:pPr>
      <w:r>
        <w:rPr>
          <w:rStyle w:val="Refdenotaderodap"/>
        </w:rPr>
        <w:footnoteRef/>
      </w:r>
      <w:r>
        <w:t xml:space="preserve"> </w:t>
      </w:r>
      <w:bookmarkStart w:id="9" w:name="_Hlk111488707"/>
      <w:r>
        <w:t xml:space="preserve">Justin Parkinson, ‘The Perils of Streisand Effect’ </w:t>
      </w:r>
      <w:r w:rsidRPr="00574DAC">
        <w:rPr>
          <w:i/>
          <w:iCs/>
        </w:rPr>
        <w:t>BBC News</w:t>
      </w:r>
      <w:r>
        <w:t xml:space="preserve"> (London, </w:t>
      </w:r>
      <w:r w:rsidRPr="004F3DE4">
        <w:t>31</w:t>
      </w:r>
      <w:r>
        <w:t xml:space="preserve"> July </w:t>
      </w:r>
      <w:r w:rsidRPr="004F3DE4">
        <w:t>2014</w:t>
      </w:r>
      <w:r>
        <w:t>)</w:t>
      </w:r>
      <w:r w:rsidRPr="004F3DE4">
        <w:t xml:space="preserve"> </w:t>
      </w:r>
      <w:r w:rsidRPr="007D33B3">
        <w:t>&lt;</w:t>
      </w:r>
      <w:hyperlink r:id="rId1" w:history="1"/>
      <w:r w:rsidRPr="00657D76">
        <w:t>https://www.bbc.com/news/magazine-28562156</w:t>
      </w:r>
      <w:r>
        <w:t>&gt; accessed 19 May 2022</w:t>
      </w:r>
    </w:p>
    <w:bookmarkEnd w:id="9"/>
  </w:footnote>
  <w:footnote w:id="18">
    <w:p w14:paraId="1B9CFB9D" w14:textId="77777777" w:rsidR="00481564" w:rsidRDefault="00481564" w:rsidP="00481564">
      <w:pPr>
        <w:pStyle w:val="Textodenotaderodap"/>
      </w:pPr>
      <w:r>
        <w:rPr>
          <w:rStyle w:val="Refdenotaderodap"/>
        </w:rPr>
        <w:footnoteRef/>
      </w:r>
      <w:r>
        <w:t xml:space="preserve"> </w:t>
      </w:r>
      <w:r w:rsidRPr="00D541AD">
        <w:t>Charter of Fundamental Rights of the European Union</w:t>
      </w:r>
      <w:r>
        <w:t xml:space="preserve"> (n 8), art 11. </w:t>
      </w:r>
    </w:p>
  </w:footnote>
  <w:footnote w:id="19">
    <w:p w14:paraId="706D836F" w14:textId="77777777" w:rsidR="00481564" w:rsidRDefault="00481564" w:rsidP="00481564">
      <w:pPr>
        <w:pStyle w:val="Textodenotaderodap"/>
      </w:pPr>
      <w:r>
        <w:rPr>
          <w:rStyle w:val="Refdenotaderodap"/>
        </w:rPr>
        <w:footnoteRef/>
      </w:r>
      <w:r>
        <w:t xml:space="preserve"> ibid, art 11(1).</w:t>
      </w:r>
    </w:p>
  </w:footnote>
  <w:footnote w:id="20">
    <w:p w14:paraId="34582B84" w14:textId="77777777" w:rsidR="00481564" w:rsidRPr="005125A9" w:rsidRDefault="00481564" w:rsidP="00481564">
      <w:pPr>
        <w:pStyle w:val="Textodenotaderodap"/>
      </w:pPr>
      <w:r>
        <w:rPr>
          <w:rStyle w:val="Refdenotaderodap"/>
        </w:rPr>
        <w:footnoteRef/>
      </w:r>
      <w:r>
        <w:t xml:space="preserve"> </w:t>
      </w:r>
      <w:bookmarkStart w:id="10" w:name="_Hlk111743219"/>
      <w:bookmarkStart w:id="11" w:name="_Hlk111711396"/>
      <w:r>
        <w:t>Explanations Relating to the Charter of Fundamental Rights [2007] OJ C303/17 (Charter of Fundamental Rights of the European Union 2000)</w:t>
      </w:r>
      <w:bookmarkEnd w:id="10"/>
      <w:r>
        <w:t xml:space="preserve"> 20</w:t>
      </w:r>
    </w:p>
    <w:bookmarkEnd w:id="11"/>
  </w:footnote>
  <w:footnote w:id="21">
    <w:p w14:paraId="358A39E6" w14:textId="77777777" w:rsidR="00481564" w:rsidRDefault="00481564" w:rsidP="00481564">
      <w:pPr>
        <w:pStyle w:val="Textodenotaderodap"/>
      </w:pPr>
      <w:r>
        <w:rPr>
          <w:rStyle w:val="Refdenotaderodap"/>
        </w:rPr>
        <w:footnoteRef/>
      </w:r>
      <w:r>
        <w:t xml:space="preserve"> </w:t>
      </w:r>
      <w:bookmarkStart w:id="12" w:name="_Hlk111711755"/>
      <w:r>
        <w:t xml:space="preserve">Voluntary Submission in support of Motion no. 399.922 [2017] French Council of State. </w:t>
      </w:r>
      <w:r w:rsidRPr="00D800A9">
        <w:t>&lt;https://www.apc.org/sites/default/files/Google_France_Intervention_English.pdf&gt; ac</w:t>
      </w:r>
      <w:r>
        <w:t>cessed 3 July 2022</w:t>
      </w:r>
      <w:bookmarkEnd w:id="12"/>
    </w:p>
  </w:footnote>
  <w:footnote w:id="22">
    <w:p w14:paraId="12DC0952" w14:textId="77777777" w:rsidR="00481564" w:rsidRPr="00D800A9" w:rsidRDefault="00481564" w:rsidP="00481564">
      <w:pPr>
        <w:pStyle w:val="Textodenotaderodap"/>
      </w:pPr>
      <w:r>
        <w:rPr>
          <w:rStyle w:val="Refdenotaderodap"/>
        </w:rPr>
        <w:footnoteRef/>
      </w:r>
      <w:r>
        <w:t xml:space="preserve"> ibid 13.</w:t>
      </w:r>
    </w:p>
  </w:footnote>
  <w:footnote w:id="23">
    <w:p w14:paraId="1E5E3D52" w14:textId="77777777" w:rsidR="00481564" w:rsidRDefault="00481564" w:rsidP="00481564">
      <w:pPr>
        <w:pStyle w:val="Textodenotaderodap"/>
      </w:pPr>
      <w:r>
        <w:rPr>
          <w:rStyle w:val="Refdenotaderodap"/>
        </w:rPr>
        <w:footnoteRef/>
      </w:r>
      <w:r>
        <w:t xml:space="preserve"> Meg Leta Ambrose and </w:t>
      </w:r>
      <w:r>
        <w:t>Jef Ausloos, ‘The Right to Be Forgotten Across the Pond’ [2013] 3(1) Journal of Information Policy, 3 &lt;https://www.jstor.org/stable/10.5325/jinfopoli.3.2013.0001&gt; accessed 10 July 2022</w:t>
      </w:r>
    </w:p>
  </w:footnote>
  <w:footnote w:id="24">
    <w:p w14:paraId="206344EA" w14:textId="77777777" w:rsidR="00481564" w:rsidRDefault="00481564" w:rsidP="00481564">
      <w:pPr>
        <w:pStyle w:val="Textodenotaderodap"/>
      </w:pPr>
      <w:r>
        <w:rPr>
          <w:rStyle w:val="Refdenotaderodap"/>
        </w:rPr>
        <w:footnoteRef/>
      </w:r>
      <w:r>
        <w:t xml:space="preserve"> Michael L. </w:t>
      </w:r>
      <w:r>
        <w:t>Rustad and Sanna Kulevska, ‘Reconceptualizing the Right to be Forgotten to Enable Transatlantic Data Flow’ [2015] 28(2) Harvard Journal of Law &amp; Technology, 411 &lt;</w:t>
      </w:r>
      <w:r w:rsidRPr="00D46BF8">
        <w:t>https://papers.ssrn.com/sol3/papers.cfm?abstract_id=2627383</w:t>
      </w:r>
      <w:r>
        <w:t>&gt; accessed 10 July 2022</w:t>
      </w:r>
    </w:p>
  </w:footnote>
  <w:footnote w:id="25">
    <w:p w14:paraId="1B577B7C" w14:textId="77777777" w:rsidR="00481564" w:rsidRDefault="00481564" w:rsidP="00481564">
      <w:pPr>
        <w:pStyle w:val="Textodenotaderodap"/>
      </w:pPr>
      <w:r>
        <w:rPr>
          <w:rStyle w:val="Refdenotaderodap"/>
        </w:rPr>
        <w:footnoteRef/>
      </w:r>
      <w:r>
        <w:t xml:space="preserve"> </w:t>
      </w:r>
      <w:bookmarkStart w:id="13" w:name="_Hlk111712661"/>
      <w:r>
        <w:t xml:space="preserve">Julia Powles, 'The Case That Won't Be Forgotten' [2015] 47(2) </w:t>
      </w:r>
      <w:r w:rsidRPr="00FA3250">
        <w:t>Loyola University Chicago Law Journal</w:t>
      </w:r>
      <w:r>
        <w:t>, 610 &lt;</w:t>
      </w:r>
      <w:r w:rsidRPr="007C7B89">
        <w:t>https://lawecommons.luc.edu/luclj/vol47/iss2/8/</w:t>
      </w:r>
      <w:r>
        <w:t>&gt; accessed 10 July 2022</w:t>
      </w:r>
      <w:bookmarkEnd w:id="13"/>
    </w:p>
  </w:footnote>
  <w:footnote w:id="26">
    <w:p w14:paraId="0628F98D" w14:textId="77777777" w:rsidR="00481564" w:rsidRDefault="00481564" w:rsidP="00481564">
      <w:pPr>
        <w:pStyle w:val="Textodenotaderodap"/>
      </w:pPr>
      <w:r>
        <w:rPr>
          <w:rStyle w:val="Refdenotaderodap"/>
        </w:rPr>
        <w:footnoteRef/>
      </w:r>
      <w:r>
        <w:t xml:space="preserve"> </w:t>
      </w:r>
      <w:bookmarkStart w:id="14" w:name="_Hlk111712793"/>
      <w:r>
        <w:t xml:space="preserve">David Lindsay, </w:t>
      </w:r>
      <w:r w:rsidRPr="00FA3250">
        <w:rPr>
          <w:i/>
          <w:iCs/>
        </w:rPr>
        <w:t>The ‘right to be forgotten’ in European data protection law. Emerging Challenges in Privacy Law: Comparative Perspectives</w:t>
      </w:r>
      <w:r>
        <w:t xml:space="preserve"> (Cambridge University Press, 2014), </w:t>
      </w:r>
      <w:bookmarkEnd w:id="14"/>
      <w:r>
        <w:t>300</w:t>
      </w:r>
    </w:p>
  </w:footnote>
  <w:footnote w:id="27">
    <w:p w14:paraId="6CFA3DDB" w14:textId="77777777" w:rsidR="00481564" w:rsidRDefault="00481564" w:rsidP="00481564">
      <w:pPr>
        <w:pStyle w:val="Textodenotaderodap"/>
      </w:pPr>
      <w:r>
        <w:rPr>
          <w:rStyle w:val="Refdenotaderodap"/>
        </w:rPr>
        <w:footnoteRef/>
      </w:r>
      <w:r>
        <w:t xml:space="preserve"> </w:t>
      </w:r>
      <w:r w:rsidRPr="004E3E17">
        <w:t xml:space="preserve">Hans </w:t>
      </w:r>
      <w:r w:rsidRPr="004E3E17">
        <w:t>Graux</w:t>
      </w:r>
      <w:r>
        <w:t xml:space="preserve">, </w:t>
      </w:r>
      <w:r w:rsidRPr="004E3E17">
        <w:t xml:space="preserve">Jef Ausloos </w:t>
      </w:r>
      <w:r>
        <w:t xml:space="preserve">and </w:t>
      </w:r>
      <w:r w:rsidRPr="004E3E17">
        <w:t>Peggy Valcke</w:t>
      </w:r>
      <w:r>
        <w:t xml:space="preserve">, ‘The Right to Be Forgotten in the Internet Era’ (2012) </w:t>
      </w:r>
      <w:r w:rsidRPr="00E11386">
        <w:t xml:space="preserve">ICRI Research Paper No. 11 </w:t>
      </w:r>
      <w:r>
        <w:t>&lt;</w:t>
      </w:r>
      <w:r w:rsidRPr="004E3E17">
        <w:t>https://papers.ssrn.com/sol3/papers.cfm?abstract_id=2174896</w:t>
      </w:r>
      <w:r>
        <w:t>&gt; accessed 15 July 2022</w:t>
      </w:r>
    </w:p>
  </w:footnote>
  <w:footnote w:id="28">
    <w:p w14:paraId="5723FE22" w14:textId="77777777" w:rsidR="00481564" w:rsidRDefault="00481564" w:rsidP="00481564">
      <w:pPr>
        <w:pStyle w:val="Textodenotaderodap"/>
      </w:pPr>
      <w:r>
        <w:rPr>
          <w:rStyle w:val="Refdenotaderodap"/>
        </w:rPr>
        <w:footnoteRef/>
      </w:r>
      <w:r>
        <w:t xml:space="preserve"> </w:t>
      </w:r>
      <w:r>
        <w:t xml:space="preserve">Jef Ausloos, </w:t>
      </w:r>
      <w:r w:rsidRPr="00E11386">
        <w:rPr>
          <w:i/>
          <w:iCs/>
        </w:rPr>
        <w:t>The Right to Erasure in EU Data Protection Law</w:t>
      </w:r>
      <w:r>
        <w:rPr>
          <w:i/>
          <w:iCs/>
        </w:rPr>
        <w:t xml:space="preserve">: </w:t>
      </w:r>
      <w:r w:rsidRPr="00440860">
        <w:rPr>
          <w:i/>
          <w:iCs/>
        </w:rPr>
        <w:t>From Individual Rights to Effective Protection</w:t>
      </w:r>
      <w:r>
        <w:t xml:space="preserve"> (Oxford Data Protection &amp; Privacy Law, 2020) 111.</w:t>
      </w:r>
    </w:p>
  </w:footnote>
  <w:footnote w:id="29">
    <w:p w14:paraId="1AD936B2" w14:textId="77777777" w:rsidR="00481564" w:rsidRDefault="00481564" w:rsidP="00481564">
      <w:pPr>
        <w:pStyle w:val="Textodenotaderodap"/>
      </w:pPr>
      <w:r>
        <w:rPr>
          <w:rStyle w:val="Refdenotaderodap"/>
        </w:rPr>
        <w:footnoteRef/>
      </w:r>
      <w:r>
        <w:t xml:space="preserve"> DPD (n 3), art 9; GDPR (n 4), art 85.</w:t>
      </w:r>
    </w:p>
  </w:footnote>
  <w:footnote w:id="30">
    <w:p w14:paraId="1A140410" w14:textId="77777777" w:rsidR="00481564" w:rsidRDefault="00481564" w:rsidP="00481564">
      <w:pPr>
        <w:pStyle w:val="Textodenotaderodap"/>
      </w:pPr>
      <w:r>
        <w:rPr>
          <w:rStyle w:val="Refdenotaderodap"/>
        </w:rPr>
        <w:footnoteRef/>
      </w:r>
      <w:r>
        <w:t xml:space="preserve"> </w:t>
      </w:r>
      <w:bookmarkStart w:id="15" w:name="_Hlk111744510"/>
      <w:r w:rsidRPr="00F06D2A">
        <w:t>OECD Guidelines on the Protection of Privacy and Transborder Flows of Personal Data</w:t>
      </w:r>
      <w:r>
        <w:t xml:space="preserve"> (1980)</w:t>
      </w:r>
      <w:bookmarkEnd w:id="15"/>
      <w:r>
        <w:t>, art. 13(d).</w:t>
      </w:r>
    </w:p>
  </w:footnote>
  <w:footnote w:id="31">
    <w:p w14:paraId="0CEC9289" w14:textId="77777777" w:rsidR="00481564" w:rsidRDefault="00481564" w:rsidP="00481564">
      <w:pPr>
        <w:pStyle w:val="Textodenotaderodap"/>
      </w:pPr>
      <w:r>
        <w:rPr>
          <w:rStyle w:val="Refdenotaderodap"/>
        </w:rPr>
        <w:footnoteRef/>
      </w:r>
      <w:r>
        <w:t xml:space="preserve"> ibid, Explanatory Memorandum 54. </w:t>
      </w:r>
    </w:p>
  </w:footnote>
  <w:footnote w:id="32">
    <w:p w14:paraId="6ABE5880" w14:textId="77777777" w:rsidR="00481564" w:rsidRDefault="00481564" w:rsidP="00481564">
      <w:pPr>
        <w:pStyle w:val="Textodenotaderodap"/>
      </w:pPr>
      <w:r>
        <w:rPr>
          <w:rStyle w:val="Refdenotaderodap"/>
        </w:rPr>
        <w:footnoteRef/>
      </w:r>
      <w:r>
        <w:t xml:space="preserve"> </w:t>
      </w:r>
      <w:bookmarkStart w:id="16" w:name="_Hlk111714140"/>
      <w:r>
        <w:t xml:space="preserve">Council Convention for the Protection of Individuals </w:t>
      </w:r>
      <w:r>
        <w:t>with regard to Automatic Processing of Personal Data [1981] CETS no. 108</w:t>
      </w:r>
      <w:bookmarkEnd w:id="16"/>
      <w:r>
        <w:t>, art 5(e).</w:t>
      </w:r>
    </w:p>
  </w:footnote>
  <w:footnote w:id="33">
    <w:p w14:paraId="23561253" w14:textId="77777777" w:rsidR="00481564" w:rsidRDefault="00481564" w:rsidP="00481564">
      <w:pPr>
        <w:pStyle w:val="Textodenotaderodap"/>
      </w:pPr>
      <w:r>
        <w:rPr>
          <w:rStyle w:val="Refdenotaderodap"/>
        </w:rPr>
        <w:footnoteRef/>
      </w:r>
      <w:r>
        <w:t xml:space="preserve"> Ibid, art 8(c).</w:t>
      </w:r>
    </w:p>
  </w:footnote>
  <w:footnote w:id="34">
    <w:p w14:paraId="3809BC3D" w14:textId="77777777" w:rsidR="00481564" w:rsidRPr="006C33D0" w:rsidRDefault="00481564" w:rsidP="00481564">
      <w:pPr>
        <w:pStyle w:val="Textodenotaderodap"/>
      </w:pPr>
      <w:r>
        <w:rPr>
          <w:rStyle w:val="Refdenotaderodap"/>
        </w:rPr>
        <w:footnoteRef/>
      </w:r>
      <w:r w:rsidRPr="006C33D0">
        <w:t xml:space="preserve"> DP</w:t>
      </w:r>
      <w:r>
        <w:t>D (n 3),</w:t>
      </w:r>
      <w:r w:rsidRPr="006C33D0">
        <w:t xml:space="preserve"> prea</w:t>
      </w:r>
      <w:r>
        <w:t>mble 10.</w:t>
      </w:r>
    </w:p>
  </w:footnote>
  <w:footnote w:id="35">
    <w:p w14:paraId="688751F0" w14:textId="77777777" w:rsidR="00481564" w:rsidRDefault="00481564" w:rsidP="00481564">
      <w:pPr>
        <w:pStyle w:val="Textodenotaderodap"/>
      </w:pPr>
      <w:r>
        <w:rPr>
          <w:rStyle w:val="Refdenotaderodap"/>
        </w:rPr>
        <w:footnoteRef/>
      </w:r>
      <w:r>
        <w:t xml:space="preserve"> ibid, art 6(1)(e).</w:t>
      </w:r>
    </w:p>
  </w:footnote>
  <w:footnote w:id="36">
    <w:p w14:paraId="2A5F65F7" w14:textId="77777777" w:rsidR="00481564" w:rsidRDefault="00481564" w:rsidP="00481564">
      <w:pPr>
        <w:pStyle w:val="Textodenotaderodap"/>
      </w:pPr>
      <w:r>
        <w:rPr>
          <w:rStyle w:val="Refdenotaderodap"/>
        </w:rPr>
        <w:footnoteRef/>
      </w:r>
      <w:r>
        <w:t xml:space="preserve"> ibid, art 12(b).</w:t>
      </w:r>
    </w:p>
  </w:footnote>
  <w:footnote w:id="37">
    <w:p w14:paraId="28D77F49" w14:textId="77777777" w:rsidR="00481564" w:rsidRDefault="00481564" w:rsidP="00481564">
      <w:pPr>
        <w:pStyle w:val="Textodenotaderodap"/>
      </w:pPr>
      <w:r>
        <w:rPr>
          <w:rStyle w:val="Refdenotaderodap"/>
        </w:rPr>
        <w:footnoteRef/>
      </w:r>
      <w:r>
        <w:t xml:space="preserve"> </w:t>
      </w:r>
      <w:bookmarkStart w:id="17" w:name="_Hlk111714374"/>
      <w:bookmarkStart w:id="18" w:name="_Hlk111744835"/>
      <w:r w:rsidRPr="006B2FA5">
        <w:t xml:space="preserve">Bert-Jaap </w:t>
      </w:r>
      <w:r w:rsidRPr="006B2FA5">
        <w:t>Koops</w:t>
      </w:r>
      <w:r>
        <w:t>, ‘</w:t>
      </w:r>
      <w:r w:rsidRPr="00997F4E">
        <w:t xml:space="preserve">Forgetting Footprints, Shunning Shadows. A Critical Analysis </w:t>
      </w:r>
      <w:r w:rsidRPr="00997F4E">
        <w:t>Of The “Right To Be Forgotten” In Big Data Practice</w:t>
      </w:r>
      <w:r>
        <w:t>’ [</w:t>
      </w:r>
      <w:r w:rsidRPr="00997F4E">
        <w:t>2011</w:t>
      </w:r>
      <w:r>
        <w:t>]</w:t>
      </w:r>
      <w:r w:rsidRPr="00997F4E">
        <w:t xml:space="preserve"> 8</w:t>
      </w:r>
      <w:r>
        <w:t>(</w:t>
      </w:r>
      <w:r w:rsidRPr="00997F4E">
        <w:t>3</w:t>
      </w:r>
      <w:r>
        <w:t>)</w:t>
      </w:r>
      <w:r w:rsidRPr="00997F4E">
        <w:t xml:space="preserve"> </w:t>
      </w:r>
      <w:r>
        <w:t>SCRIPTed &lt;</w:t>
      </w:r>
      <w:r w:rsidRPr="00F5458D">
        <w:t>https://script-ed.org/article/forgetting-footprints-shunning-shadows/</w:t>
      </w:r>
      <w:r>
        <w:t>&gt;</w:t>
      </w:r>
      <w:bookmarkEnd w:id="17"/>
      <w:r>
        <w:t xml:space="preserve"> </w:t>
      </w:r>
      <w:bookmarkEnd w:id="18"/>
      <w:r>
        <w:t>accessed 20 July 2022</w:t>
      </w:r>
    </w:p>
  </w:footnote>
  <w:footnote w:id="38">
    <w:p w14:paraId="6E3AE317" w14:textId="77777777" w:rsidR="00481564" w:rsidRDefault="00481564" w:rsidP="00481564">
      <w:pPr>
        <w:pStyle w:val="Textodenotaderodap"/>
      </w:pPr>
      <w:r>
        <w:rPr>
          <w:rStyle w:val="Refdenotaderodap"/>
        </w:rPr>
        <w:footnoteRef/>
      </w:r>
      <w:r>
        <w:t xml:space="preserve"> DPD (n 3), art 14(a).</w:t>
      </w:r>
    </w:p>
  </w:footnote>
  <w:footnote w:id="39">
    <w:p w14:paraId="6426E5CF" w14:textId="77777777" w:rsidR="00481564" w:rsidRDefault="00481564" w:rsidP="00481564">
      <w:pPr>
        <w:pStyle w:val="Textodenotaderodap"/>
      </w:pPr>
      <w:r>
        <w:rPr>
          <w:rStyle w:val="Refdenotaderodap"/>
        </w:rPr>
        <w:footnoteRef/>
      </w:r>
      <w:r>
        <w:t xml:space="preserve"> DPD (n 3), art 9.</w:t>
      </w:r>
    </w:p>
  </w:footnote>
  <w:footnote w:id="40">
    <w:p w14:paraId="434B2B2A" w14:textId="77777777" w:rsidR="00481564" w:rsidRDefault="00481564" w:rsidP="00481564">
      <w:pPr>
        <w:pStyle w:val="Textodenotaderodap"/>
      </w:pPr>
      <w:r>
        <w:rPr>
          <w:rStyle w:val="Refdenotaderodap"/>
        </w:rPr>
        <w:footnoteRef/>
      </w:r>
      <w:r>
        <w:t xml:space="preserve"> ibid, art 1(1).</w:t>
      </w:r>
    </w:p>
  </w:footnote>
  <w:footnote w:id="41">
    <w:p w14:paraId="35C3B27D" w14:textId="77777777" w:rsidR="00481564" w:rsidRDefault="00481564" w:rsidP="00481564">
      <w:pPr>
        <w:pStyle w:val="Textodenotaderodap"/>
      </w:pPr>
      <w:r>
        <w:rPr>
          <w:rStyle w:val="Refdenotaderodap"/>
        </w:rPr>
        <w:footnoteRef/>
      </w:r>
      <w:r>
        <w:t xml:space="preserve"> Lindsay (n 25) 311.</w:t>
      </w:r>
    </w:p>
  </w:footnote>
  <w:footnote w:id="42">
    <w:p w14:paraId="2FA34326" w14:textId="77777777" w:rsidR="00481564" w:rsidRDefault="00481564" w:rsidP="00481564">
      <w:pPr>
        <w:pStyle w:val="Textodenotaderodap"/>
      </w:pPr>
      <w:r>
        <w:rPr>
          <w:rStyle w:val="Refdenotaderodap"/>
        </w:rPr>
        <w:footnoteRef/>
      </w:r>
      <w:r>
        <w:t xml:space="preserve"> Google Spain (n 5).</w:t>
      </w:r>
    </w:p>
  </w:footnote>
  <w:footnote w:id="43">
    <w:p w14:paraId="2553C533" w14:textId="77777777" w:rsidR="00481564" w:rsidRDefault="00481564" w:rsidP="00481564">
      <w:pPr>
        <w:pStyle w:val="Textodenotaderodap"/>
      </w:pPr>
      <w:r>
        <w:rPr>
          <w:rStyle w:val="Refdenotaderodap"/>
        </w:rPr>
        <w:footnoteRef/>
      </w:r>
      <w:r>
        <w:t xml:space="preserve"> ibid, 72.</w:t>
      </w:r>
    </w:p>
  </w:footnote>
  <w:footnote w:id="44">
    <w:p w14:paraId="19C0F871" w14:textId="77777777" w:rsidR="00481564" w:rsidRDefault="00481564" w:rsidP="00481564">
      <w:pPr>
        <w:pStyle w:val="Textodenotaderodap"/>
      </w:pPr>
      <w:r>
        <w:rPr>
          <w:rStyle w:val="Refdenotaderodap"/>
        </w:rPr>
        <w:footnoteRef/>
      </w:r>
      <w:r>
        <w:t xml:space="preserve"> </w:t>
      </w:r>
      <w:bookmarkStart w:id="19" w:name="_Hlk111714789"/>
      <w:bookmarkStart w:id="20" w:name="_Hlk111715146"/>
      <w:r>
        <w:t>Viviane Reding, ‘The EU Data Protection Reform 2012: Making Europe the Standard Setter for Modern Data Protection Rules in the Digital Age’ (Speech delivered at Innovation Conference Digital, Life, Design, Munich, 22 January 2012), 5 &lt;http://europa.eu/rapid/pressReleasesAction.do?reference=SPEECH/12/26&amp;format=PDF&gt;</w:t>
      </w:r>
      <w:bookmarkEnd w:id="19"/>
      <w:r>
        <w:t xml:space="preserve"> accessed 22 July 2022</w:t>
      </w:r>
    </w:p>
    <w:bookmarkEnd w:id="20"/>
  </w:footnote>
  <w:footnote w:id="45">
    <w:p w14:paraId="1B07C266" w14:textId="77777777" w:rsidR="00481564" w:rsidRDefault="00481564" w:rsidP="00481564">
      <w:pPr>
        <w:pStyle w:val="Textodenotaderodap"/>
      </w:pPr>
      <w:r>
        <w:rPr>
          <w:rStyle w:val="Refdenotaderodap"/>
        </w:rPr>
        <w:footnoteRef/>
      </w:r>
      <w:r>
        <w:t xml:space="preserve"> </w:t>
      </w:r>
      <w:bookmarkStart w:id="21" w:name="_Hlk111745317"/>
      <w:bookmarkStart w:id="22" w:name="_Hlk111715179"/>
      <w:r>
        <w:t xml:space="preserve">Explanatory Memorandum to the Proposal for a Regulation of the European Parliament and of the Council on the protection of individuals </w:t>
      </w:r>
      <w:r>
        <w:t>with regard to the processing of personal data and on the free movement of such data (General Data Protection Regulation) 2012</w:t>
      </w:r>
      <w:bookmarkEnd w:id="21"/>
      <w:r>
        <w:t xml:space="preserve">, para 1 </w:t>
      </w:r>
      <w:bookmarkEnd w:id="22"/>
    </w:p>
  </w:footnote>
  <w:footnote w:id="46">
    <w:p w14:paraId="13B97123" w14:textId="77777777" w:rsidR="00481564" w:rsidRDefault="00481564" w:rsidP="00481564">
      <w:pPr>
        <w:pStyle w:val="Textodenotaderodap"/>
      </w:pPr>
      <w:r>
        <w:rPr>
          <w:rStyle w:val="Refdenotaderodap"/>
        </w:rPr>
        <w:footnoteRef/>
      </w:r>
      <w:r>
        <w:t xml:space="preserve"> GDPR (n 4), art 4(7).</w:t>
      </w:r>
    </w:p>
  </w:footnote>
  <w:footnote w:id="47">
    <w:p w14:paraId="4C361A64" w14:textId="77777777" w:rsidR="00481564" w:rsidRDefault="00481564" w:rsidP="00481564">
      <w:pPr>
        <w:pStyle w:val="Textodenotaderodap"/>
      </w:pPr>
      <w:r>
        <w:rPr>
          <w:rStyle w:val="Refdenotaderodap"/>
        </w:rPr>
        <w:footnoteRef/>
      </w:r>
      <w:r>
        <w:t xml:space="preserve"> </w:t>
      </w:r>
      <w:bookmarkStart w:id="23" w:name="_Hlk111715223"/>
      <w:r>
        <w:t xml:space="preserve">Eugenio </w:t>
      </w:r>
      <w:r>
        <w:t>Foco, ‘</w:t>
      </w:r>
      <w:r w:rsidRPr="007F37BD">
        <w:t>The Codification of the Right to be Forgotten in the Digital Era: From Directive 95/46/EC to the General Data Protection Regulation</w:t>
      </w:r>
      <w:r>
        <w:t xml:space="preserve">’ </w:t>
      </w:r>
      <w:r w:rsidRPr="00C42CEB">
        <w:rPr>
          <w:i/>
          <w:iCs/>
        </w:rPr>
        <w:t>Media Laws</w:t>
      </w:r>
      <w:r>
        <w:t xml:space="preserve"> (Italy, 16 November 2016)</w:t>
      </w:r>
      <w:r w:rsidRPr="007946A9">
        <w:t xml:space="preserve"> </w:t>
      </w:r>
      <w:r>
        <w:t>&lt;</w:t>
      </w:r>
      <w:r w:rsidRPr="007946A9">
        <w:t>https://www.medialaws.eu/the-codification-of-the-right-to-be-forgotten-in-the-digital-era-from-directive-9546ec-to-the-general-data-protection-regulation/</w:t>
      </w:r>
      <w:r>
        <w:t xml:space="preserve">&gt; </w:t>
      </w:r>
      <w:bookmarkEnd w:id="23"/>
      <w:r>
        <w:t>accessed 22 July 2022</w:t>
      </w:r>
    </w:p>
  </w:footnote>
  <w:footnote w:id="48">
    <w:p w14:paraId="529F3D87" w14:textId="77777777" w:rsidR="00481564" w:rsidRDefault="00481564" w:rsidP="00481564">
      <w:pPr>
        <w:pStyle w:val="Textodenotaderodap"/>
      </w:pPr>
      <w:r>
        <w:rPr>
          <w:rStyle w:val="Refdenotaderodap"/>
        </w:rPr>
        <w:footnoteRef/>
      </w:r>
      <w:r>
        <w:t xml:space="preserve"> GDPR (n 4), art 17(1).</w:t>
      </w:r>
    </w:p>
  </w:footnote>
  <w:footnote w:id="49">
    <w:p w14:paraId="42083DA8" w14:textId="77777777" w:rsidR="00481564" w:rsidRDefault="00481564" w:rsidP="00481564">
      <w:pPr>
        <w:pStyle w:val="Textodenotaderodap"/>
      </w:pPr>
      <w:r>
        <w:rPr>
          <w:rStyle w:val="Refdenotaderodap"/>
        </w:rPr>
        <w:footnoteRef/>
      </w:r>
      <w:r>
        <w:t xml:space="preserve"> ibid, arts 68-76.</w:t>
      </w:r>
    </w:p>
  </w:footnote>
  <w:footnote w:id="50">
    <w:p w14:paraId="51323929" w14:textId="77777777" w:rsidR="00481564" w:rsidRPr="008442F4" w:rsidRDefault="00481564" w:rsidP="00481564">
      <w:pPr>
        <w:pStyle w:val="Textodenotaderodap"/>
      </w:pPr>
      <w:r>
        <w:rPr>
          <w:rStyle w:val="Refdenotaderodap"/>
        </w:rPr>
        <w:footnoteRef/>
      </w:r>
      <w:r>
        <w:t xml:space="preserve"> </w:t>
      </w:r>
      <w:bookmarkStart w:id="24" w:name="_Hlk111715462"/>
      <w:r>
        <w:t xml:space="preserve">European Data Protection Board </w:t>
      </w:r>
      <w:r w:rsidRPr="00AD3C03">
        <w:t>Guidelines 5/2019 on the criteria of the Right to be Forgotten in the search engines cases under the GDPR (part 1)</w:t>
      </w:r>
      <w:r>
        <w:t xml:space="preserve"> </w:t>
      </w:r>
      <w:bookmarkEnd w:id="24"/>
      <w:r w:rsidRPr="008442F4">
        <w:t>&lt;https://edpb.europa.eu/our-work-tools/our-documents/guidelines/guidelines-52019-criteria-right-be-forgotten-search-engines_en&gt; ac</w:t>
      </w:r>
      <w:r>
        <w:t>cessed 22 July 2022</w:t>
      </w:r>
    </w:p>
  </w:footnote>
  <w:footnote w:id="51">
    <w:p w14:paraId="0EC7BFA7" w14:textId="77777777" w:rsidR="00481564" w:rsidRDefault="00481564" w:rsidP="00481564">
      <w:pPr>
        <w:pStyle w:val="Textodenotaderodap"/>
      </w:pPr>
      <w:r>
        <w:rPr>
          <w:rStyle w:val="Refdenotaderodap"/>
        </w:rPr>
        <w:footnoteRef/>
      </w:r>
      <w:r>
        <w:t xml:space="preserve"> ibid 7.</w:t>
      </w:r>
    </w:p>
  </w:footnote>
  <w:footnote w:id="52">
    <w:p w14:paraId="20101068" w14:textId="77777777" w:rsidR="00481564" w:rsidRDefault="00481564" w:rsidP="00481564">
      <w:pPr>
        <w:pStyle w:val="Textodenotaderodap"/>
      </w:pPr>
      <w:r>
        <w:rPr>
          <w:rStyle w:val="Refdenotaderodap"/>
        </w:rPr>
        <w:footnoteRef/>
      </w:r>
      <w:r>
        <w:t xml:space="preserve"> Ibid 8.</w:t>
      </w:r>
    </w:p>
  </w:footnote>
  <w:footnote w:id="53">
    <w:p w14:paraId="23523C1A" w14:textId="77777777" w:rsidR="00481564" w:rsidRDefault="00481564" w:rsidP="00481564">
      <w:pPr>
        <w:pStyle w:val="Textodenotaderodap"/>
      </w:pPr>
      <w:r>
        <w:rPr>
          <w:rStyle w:val="Refdenotaderodap"/>
        </w:rPr>
        <w:footnoteRef/>
      </w:r>
      <w:r>
        <w:t xml:space="preserve"> GDPR (n 4), art 21(1).</w:t>
      </w:r>
    </w:p>
  </w:footnote>
  <w:footnote w:id="54">
    <w:p w14:paraId="24D86E84" w14:textId="77777777" w:rsidR="00481564" w:rsidRDefault="00481564" w:rsidP="00481564">
      <w:pPr>
        <w:pStyle w:val="Textodenotaderodap"/>
      </w:pPr>
      <w:r>
        <w:rPr>
          <w:rStyle w:val="Refdenotaderodap"/>
        </w:rPr>
        <w:footnoteRef/>
      </w:r>
      <w:r>
        <w:t xml:space="preserve"> DPD (n 3), art 14(a).</w:t>
      </w:r>
    </w:p>
  </w:footnote>
  <w:footnote w:id="55">
    <w:p w14:paraId="1E1472DB" w14:textId="77777777" w:rsidR="00481564" w:rsidRPr="008442F4" w:rsidRDefault="00481564" w:rsidP="00481564">
      <w:pPr>
        <w:pStyle w:val="Textodenotaderodap"/>
      </w:pPr>
      <w:r>
        <w:rPr>
          <w:rStyle w:val="Refdenotaderodap"/>
        </w:rPr>
        <w:footnoteRef/>
      </w:r>
      <w:r>
        <w:t xml:space="preserve"> </w:t>
      </w:r>
      <w:r w:rsidRPr="00AD3C03">
        <w:t xml:space="preserve">Guidelines 5/2019 </w:t>
      </w:r>
      <w:r>
        <w:t xml:space="preserve">(n 50) </w:t>
      </w:r>
      <w:r w:rsidRPr="008442F4">
        <w:t>9.</w:t>
      </w:r>
    </w:p>
  </w:footnote>
  <w:footnote w:id="56">
    <w:p w14:paraId="1186F82E" w14:textId="77777777" w:rsidR="00481564" w:rsidRDefault="00481564" w:rsidP="00481564">
      <w:pPr>
        <w:pStyle w:val="Textodenotaderodap"/>
      </w:pPr>
      <w:r>
        <w:rPr>
          <w:rStyle w:val="Refdenotaderodap"/>
        </w:rPr>
        <w:footnoteRef/>
      </w:r>
      <w:r>
        <w:t xml:space="preserve"> ibid. </w:t>
      </w:r>
    </w:p>
  </w:footnote>
  <w:footnote w:id="57">
    <w:p w14:paraId="01EBAE2B" w14:textId="77777777" w:rsidR="00481564" w:rsidRDefault="00481564" w:rsidP="00481564">
      <w:pPr>
        <w:pStyle w:val="Textodenotaderodap"/>
      </w:pPr>
      <w:r>
        <w:rPr>
          <w:rStyle w:val="Refdenotaderodap"/>
        </w:rPr>
        <w:footnoteRef/>
      </w:r>
      <w:r>
        <w:t xml:space="preserve"> ibid, 10.</w:t>
      </w:r>
    </w:p>
  </w:footnote>
  <w:footnote w:id="58">
    <w:p w14:paraId="4985569A" w14:textId="77777777" w:rsidR="00481564" w:rsidRDefault="00481564" w:rsidP="00481564">
      <w:pPr>
        <w:pStyle w:val="Textodenotaderodap"/>
      </w:pPr>
      <w:r>
        <w:rPr>
          <w:rStyle w:val="Refdenotaderodap"/>
        </w:rPr>
        <w:footnoteRef/>
      </w:r>
      <w:r>
        <w:t xml:space="preserve"> GDPR (n 4), art 17(2).</w:t>
      </w:r>
    </w:p>
  </w:footnote>
  <w:footnote w:id="59">
    <w:p w14:paraId="1B582785" w14:textId="77777777" w:rsidR="00481564" w:rsidRDefault="00481564" w:rsidP="00481564">
      <w:pPr>
        <w:pStyle w:val="Textodenotaderodap"/>
      </w:pPr>
      <w:r>
        <w:rPr>
          <w:rStyle w:val="Refdenotaderodap"/>
        </w:rPr>
        <w:footnoteRef/>
      </w:r>
      <w:r>
        <w:t xml:space="preserve"> </w:t>
      </w:r>
      <w:r>
        <w:t>Ausloos (n 28) 247.</w:t>
      </w:r>
    </w:p>
  </w:footnote>
  <w:footnote w:id="60">
    <w:p w14:paraId="1FF0CE11" w14:textId="77777777" w:rsidR="00481564" w:rsidRPr="00C30AD6" w:rsidRDefault="00481564" w:rsidP="00481564">
      <w:pPr>
        <w:pStyle w:val="Textodenotaderodap"/>
      </w:pPr>
      <w:r>
        <w:rPr>
          <w:rStyle w:val="Refdenotaderodap"/>
        </w:rPr>
        <w:footnoteRef/>
      </w:r>
      <w:r>
        <w:t xml:space="preserve"> </w:t>
      </w:r>
      <w:r w:rsidRPr="00AD3C03">
        <w:t xml:space="preserve">Guidelines 5/2019 </w:t>
      </w:r>
      <w:r>
        <w:t xml:space="preserve">(n 50) </w:t>
      </w:r>
      <w:r w:rsidRPr="00C30AD6">
        <w:t xml:space="preserve">5-6. </w:t>
      </w:r>
    </w:p>
  </w:footnote>
  <w:footnote w:id="61">
    <w:p w14:paraId="741E3737" w14:textId="77777777" w:rsidR="00481564" w:rsidRPr="0094643F" w:rsidRDefault="00481564" w:rsidP="00481564">
      <w:pPr>
        <w:pStyle w:val="Textodenotaderodap"/>
      </w:pPr>
      <w:r>
        <w:rPr>
          <w:rStyle w:val="Refdenotaderodap"/>
        </w:rPr>
        <w:footnoteRef/>
      </w:r>
      <w:r w:rsidRPr="0094643F">
        <w:t xml:space="preserve"> GDPR</w:t>
      </w:r>
      <w:r>
        <w:t xml:space="preserve"> (n 4)</w:t>
      </w:r>
      <w:r w:rsidRPr="0094643F">
        <w:t>, art 24(1)</w:t>
      </w:r>
      <w:r>
        <w:t>.</w:t>
      </w:r>
    </w:p>
  </w:footnote>
  <w:footnote w:id="62">
    <w:p w14:paraId="46393F67" w14:textId="77777777" w:rsidR="00481564" w:rsidRPr="00172BF9" w:rsidRDefault="00481564" w:rsidP="00481564">
      <w:pPr>
        <w:pStyle w:val="Textodenotaderodap"/>
      </w:pPr>
      <w:r>
        <w:rPr>
          <w:rStyle w:val="Refdenotaderodap"/>
        </w:rPr>
        <w:footnoteRef/>
      </w:r>
      <w:r w:rsidRPr="00172BF9">
        <w:t xml:space="preserve"> GDPR</w:t>
      </w:r>
      <w:r>
        <w:t xml:space="preserve"> (n 4)</w:t>
      </w:r>
      <w:r w:rsidRPr="00172BF9">
        <w:t>, art 17(3)</w:t>
      </w:r>
      <w:r>
        <w:t>.</w:t>
      </w:r>
    </w:p>
  </w:footnote>
  <w:footnote w:id="63">
    <w:p w14:paraId="1D42272A" w14:textId="77777777" w:rsidR="00481564" w:rsidRPr="00172BF9" w:rsidRDefault="00481564" w:rsidP="00481564">
      <w:pPr>
        <w:pStyle w:val="Textodenotaderodap"/>
      </w:pPr>
      <w:r>
        <w:rPr>
          <w:rStyle w:val="Refdenotaderodap"/>
        </w:rPr>
        <w:footnoteRef/>
      </w:r>
      <w:r w:rsidRPr="00172BF9">
        <w:t xml:space="preserve"> </w:t>
      </w:r>
      <w:r>
        <w:t>ibid</w:t>
      </w:r>
      <w:r w:rsidRPr="00172BF9">
        <w:t>, art 85</w:t>
      </w:r>
      <w:r>
        <w:t>.</w:t>
      </w:r>
    </w:p>
  </w:footnote>
  <w:footnote w:id="64">
    <w:p w14:paraId="0DE53A72" w14:textId="77777777" w:rsidR="00481564" w:rsidRPr="00172BF9" w:rsidRDefault="00481564" w:rsidP="00481564">
      <w:pPr>
        <w:pStyle w:val="Textodenotaderodap"/>
      </w:pPr>
      <w:r>
        <w:rPr>
          <w:rStyle w:val="Refdenotaderodap"/>
        </w:rPr>
        <w:footnoteRef/>
      </w:r>
      <w:r w:rsidRPr="00172BF9">
        <w:t xml:space="preserve"> </w:t>
      </w:r>
      <w:r w:rsidRPr="005B0DF7">
        <w:rPr>
          <w:i/>
          <w:iCs/>
        </w:rPr>
        <w:t>Google Spain</w:t>
      </w:r>
      <w:r>
        <w:t xml:space="preserve"> (n 5)</w:t>
      </w:r>
      <w:r w:rsidRPr="00172BF9">
        <w:t xml:space="preserve">, </w:t>
      </w:r>
      <w:r>
        <w:t xml:space="preserve">paras </w:t>
      </w:r>
      <w:r w:rsidRPr="00172BF9">
        <w:t>27-29</w:t>
      </w:r>
      <w:r>
        <w:t>.</w:t>
      </w:r>
    </w:p>
  </w:footnote>
  <w:footnote w:id="65">
    <w:p w14:paraId="2DFFE621" w14:textId="77777777" w:rsidR="00481564" w:rsidRPr="00172BF9" w:rsidRDefault="00481564" w:rsidP="00481564">
      <w:pPr>
        <w:pStyle w:val="Textodenotaderodap"/>
      </w:pPr>
      <w:r>
        <w:rPr>
          <w:rStyle w:val="Refdenotaderodap"/>
        </w:rPr>
        <w:footnoteRef/>
      </w:r>
      <w:r w:rsidRPr="00172BF9">
        <w:t xml:space="preserve"> </w:t>
      </w:r>
      <w:r w:rsidRPr="00F74D91">
        <w:t>Case C-131/12</w:t>
      </w:r>
      <w:r>
        <w:t xml:space="preserve"> </w:t>
      </w:r>
      <w:r w:rsidRPr="00F74D91">
        <w:rPr>
          <w:i/>
          <w:iCs/>
        </w:rPr>
        <w:t>Google Spain v AEPD</w:t>
      </w:r>
      <w:r>
        <w:rPr>
          <w:i/>
          <w:iCs/>
        </w:rPr>
        <w:t xml:space="preserve"> </w:t>
      </w:r>
      <w:r>
        <w:t xml:space="preserve">[2014] OJ C212/4, Opinion of </w:t>
      </w:r>
      <w:r w:rsidRPr="00172BF9">
        <w:t xml:space="preserve">AG </w:t>
      </w:r>
      <w:r w:rsidRPr="00B30B33">
        <w:t>Jääskinen</w:t>
      </w:r>
      <w:r>
        <w:t xml:space="preserve">, para </w:t>
      </w:r>
      <w:r w:rsidRPr="00172BF9">
        <w:t>77</w:t>
      </w:r>
      <w:r>
        <w:t>.</w:t>
      </w:r>
    </w:p>
  </w:footnote>
  <w:footnote w:id="66">
    <w:p w14:paraId="4D2C5B1A" w14:textId="77777777" w:rsidR="00481564" w:rsidRPr="00172BF9" w:rsidRDefault="00481564" w:rsidP="00481564">
      <w:pPr>
        <w:pStyle w:val="Textodenotaderodap"/>
      </w:pPr>
      <w:r>
        <w:rPr>
          <w:rStyle w:val="Refdenotaderodap"/>
        </w:rPr>
        <w:footnoteRef/>
      </w:r>
      <w:r w:rsidRPr="00172BF9">
        <w:t xml:space="preserve"> </w:t>
      </w:r>
      <w:r>
        <w:t>ibid, para</w:t>
      </w:r>
      <w:r w:rsidRPr="00172BF9">
        <w:t xml:space="preserve"> 109</w:t>
      </w:r>
      <w:r>
        <w:t>.</w:t>
      </w:r>
    </w:p>
  </w:footnote>
  <w:footnote w:id="67">
    <w:p w14:paraId="39AFC97D" w14:textId="77777777" w:rsidR="00481564" w:rsidRPr="00172BF9" w:rsidRDefault="00481564" w:rsidP="00481564">
      <w:pPr>
        <w:pStyle w:val="Textodenotaderodap"/>
      </w:pPr>
      <w:r>
        <w:rPr>
          <w:rStyle w:val="Refdenotaderodap"/>
        </w:rPr>
        <w:footnoteRef/>
      </w:r>
      <w:r w:rsidRPr="00172BF9">
        <w:t xml:space="preserve"> </w:t>
      </w:r>
      <w:r w:rsidRPr="00B30B33">
        <w:rPr>
          <w:i/>
          <w:iCs/>
        </w:rPr>
        <w:t>Google Spain</w:t>
      </w:r>
      <w:r>
        <w:t xml:space="preserve"> (n 5), para</w:t>
      </w:r>
      <w:r w:rsidRPr="00172BF9">
        <w:t xml:space="preserve"> 63</w:t>
      </w:r>
      <w:r>
        <w:t>.</w:t>
      </w:r>
    </w:p>
  </w:footnote>
  <w:footnote w:id="68">
    <w:p w14:paraId="27D1A078" w14:textId="77777777" w:rsidR="00481564" w:rsidRPr="00172BF9" w:rsidRDefault="00481564" w:rsidP="00481564">
      <w:pPr>
        <w:pStyle w:val="Textodenotaderodap"/>
      </w:pPr>
      <w:r>
        <w:rPr>
          <w:rStyle w:val="Refdenotaderodap"/>
        </w:rPr>
        <w:footnoteRef/>
      </w:r>
      <w:r w:rsidRPr="00172BF9">
        <w:t xml:space="preserve"> </w:t>
      </w:r>
      <w:r>
        <w:t xml:space="preserve">Opinion of </w:t>
      </w:r>
      <w:r w:rsidRPr="00172BF9">
        <w:t xml:space="preserve">AG </w:t>
      </w:r>
      <w:r w:rsidRPr="00B30B33">
        <w:t>Jääskinen</w:t>
      </w:r>
      <w:r>
        <w:t xml:space="preserve"> (n 65), para</w:t>
      </w:r>
      <w:r w:rsidRPr="00172BF9">
        <w:t xml:space="preserve"> 91</w:t>
      </w:r>
      <w:r>
        <w:t>.</w:t>
      </w:r>
    </w:p>
  </w:footnote>
  <w:footnote w:id="69">
    <w:p w14:paraId="3005F030" w14:textId="77777777" w:rsidR="00481564" w:rsidRPr="00172BF9" w:rsidRDefault="00481564" w:rsidP="00481564">
      <w:pPr>
        <w:pStyle w:val="Textodenotaderodap"/>
      </w:pPr>
      <w:r>
        <w:rPr>
          <w:rStyle w:val="Refdenotaderodap"/>
        </w:rPr>
        <w:footnoteRef/>
      </w:r>
      <w:r w:rsidRPr="00172BF9">
        <w:t xml:space="preserve"> </w:t>
      </w:r>
      <w:r>
        <w:t>ibid, paras</w:t>
      </w:r>
      <w:r w:rsidRPr="00172BF9">
        <w:t xml:space="preserve"> 92-93</w:t>
      </w:r>
      <w:r>
        <w:t>.</w:t>
      </w:r>
    </w:p>
  </w:footnote>
  <w:footnote w:id="70">
    <w:p w14:paraId="6EDC3E0C" w14:textId="77777777" w:rsidR="00481564" w:rsidRPr="009179BD" w:rsidRDefault="00481564" w:rsidP="00481564">
      <w:pPr>
        <w:pStyle w:val="Textodenotaderodap"/>
      </w:pPr>
      <w:r>
        <w:rPr>
          <w:rStyle w:val="Refdenotaderodap"/>
        </w:rPr>
        <w:footnoteRef/>
      </w:r>
      <w:r w:rsidRPr="009179BD">
        <w:t xml:space="preserve"> </w:t>
      </w:r>
      <w:r>
        <w:t>Google Spain (n 5), para</w:t>
      </w:r>
      <w:r w:rsidRPr="009179BD">
        <w:t xml:space="preserve"> 80</w:t>
      </w:r>
      <w:r>
        <w:t>.</w:t>
      </w:r>
    </w:p>
  </w:footnote>
  <w:footnote w:id="71">
    <w:p w14:paraId="12453FAF" w14:textId="77777777" w:rsidR="00481564" w:rsidRPr="00BA4F7D" w:rsidRDefault="00481564" w:rsidP="00481564">
      <w:pPr>
        <w:pStyle w:val="Textodenotaderodap"/>
      </w:pPr>
      <w:r>
        <w:rPr>
          <w:rStyle w:val="Refdenotaderodap"/>
        </w:rPr>
        <w:footnoteRef/>
      </w:r>
      <w:r w:rsidRPr="00BA4F7D">
        <w:t xml:space="preserve"> ibid, paras 33-34.</w:t>
      </w:r>
    </w:p>
  </w:footnote>
  <w:footnote w:id="72">
    <w:p w14:paraId="05A8D0A7" w14:textId="77777777" w:rsidR="00481564" w:rsidRPr="00481564" w:rsidRDefault="00481564" w:rsidP="00481564">
      <w:pPr>
        <w:pStyle w:val="Textodenotaderodap"/>
      </w:pPr>
      <w:r>
        <w:rPr>
          <w:rStyle w:val="Refdenotaderodap"/>
        </w:rPr>
        <w:footnoteRef/>
      </w:r>
      <w:r w:rsidRPr="00481564">
        <w:t xml:space="preserve"> ibid, para 38.</w:t>
      </w:r>
    </w:p>
  </w:footnote>
  <w:footnote w:id="73">
    <w:p w14:paraId="3859535C" w14:textId="77777777" w:rsidR="00481564" w:rsidRPr="00481564" w:rsidRDefault="00481564" w:rsidP="00481564">
      <w:pPr>
        <w:pStyle w:val="Textodenotaderodap"/>
      </w:pPr>
      <w:r>
        <w:rPr>
          <w:rStyle w:val="Refdenotaderodap"/>
        </w:rPr>
        <w:footnoteRef/>
      </w:r>
      <w:r w:rsidRPr="00481564">
        <w:t xml:space="preserve"> ibid, para 39.</w:t>
      </w:r>
    </w:p>
  </w:footnote>
  <w:footnote w:id="74">
    <w:p w14:paraId="55DFCF35" w14:textId="77777777" w:rsidR="00481564" w:rsidRDefault="00481564" w:rsidP="00481564">
      <w:pPr>
        <w:pStyle w:val="Textodenotaderodap"/>
      </w:pPr>
      <w:r>
        <w:rPr>
          <w:rStyle w:val="Refdenotaderodap"/>
        </w:rPr>
        <w:footnoteRef/>
      </w:r>
      <w:r>
        <w:t xml:space="preserve"> </w:t>
      </w:r>
      <w:bookmarkStart w:id="27" w:name="_Hlk111716444"/>
      <w:r>
        <w:t xml:space="preserve">Luciano </w:t>
      </w:r>
      <w:r>
        <w:t xml:space="preserve">Floridi, ‘Right to Be Forgotten: Who May Exercise Power, Over Which Kind of Information?’ </w:t>
      </w:r>
      <w:r w:rsidRPr="00657B7D">
        <w:rPr>
          <w:i/>
          <w:iCs/>
        </w:rPr>
        <w:t>The Guardian</w:t>
      </w:r>
      <w:r>
        <w:t xml:space="preserve"> (London, 21 October 2014) &lt;</w:t>
      </w:r>
      <w:r w:rsidRPr="00657B7D">
        <w:t>https://www.theguardian.com/technology/2014/oct/21/right-to-be-forgotten-who-may-exercise-power-information</w:t>
      </w:r>
      <w:r>
        <w:t>&gt;</w:t>
      </w:r>
      <w:bookmarkEnd w:id="27"/>
      <w:r>
        <w:t xml:space="preserve"> accessed 19 July 2022</w:t>
      </w:r>
    </w:p>
  </w:footnote>
  <w:footnote w:id="75">
    <w:p w14:paraId="061CF57B" w14:textId="77777777" w:rsidR="00481564" w:rsidRPr="0050443F" w:rsidRDefault="00481564" w:rsidP="00481564">
      <w:pPr>
        <w:pStyle w:val="Textodenotaderodap"/>
      </w:pPr>
      <w:r>
        <w:rPr>
          <w:rStyle w:val="Refdenotaderodap"/>
        </w:rPr>
        <w:footnoteRef/>
      </w:r>
      <w:r>
        <w:t xml:space="preserve"> </w:t>
      </w:r>
      <w:bookmarkStart w:id="28" w:name="_Hlk111716617"/>
      <w:r>
        <w:t xml:space="preserve">Alexandra </w:t>
      </w:r>
      <w:r>
        <w:t>Rengel, ‘Privacy as an International Human Right and the Right to Obscurity in Cyberspace’ [2014] 2(2) Groningen Journal of International Law, 51 &lt;</w:t>
      </w:r>
      <w:r w:rsidRPr="0050443F">
        <w:t>https://papers.ssrn.com/sol3/papers.cfm?abstract_id=2599271</w:t>
      </w:r>
      <w:r>
        <w:t xml:space="preserve">&gt; </w:t>
      </w:r>
      <w:bookmarkEnd w:id="28"/>
      <w:r>
        <w:t>accessed 23 July 2022</w:t>
      </w:r>
    </w:p>
  </w:footnote>
  <w:footnote w:id="76">
    <w:p w14:paraId="20021F44" w14:textId="77777777" w:rsidR="00481564" w:rsidRPr="00E3764C" w:rsidRDefault="00481564" w:rsidP="00481564">
      <w:pPr>
        <w:pStyle w:val="Textodenotaderodap"/>
      </w:pPr>
      <w:r>
        <w:rPr>
          <w:rStyle w:val="Refdenotaderodap"/>
        </w:rPr>
        <w:footnoteRef/>
      </w:r>
      <w:r w:rsidRPr="00E3764C">
        <w:t xml:space="preserve"> </w:t>
      </w:r>
      <w:r w:rsidRPr="0050443F">
        <w:rPr>
          <w:i/>
          <w:iCs/>
        </w:rPr>
        <w:t>Google Spain</w:t>
      </w:r>
      <w:r>
        <w:t xml:space="preserve"> (n 5), para</w:t>
      </w:r>
      <w:r w:rsidRPr="00E3764C">
        <w:t xml:space="preserve"> 35</w:t>
      </w:r>
      <w:r>
        <w:t>.</w:t>
      </w:r>
    </w:p>
  </w:footnote>
  <w:footnote w:id="77">
    <w:p w14:paraId="0C76344B" w14:textId="77777777" w:rsidR="00481564" w:rsidRPr="00BB4AA1" w:rsidRDefault="00481564" w:rsidP="00481564">
      <w:pPr>
        <w:pStyle w:val="Textodenotaderodap"/>
      </w:pPr>
      <w:r>
        <w:rPr>
          <w:rStyle w:val="Refdenotaderodap"/>
        </w:rPr>
        <w:footnoteRef/>
      </w:r>
      <w:r w:rsidRPr="00BB4AA1">
        <w:t xml:space="preserve"> </w:t>
      </w:r>
      <w:bookmarkStart w:id="29" w:name="_Hlk111716735"/>
      <w:r w:rsidRPr="000146BD">
        <w:rPr>
          <w:i/>
          <w:iCs/>
        </w:rPr>
        <w:t>M.L. and W.W. v Germany</w:t>
      </w:r>
      <w:r>
        <w:t xml:space="preserve"> Apps </w:t>
      </w:r>
      <w:r>
        <w:t>nos 60798/10 and 65599/10 (ECHR, 28 June 2018), para 97</w:t>
      </w:r>
      <w:bookmarkEnd w:id="29"/>
      <w:r>
        <w:t>.</w:t>
      </w:r>
    </w:p>
  </w:footnote>
  <w:footnote w:id="78">
    <w:p w14:paraId="2DC0EAC1" w14:textId="77777777" w:rsidR="00481564" w:rsidRPr="00DD0D00" w:rsidRDefault="00481564" w:rsidP="00481564">
      <w:pPr>
        <w:pStyle w:val="Textodenotaderodap"/>
      </w:pPr>
      <w:r>
        <w:rPr>
          <w:rStyle w:val="Refdenotaderodap"/>
        </w:rPr>
        <w:footnoteRef/>
      </w:r>
      <w:r w:rsidRPr="00DD0D00">
        <w:t xml:space="preserve"> </w:t>
      </w:r>
      <w:r w:rsidRPr="0050443F">
        <w:rPr>
          <w:i/>
          <w:iCs/>
        </w:rPr>
        <w:t>Google Spain</w:t>
      </w:r>
      <w:r>
        <w:t xml:space="preserve"> (n 5), para</w:t>
      </w:r>
      <w:r w:rsidRPr="00DD0D00">
        <w:t xml:space="preserve"> 77</w:t>
      </w:r>
      <w:r>
        <w:t>.</w:t>
      </w:r>
    </w:p>
  </w:footnote>
  <w:footnote w:id="79">
    <w:p w14:paraId="5CFAA8DB" w14:textId="77777777" w:rsidR="00481564" w:rsidRPr="00935895" w:rsidRDefault="00481564" w:rsidP="00481564">
      <w:pPr>
        <w:pStyle w:val="Textodenotaderodap"/>
      </w:pPr>
      <w:r>
        <w:rPr>
          <w:rStyle w:val="Refdenotaderodap"/>
        </w:rPr>
        <w:footnoteRef/>
      </w:r>
      <w:r>
        <w:t xml:space="preserve"> </w:t>
      </w:r>
      <w:bookmarkStart w:id="30" w:name="_Hlk111717191"/>
      <w:r>
        <w:t>Sergey Brin and Lawrence Page, ‘The Anatomy of a Large-Scale Hypertextual Web Search Engine’ (</w:t>
      </w:r>
      <w:r w:rsidRPr="00935895">
        <w:t>199</w:t>
      </w:r>
      <w:r>
        <w:t>8) &lt;</w:t>
      </w:r>
      <w:r w:rsidRPr="008D2BAB">
        <w:t>http://infolab.stanford.edu/~backrub/google.html</w:t>
      </w:r>
      <w:r>
        <w:t>&gt;</w:t>
      </w:r>
      <w:bookmarkEnd w:id="30"/>
      <w:r>
        <w:t xml:space="preserve"> accessed 24 July 2022</w:t>
      </w:r>
    </w:p>
  </w:footnote>
  <w:footnote w:id="80">
    <w:p w14:paraId="172CC2FC" w14:textId="77777777" w:rsidR="00481564" w:rsidRPr="004A1DB2" w:rsidRDefault="00481564" w:rsidP="00481564">
      <w:pPr>
        <w:pStyle w:val="Textodenotaderodap"/>
        <w:rPr>
          <w:lang w:val="pt-BR"/>
        </w:rPr>
      </w:pPr>
      <w:r>
        <w:rPr>
          <w:rStyle w:val="Refdenotaderodap"/>
        </w:rPr>
        <w:footnoteRef/>
      </w:r>
      <w:r w:rsidRPr="004A1DB2">
        <w:rPr>
          <w:lang w:val="pt-BR"/>
        </w:rPr>
        <w:t xml:space="preserve"> </w:t>
      </w:r>
      <w:r w:rsidRPr="004A1DB2">
        <w:rPr>
          <w:lang w:val="pt-BR"/>
        </w:rPr>
        <w:t>Floridi (n 7</w:t>
      </w:r>
      <w:r>
        <w:rPr>
          <w:lang w:val="pt-BR"/>
        </w:rPr>
        <w:t>4</w:t>
      </w:r>
      <w:r w:rsidRPr="004A1DB2">
        <w:rPr>
          <w:lang w:val="pt-BR"/>
        </w:rPr>
        <w:t xml:space="preserve">) </w:t>
      </w:r>
    </w:p>
  </w:footnote>
  <w:footnote w:id="81">
    <w:p w14:paraId="2B4106D4" w14:textId="77777777" w:rsidR="00481564" w:rsidRPr="004A1DB2" w:rsidRDefault="00481564" w:rsidP="00481564">
      <w:pPr>
        <w:pStyle w:val="Textodenotaderodap"/>
        <w:rPr>
          <w:lang w:val="pt-BR"/>
        </w:rPr>
      </w:pPr>
      <w:r>
        <w:rPr>
          <w:rStyle w:val="Refdenotaderodap"/>
        </w:rPr>
        <w:footnoteRef/>
      </w:r>
      <w:r w:rsidRPr="004A1DB2">
        <w:rPr>
          <w:lang w:val="pt-BR"/>
        </w:rPr>
        <w:t xml:space="preserve"> </w:t>
      </w:r>
      <w:r w:rsidRPr="004A1DB2">
        <w:rPr>
          <w:i/>
          <w:iCs/>
          <w:lang w:val="pt-BR"/>
        </w:rPr>
        <w:t>Google Spain</w:t>
      </w:r>
      <w:r w:rsidRPr="004A1DB2">
        <w:rPr>
          <w:lang w:val="pt-BR"/>
        </w:rPr>
        <w:t xml:space="preserve"> (n 5), para 82</w:t>
      </w:r>
      <w:r>
        <w:rPr>
          <w:lang w:val="pt-BR"/>
        </w:rPr>
        <w:t>.</w:t>
      </w:r>
    </w:p>
  </w:footnote>
  <w:footnote w:id="82">
    <w:p w14:paraId="78AFBF37" w14:textId="77777777" w:rsidR="00481564" w:rsidRPr="00481564" w:rsidRDefault="00481564" w:rsidP="00481564">
      <w:pPr>
        <w:pStyle w:val="Textodenotaderodap"/>
      </w:pPr>
      <w:r>
        <w:rPr>
          <w:rStyle w:val="Refdenotaderodap"/>
        </w:rPr>
        <w:footnoteRef/>
      </w:r>
      <w:r w:rsidRPr="00481564">
        <w:t xml:space="preserve"> ibid, para 84.</w:t>
      </w:r>
    </w:p>
  </w:footnote>
  <w:footnote w:id="83">
    <w:p w14:paraId="094796C5" w14:textId="77777777" w:rsidR="00481564" w:rsidRPr="00E75E4A" w:rsidRDefault="00481564" w:rsidP="00481564">
      <w:pPr>
        <w:pStyle w:val="Textodenotaderodap"/>
      </w:pPr>
      <w:r>
        <w:rPr>
          <w:rStyle w:val="Refdenotaderodap"/>
        </w:rPr>
        <w:footnoteRef/>
      </w:r>
      <w:r w:rsidRPr="00E75E4A">
        <w:t xml:space="preserve"> </w:t>
      </w:r>
      <w:bookmarkStart w:id="31" w:name="_Hlk111717386"/>
      <w:r w:rsidRPr="00E75E4A">
        <w:t xml:space="preserve">Samuel Gibbs. </w:t>
      </w:r>
      <w:r>
        <w:t>‘</w:t>
      </w:r>
      <w:r w:rsidRPr="00E75E4A">
        <w:t>Larry Page: '</w:t>
      </w:r>
      <w:r>
        <w:t>R</w:t>
      </w:r>
      <w:r w:rsidRPr="00E75E4A">
        <w:t xml:space="preserve">ight to be </w:t>
      </w:r>
      <w:r>
        <w:t>F</w:t>
      </w:r>
      <w:r w:rsidRPr="00E75E4A">
        <w:t xml:space="preserve">orgotten' </w:t>
      </w:r>
      <w:r>
        <w:t>C</w:t>
      </w:r>
      <w:r w:rsidRPr="00E75E4A">
        <w:t xml:space="preserve">ould </w:t>
      </w:r>
      <w:r>
        <w:t>E</w:t>
      </w:r>
      <w:r w:rsidRPr="00E75E4A">
        <w:t xml:space="preserve">mpower </w:t>
      </w:r>
      <w:r>
        <w:t>G</w:t>
      </w:r>
      <w:r w:rsidRPr="00E75E4A">
        <w:t xml:space="preserve">overnment </w:t>
      </w:r>
      <w:r>
        <w:t>R</w:t>
      </w:r>
      <w:r w:rsidRPr="00E75E4A">
        <w:t>epression</w:t>
      </w:r>
      <w:r>
        <w:t xml:space="preserve">’ </w:t>
      </w:r>
      <w:r w:rsidRPr="004A1DB2">
        <w:rPr>
          <w:i/>
          <w:iCs/>
        </w:rPr>
        <w:t>The Guardian</w:t>
      </w:r>
      <w:r>
        <w:t xml:space="preserve"> (London, 30 May 2014)</w:t>
      </w:r>
      <w:r w:rsidRPr="00E75E4A">
        <w:t xml:space="preserve"> </w:t>
      </w:r>
      <w:r>
        <w:t>&lt;</w:t>
      </w:r>
      <w:r w:rsidRPr="004A1DB2">
        <w:t>https://www.theguardian.com/technology/2014/may/30/larry-page-right-to-be-forgotten-government-repression</w:t>
      </w:r>
      <w:r>
        <w:t xml:space="preserve">&gt; </w:t>
      </w:r>
      <w:bookmarkEnd w:id="31"/>
      <w:r>
        <w:t>accessed 23 July 2022</w:t>
      </w:r>
    </w:p>
  </w:footnote>
  <w:footnote w:id="84">
    <w:p w14:paraId="1A6FCBBA" w14:textId="77777777" w:rsidR="00481564" w:rsidRPr="00E3764C" w:rsidRDefault="00481564" w:rsidP="00481564">
      <w:pPr>
        <w:pStyle w:val="Textodenotaderodap"/>
      </w:pPr>
      <w:r>
        <w:rPr>
          <w:rStyle w:val="Refdenotaderodap"/>
        </w:rPr>
        <w:footnoteRef/>
      </w:r>
      <w:r w:rsidRPr="00E3764C">
        <w:t xml:space="preserve"> </w:t>
      </w:r>
      <w:r w:rsidRPr="004A1DB2">
        <w:rPr>
          <w:i/>
          <w:iCs/>
        </w:rPr>
        <w:t>Google Spain</w:t>
      </w:r>
      <w:r>
        <w:t xml:space="preserve"> (n 5), para</w:t>
      </w:r>
      <w:r w:rsidRPr="00E3764C">
        <w:t xml:space="preserve"> 81</w:t>
      </w:r>
      <w:r>
        <w:t>.</w:t>
      </w:r>
    </w:p>
  </w:footnote>
  <w:footnote w:id="85">
    <w:p w14:paraId="4DE74EF9" w14:textId="77777777" w:rsidR="00481564" w:rsidRDefault="00481564" w:rsidP="00481564">
      <w:pPr>
        <w:pStyle w:val="Textodenotaderodap"/>
      </w:pPr>
      <w:r>
        <w:rPr>
          <w:rStyle w:val="Refdenotaderodap"/>
        </w:rPr>
        <w:footnoteRef/>
      </w:r>
      <w:r>
        <w:t xml:space="preserve"> DPD (n 3), art 9.</w:t>
      </w:r>
    </w:p>
  </w:footnote>
  <w:footnote w:id="86">
    <w:p w14:paraId="3DCD8D56" w14:textId="77777777" w:rsidR="00481564" w:rsidRDefault="00481564" w:rsidP="00481564">
      <w:pPr>
        <w:pStyle w:val="Textodenotaderodap"/>
      </w:pPr>
      <w:r>
        <w:rPr>
          <w:rStyle w:val="Refdenotaderodap"/>
        </w:rPr>
        <w:footnoteRef/>
      </w:r>
      <w:r>
        <w:t xml:space="preserve"> </w:t>
      </w:r>
      <w:r w:rsidRPr="004A1DB2">
        <w:rPr>
          <w:i/>
          <w:iCs/>
        </w:rPr>
        <w:t>Google Spain</w:t>
      </w:r>
      <w:r>
        <w:t xml:space="preserve"> (n 5), para 85.</w:t>
      </w:r>
    </w:p>
  </w:footnote>
  <w:footnote w:id="87">
    <w:p w14:paraId="11B3DEC8" w14:textId="77777777" w:rsidR="00481564" w:rsidRDefault="00481564" w:rsidP="00481564">
      <w:pPr>
        <w:pStyle w:val="Textodenotaderodap"/>
      </w:pPr>
      <w:r>
        <w:rPr>
          <w:rStyle w:val="Refdenotaderodap"/>
        </w:rPr>
        <w:footnoteRef/>
      </w:r>
      <w:r>
        <w:t xml:space="preserve"> </w:t>
      </w:r>
      <w:bookmarkStart w:id="32" w:name="_Hlk111717597"/>
      <w:r>
        <w:t>Sam Wrigley and Anne Klinefelter, ‘Google LLC. v. CNIL: The Location-Based Limits of the EU Right to Erasure and Lessons for U.S. Privacy Law’ [2021] 22(4) North Carolina Journal of Law &amp; Technology, 713 &lt;</w:t>
      </w:r>
      <w:r w:rsidRPr="000F2614">
        <w:t>https://papers.ssrn.com/sol3/papers.cfm?abstract_id=3844968</w:t>
      </w:r>
      <w:r>
        <w:t>&gt; accessed 24 July 2022</w:t>
      </w:r>
      <w:bookmarkEnd w:id="32"/>
    </w:p>
  </w:footnote>
  <w:footnote w:id="88">
    <w:p w14:paraId="3C765D86" w14:textId="77777777" w:rsidR="00481564" w:rsidRDefault="00481564" w:rsidP="00481564">
      <w:pPr>
        <w:pStyle w:val="Textodenotaderodap"/>
      </w:pPr>
      <w:r>
        <w:rPr>
          <w:rStyle w:val="Refdenotaderodap"/>
        </w:rPr>
        <w:footnoteRef/>
      </w:r>
      <w:r>
        <w:t xml:space="preserve"> </w:t>
      </w:r>
      <w:r w:rsidRPr="000F2614">
        <w:rPr>
          <w:i/>
          <w:iCs/>
        </w:rPr>
        <w:t>Google Spain</w:t>
      </w:r>
      <w:r>
        <w:t xml:space="preserve"> (n 5), para 88.</w:t>
      </w:r>
    </w:p>
  </w:footnote>
  <w:footnote w:id="89">
    <w:p w14:paraId="23EEA05E" w14:textId="77777777" w:rsidR="00481564" w:rsidRPr="000F2614" w:rsidRDefault="00481564" w:rsidP="00481564">
      <w:pPr>
        <w:pStyle w:val="Textodenotaderodap"/>
      </w:pPr>
      <w:r>
        <w:rPr>
          <w:rStyle w:val="Refdenotaderodap"/>
        </w:rPr>
        <w:footnoteRef/>
      </w:r>
      <w:r>
        <w:t xml:space="preserve"> </w:t>
      </w:r>
      <w:bookmarkStart w:id="33" w:name="_Hlk111717746"/>
      <w:r>
        <w:t>Peter Fleischer, ‘“The Right To Be Forgotten”, Seen from Spain’ (</w:t>
      </w:r>
      <w:r w:rsidRPr="000F2614">
        <w:rPr>
          <w:i/>
          <w:iCs/>
        </w:rPr>
        <w:t>Peter Fleischer: Privacy</w:t>
      </w:r>
      <w:r w:rsidRPr="000F2614">
        <w:rPr>
          <w:i/>
          <w:iCs/>
        </w:rPr>
        <w:t>…?</w:t>
      </w:r>
      <w:r>
        <w:t xml:space="preserve">, 5 September 2011). </w:t>
      </w:r>
      <w:r w:rsidRPr="000F2614">
        <w:t>&lt;http://peterfleischer.blogspot.com/2011/09/right-to-be-forgotten-seen-from-spain.html&gt; ac</w:t>
      </w:r>
      <w:r>
        <w:t>cessed 22 July 2022</w:t>
      </w:r>
    </w:p>
    <w:bookmarkEnd w:id="33"/>
  </w:footnote>
  <w:footnote w:id="90">
    <w:p w14:paraId="148B02F4" w14:textId="77777777" w:rsidR="00481564" w:rsidRDefault="00481564" w:rsidP="00481564">
      <w:pPr>
        <w:pStyle w:val="Textodenotaderodap"/>
      </w:pPr>
      <w:r>
        <w:rPr>
          <w:rStyle w:val="Refdenotaderodap"/>
        </w:rPr>
        <w:footnoteRef/>
      </w:r>
      <w:r>
        <w:t xml:space="preserve"> </w:t>
      </w:r>
      <w:r w:rsidRPr="00E50905">
        <w:rPr>
          <w:i/>
          <w:iCs/>
        </w:rPr>
        <w:t>Google Spain</w:t>
      </w:r>
      <w:r>
        <w:t xml:space="preserve"> (n 5), paras 82-88.</w:t>
      </w:r>
    </w:p>
  </w:footnote>
  <w:footnote w:id="91">
    <w:p w14:paraId="33FD0516" w14:textId="77777777" w:rsidR="00481564" w:rsidRDefault="00481564" w:rsidP="00481564">
      <w:pPr>
        <w:pStyle w:val="Textodenotaderodap"/>
      </w:pPr>
      <w:r>
        <w:rPr>
          <w:rStyle w:val="Refdenotaderodap"/>
        </w:rPr>
        <w:footnoteRef/>
      </w:r>
      <w:r>
        <w:t xml:space="preserve"> </w:t>
      </w:r>
      <w:bookmarkStart w:id="34" w:name="_Hlk111717835"/>
      <w:r>
        <w:t xml:space="preserve">Zygmunt Bauman and David Lyon, </w:t>
      </w:r>
      <w:r w:rsidRPr="00E50905">
        <w:rPr>
          <w:i/>
          <w:iCs/>
        </w:rPr>
        <w:t>Liquid Surveillance: A Conversation</w:t>
      </w:r>
      <w:r>
        <w:t xml:space="preserve"> (Polity Press, 2013) </w:t>
      </w:r>
      <w:bookmarkEnd w:id="34"/>
      <w:r>
        <w:t>13.</w:t>
      </w:r>
    </w:p>
  </w:footnote>
  <w:footnote w:id="92">
    <w:p w14:paraId="0CB8EA8C" w14:textId="77777777" w:rsidR="00481564" w:rsidRDefault="00481564" w:rsidP="00481564">
      <w:pPr>
        <w:pStyle w:val="Textodenotaderodap"/>
      </w:pPr>
      <w:r>
        <w:rPr>
          <w:rStyle w:val="Refdenotaderodap"/>
        </w:rPr>
        <w:footnoteRef/>
      </w:r>
      <w:r>
        <w:t xml:space="preserve"> </w:t>
      </w:r>
      <w:r w:rsidRPr="00E50905">
        <w:rPr>
          <w:i/>
          <w:iCs/>
        </w:rPr>
        <w:t>Google Spain</w:t>
      </w:r>
      <w:r>
        <w:t xml:space="preserve"> (n 5), para 43.</w:t>
      </w:r>
    </w:p>
  </w:footnote>
  <w:footnote w:id="93">
    <w:p w14:paraId="2D0AB043" w14:textId="77777777" w:rsidR="00481564" w:rsidRDefault="00481564" w:rsidP="00481564">
      <w:pPr>
        <w:pStyle w:val="Textodenotaderodap"/>
      </w:pPr>
      <w:r>
        <w:rPr>
          <w:rStyle w:val="Refdenotaderodap"/>
        </w:rPr>
        <w:footnoteRef/>
      </w:r>
      <w:r>
        <w:t xml:space="preserve"> ibid</w:t>
      </w:r>
    </w:p>
  </w:footnote>
  <w:footnote w:id="94">
    <w:p w14:paraId="0E18C50C" w14:textId="77777777" w:rsidR="00481564" w:rsidRPr="00E3764C" w:rsidRDefault="00481564" w:rsidP="00481564">
      <w:pPr>
        <w:pStyle w:val="Textodenotaderodap"/>
      </w:pPr>
      <w:r>
        <w:rPr>
          <w:rStyle w:val="Refdenotaderodap"/>
        </w:rPr>
        <w:footnoteRef/>
      </w:r>
      <w:r w:rsidRPr="00E3764C">
        <w:t xml:space="preserve"> </w:t>
      </w:r>
      <w:r>
        <w:t>ibid</w:t>
      </w:r>
      <w:r w:rsidRPr="00E3764C">
        <w:t xml:space="preserve">, </w:t>
      </w:r>
      <w:r>
        <w:t xml:space="preserve">para </w:t>
      </w:r>
      <w:r w:rsidRPr="00E3764C">
        <w:t>46</w:t>
      </w:r>
      <w:r>
        <w:t>.</w:t>
      </w:r>
    </w:p>
  </w:footnote>
  <w:footnote w:id="95">
    <w:p w14:paraId="674C1481" w14:textId="77777777" w:rsidR="00481564" w:rsidRDefault="00481564" w:rsidP="00481564">
      <w:pPr>
        <w:pStyle w:val="Textodenotaderodap"/>
      </w:pPr>
      <w:r>
        <w:rPr>
          <w:rStyle w:val="Refdenotaderodap"/>
        </w:rPr>
        <w:footnoteRef/>
      </w:r>
      <w:r>
        <w:t xml:space="preserve"> Opinion of </w:t>
      </w:r>
      <w:r w:rsidRPr="00172BF9">
        <w:t xml:space="preserve">AG </w:t>
      </w:r>
      <w:r w:rsidRPr="00B30B33">
        <w:t>Jääskinen</w:t>
      </w:r>
      <w:r>
        <w:t xml:space="preserve"> (n 65), para 49.</w:t>
      </w:r>
    </w:p>
  </w:footnote>
  <w:footnote w:id="96">
    <w:p w14:paraId="6CBB8D13" w14:textId="77777777" w:rsidR="00481564" w:rsidRPr="00E3764C" w:rsidRDefault="00481564" w:rsidP="00481564">
      <w:pPr>
        <w:pStyle w:val="Textodenotaderodap"/>
      </w:pPr>
      <w:r>
        <w:rPr>
          <w:rStyle w:val="Refdenotaderodap"/>
        </w:rPr>
        <w:footnoteRef/>
      </w:r>
      <w:r w:rsidRPr="00E3764C">
        <w:t xml:space="preserve"> </w:t>
      </w:r>
      <w:r w:rsidRPr="00E50905">
        <w:rPr>
          <w:i/>
          <w:iCs/>
        </w:rPr>
        <w:t>Google Spain</w:t>
      </w:r>
      <w:r>
        <w:t xml:space="preserve"> (n 5)</w:t>
      </w:r>
      <w:r w:rsidRPr="00E3764C">
        <w:t>, para 51</w:t>
      </w:r>
      <w:r>
        <w:t>.</w:t>
      </w:r>
    </w:p>
  </w:footnote>
  <w:footnote w:id="97">
    <w:p w14:paraId="72200789" w14:textId="77777777" w:rsidR="00481564" w:rsidRPr="00E3764C" w:rsidRDefault="00481564" w:rsidP="00481564">
      <w:pPr>
        <w:pStyle w:val="Textodenotaderodap"/>
      </w:pPr>
      <w:r>
        <w:rPr>
          <w:rStyle w:val="Refdenotaderodap"/>
        </w:rPr>
        <w:footnoteRef/>
      </w:r>
      <w:r w:rsidRPr="00E3764C">
        <w:t xml:space="preserve"> </w:t>
      </w:r>
      <w:r>
        <w:t>ibid</w:t>
      </w:r>
      <w:r w:rsidRPr="00E3764C">
        <w:t xml:space="preserve">, </w:t>
      </w:r>
      <w:r>
        <w:t xml:space="preserve">paras </w:t>
      </w:r>
      <w:r w:rsidRPr="00E3764C">
        <w:t>53-55</w:t>
      </w:r>
      <w:r>
        <w:t>.</w:t>
      </w:r>
    </w:p>
  </w:footnote>
  <w:footnote w:id="98">
    <w:p w14:paraId="51CE19DD" w14:textId="77777777" w:rsidR="00481564" w:rsidRPr="00B33FAE" w:rsidRDefault="00481564" w:rsidP="00481564">
      <w:pPr>
        <w:pStyle w:val="Textodenotaderodap"/>
      </w:pPr>
      <w:r>
        <w:rPr>
          <w:rStyle w:val="Refdenotaderodap"/>
        </w:rPr>
        <w:footnoteRef/>
      </w:r>
      <w:bookmarkStart w:id="35" w:name="_Hlk111718306"/>
      <w:r w:rsidRPr="00B33FAE">
        <w:t>Case C-230/14</w:t>
      </w:r>
      <w:r w:rsidRPr="00E3764C">
        <w:t xml:space="preserve"> </w:t>
      </w:r>
      <w:r w:rsidRPr="00E3764C">
        <w:rPr>
          <w:i/>
          <w:iCs/>
        </w:rPr>
        <w:t>Weltimmo s. r. o. v Nemzeti Adatvédelmi és Információszabadság Hatóság</w:t>
      </w:r>
      <w:r>
        <w:t xml:space="preserve"> [2015] </w:t>
      </w:r>
      <w:r w:rsidRPr="00B33FAE">
        <w:t>OJ C245</w:t>
      </w:r>
      <w:bookmarkEnd w:id="35"/>
      <w:r>
        <w:t>/1, p</w:t>
      </w:r>
      <w:r w:rsidRPr="00B33FAE">
        <w:t>ara 31</w:t>
      </w:r>
      <w:r>
        <w:t>.</w:t>
      </w:r>
    </w:p>
  </w:footnote>
  <w:footnote w:id="99">
    <w:p w14:paraId="6AC3204E" w14:textId="77777777" w:rsidR="00481564" w:rsidRPr="00CC05A9" w:rsidRDefault="00481564" w:rsidP="00481564">
      <w:pPr>
        <w:pStyle w:val="Textodenotaderodap"/>
        <w:rPr>
          <w:lang w:val="pt-BR"/>
        </w:rPr>
      </w:pPr>
      <w:r>
        <w:rPr>
          <w:rStyle w:val="Refdenotaderodap"/>
        </w:rPr>
        <w:footnoteRef/>
      </w:r>
      <w:r w:rsidRPr="00CC05A9">
        <w:rPr>
          <w:lang w:val="pt-BR"/>
        </w:rPr>
        <w:t xml:space="preserve"> </w:t>
      </w:r>
      <w:r>
        <w:rPr>
          <w:lang w:val="pt-BR"/>
        </w:rPr>
        <w:t xml:space="preserve">DPD (n 3), </w:t>
      </w:r>
      <w:r w:rsidRPr="00CC05A9">
        <w:rPr>
          <w:lang w:val="pt-BR"/>
        </w:rPr>
        <w:t>Recital 10</w:t>
      </w:r>
      <w:r>
        <w:rPr>
          <w:lang w:val="pt-BR"/>
        </w:rPr>
        <w:t xml:space="preserve">; GDPR (n 4), </w:t>
      </w:r>
      <w:r w:rsidRPr="00CC05A9">
        <w:rPr>
          <w:lang w:val="pt-BR"/>
        </w:rPr>
        <w:t>Recital 10</w:t>
      </w:r>
      <w:r>
        <w:rPr>
          <w:lang w:val="pt-BR"/>
        </w:rPr>
        <w:t>.</w:t>
      </w:r>
    </w:p>
  </w:footnote>
  <w:footnote w:id="100">
    <w:p w14:paraId="5ABB3530" w14:textId="77777777" w:rsidR="00481564" w:rsidRPr="00D8662F" w:rsidRDefault="00481564" w:rsidP="00481564">
      <w:pPr>
        <w:pStyle w:val="Textodenotaderodap"/>
      </w:pPr>
      <w:r>
        <w:rPr>
          <w:rStyle w:val="Refdenotaderodap"/>
        </w:rPr>
        <w:footnoteRef/>
      </w:r>
      <w:r w:rsidRPr="00D8662F">
        <w:t xml:space="preserve"> </w:t>
      </w:r>
      <w:r w:rsidRPr="00D8662F">
        <w:rPr>
          <w:i/>
          <w:iCs/>
        </w:rPr>
        <w:t>Google Spain</w:t>
      </w:r>
      <w:r w:rsidRPr="00D8662F">
        <w:t xml:space="preserve"> (n 5), para 56</w:t>
      </w:r>
      <w:r>
        <w:t>.</w:t>
      </w:r>
    </w:p>
  </w:footnote>
  <w:footnote w:id="101">
    <w:p w14:paraId="5AF45F02" w14:textId="77777777" w:rsidR="00481564" w:rsidRPr="00D8662F" w:rsidRDefault="00481564" w:rsidP="00481564">
      <w:pPr>
        <w:pStyle w:val="Textodenotaderodap"/>
      </w:pPr>
      <w:r>
        <w:rPr>
          <w:rStyle w:val="Refdenotaderodap"/>
        </w:rPr>
        <w:footnoteRef/>
      </w:r>
      <w:r w:rsidRPr="00D8662F">
        <w:t xml:space="preserve"> </w:t>
      </w:r>
      <w:r w:rsidRPr="00D8662F">
        <w:rPr>
          <w:i/>
          <w:iCs/>
        </w:rPr>
        <w:t>Google Spain</w:t>
      </w:r>
      <w:r w:rsidRPr="00D8662F">
        <w:t xml:space="preserve"> (n 5), para 57</w:t>
      </w:r>
      <w:r>
        <w:t>.</w:t>
      </w:r>
    </w:p>
  </w:footnote>
  <w:footnote w:id="102">
    <w:p w14:paraId="6BEDB122" w14:textId="77777777" w:rsidR="00481564" w:rsidRPr="00E3764C" w:rsidRDefault="00481564" w:rsidP="00481564">
      <w:pPr>
        <w:pStyle w:val="Textodenotaderodap"/>
      </w:pPr>
      <w:r>
        <w:rPr>
          <w:rStyle w:val="Refdenotaderodap"/>
        </w:rPr>
        <w:footnoteRef/>
      </w:r>
      <w:r w:rsidRPr="00E3764C">
        <w:t xml:space="preserve"> </w:t>
      </w:r>
      <w:r>
        <w:t xml:space="preserve">Opinion of </w:t>
      </w:r>
      <w:r w:rsidRPr="00172BF9">
        <w:t xml:space="preserve">AG </w:t>
      </w:r>
      <w:r w:rsidRPr="00B30B33">
        <w:t>Jääskinen</w:t>
      </w:r>
      <w:r>
        <w:t xml:space="preserve"> (n 65)</w:t>
      </w:r>
      <w:r w:rsidRPr="00E3764C">
        <w:t xml:space="preserve">, </w:t>
      </w:r>
      <w:r>
        <w:t xml:space="preserve">para </w:t>
      </w:r>
      <w:r w:rsidRPr="00E3764C">
        <w:t>66</w:t>
      </w:r>
      <w:r>
        <w:t>.</w:t>
      </w:r>
    </w:p>
  </w:footnote>
  <w:footnote w:id="103">
    <w:p w14:paraId="18B1444A" w14:textId="77777777" w:rsidR="00481564" w:rsidRPr="00E3764C" w:rsidRDefault="00481564" w:rsidP="00481564">
      <w:pPr>
        <w:pStyle w:val="Textodenotaderodap"/>
      </w:pPr>
      <w:r>
        <w:rPr>
          <w:rStyle w:val="Refdenotaderodap"/>
        </w:rPr>
        <w:footnoteRef/>
      </w:r>
      <w:r w:rsidRPr="00E3764C">
        <w:t xml:space="preserve"> </w:t>
      </w:r>
      <w:r>
        <w:t>ibid</w:t>
      </w:r>
      <w:r w:rsidRPr="00E3764C">
        <w:t xml:space="preserve">, </w:t>
      </w:r>
      <w:r>
        <w:t xml:space="preserve">para </w:t>
      </w:r>
      <w:r w:rsidRPr="00E3764C">
        <w:t>67</w:t>
      </w:r>
      <w:r>
        <w:t>.</w:t>
      </w:r>
    </w:p>
  </w:footnote>
  <w:footnote w:id="104">
    <w:p w14:paraId="639583C0" w14:textId="77777777" w:rsidR="00481564" w:rsidRPr="00E3764C" w:rsidRDefault="00481564" w:rsidP="00481564">
      <w:pPr>
        <w:pStyle w:val="Textodenotaderodap"/>
      </w:pPr>
      <w:r>
        <w:rPr>
          <w:rStyle w:val="Refdenotaderodap"/>
        </w:rPr>
        <w:footnoteRef/>
      </w:r>
      <w:r>
        <w:t xml:space="preserve"> </w:t>
      </w:r>
      <w:bookmarkStart w:id="36" w:name="_Hlk111747776"/>
      <w:bookmarkStart w:id="37" w:name="_Hlk111718757"/>
      <w:r>
        <w:t xml:space="preserve">WP225 Guidelines on the implementation of the Court of Justice of the European Union Judgment on “Google Spain and Inc v. AEPD and Mario Costeja González” C-131/12 (2020) </w:t>
      </w:r>
      <w:bookmarkEnd w:id="36"/>
      <w:r>
        <w:t>9.</w:t>
      </w:r>
      <w:r w:rsidRPr="00E3764C">
        <w:t xml:space="preserve"> </w:t>
      </w:r>
      <w:bookmarkEnd w:id="37"/>
    </w:p>
  </w:footnote>
  <w:footnote w:id="105">
    <w:p w14:paraId="79EC57C7" w14:textId="77777777" w:rsidR="00481564" w:rsidRDefault="00481564" w:rsidP="00481564">
      <w:pPr>
        <w:pStyle w:val="Textodenotaderodap"/>
      </w:pPr>
      <w:r>
        <w:rPr>
          <w:rStyle w:val="Refdenotaderodap"/>
        </w:rPr>
        <w:footnoteRef/>
      </w:r>
      <w:r>
        <w:t xml:space="preserve"> Opinion of </w:t>
      </w:r>
      <w:r w:rsidRPr="00172BF9">
        <w:t xml:space="preserve">AG </w:t>
      </w:r>
      <w:r w:rsidRPr="00B30B33">
        <w:t>Jääskinen</w:t>
      </w:r>
      <w:r>
        <w:t xml:space="preserve"> (n 65), paras 104-105.</w:t>
      </w:r>
    </w:p>
  </w:footnote>
  <w:footnote w:id="106">
    <w:p w14:paraId="7AF0773C" w14:textId="77777777" w:rsidR="00481564" w:rsidRDefault="00481564" w:rsidP="00481564">
      <w:pPr>
        <w:pStyle w:val="Textodenotaderodap"/>
      </w:pPr>
      <w:r>
        <w:rPr>
          <w:rStyle w:val="Refdenotaderodap"/>
        </w:rPr>
        <w:footnoteRef/>
      </w:r>
      <w:r>
        <w:t xml:space="preserve"> ibid, paras 106-108.</w:t>
      </w:r>
    </w:p>
  </w:footnote>
  <w:footnote w:id="107">
    <w:p w14:paraId="761B2211" w14:textId="77777777" w:rsidR="00481564" w:rsidRDefault="00481564" w:rsidP="00481564">
      <w:pPr>
        <w:pStyle w:val="Textodenotaderodap"/>
      </w:pPr>
      <w:r>
        <w:rPr>
          <w:rStyle w:val="Refdenotaderodap"/>
        </w:rPr>
        <w:footnoteRef/>
      </w:r>
      <w:r>
        <w:t xml:space="preserve"> </w:t>
      </w:r>
      <w:r w:rsidRPr="001C2C3E">
        <w:rPr>
          <w:i/>
          <w:iCs/>
        </w:rPr>
        <w:t>Google Spain</w:t>
      </w:r>
      <w:r>
        <w:t xml:space="preserve"> (n 5), para 94.</w:t>
      </w:r>
    </w:p>
  </w:footnote>
  <w:footnote w:id="108">
    <w:p w14:paraId="09F6EE53" w14:textId="77777777" w:rsidR="00481564" w:rsidRDefault="00481564" w:rsidP="00481564">
      <w:pPr>
        <w:pStyle w:val="Textodenotaderodap"/>
      </w:pPr>
      <w:r>
        <w:rPr>
          <w:rStyle w:val="Refdenotaderodap"/>
        </w:rPr>
        <w:footnoteRef/>
      </w:r>
      <w:r>
        <w:t xml:space="preserve"> ibid, para 96.</w:t>
      </w:r>
    </w:p>
  </w:footnote>
  <w:footnote w:id="109">
    <w:p w14:paraId="61219B46" w14:textId="77777777" w:rsidR="00481564" w:rsidRDefault="00481564" w:rsidP="00481564">
      <w:pPr>
        <w:pStyle w:val="Textodenotaderodap"/>
      </w:pPr>
      <w:r>
        <w:rPr>
          <w:rStyle w:val="Refdenotaderodap"/>
        </w:rPr>
        <w:footnoteRef/>
      </w:r>
      <w:r>
        <w:t xml:space="preserve"> Opinion of </w:t>
      </w:r>
      <w:r w:rsidRPr="00172BF9">
        <w:t xml:space="preserve">AG </w:t>
      </w:r>
      <w:r w:rsidRPr="00B30B33">
        <w:t>Jääskinen</w:t>
      </w:r>
      <w:r>
        <w:t xml:space="preserve"> (n 65)</w:t>
      </w:r>
      <w:r w:rsidRPr="00E3764C">
        <w:t xml:space="preserve">, </w:t>
      </w:r>
      <w:r>
        <w:t>paras 106-131.</w:t>
      </w:r>
    </w:p>
  </w:footnote>
  <w:footnote w:id="110">
    <w:p w14:paraId="614EC450" w14:textId="77777777" w:rsidR="00481564" w:rsidRDefault="00481564" w:rsidP="00481564">
      <w:pPr>
        <w:pStyle w:val="Textodenotaderodap"/>
      </w:pPr>
      <w:r>
        <w:rPr>
          <w:rStyle w:val="Refdenotaderodap"/>
        </w:rPr>
        <w:footnoteRef/>
      </w:r>
      <w:r>
        <w:t xml:space="preserve"> ibid, paras 133-134.</w:t>
      </w:r>
    </w:p>
  </w:footnote>
  <w:footnote w:id="111">
    <w:p w14:paraId="25CE22E1" w14:textId="77777777" w:rsidR="00481564" w:rsidRDefault="00481564" w:rsidP="00481564">
      <w:pPr>
        <w:pStyle w:val="Textodenotaderodap"/>
      </w:pPr>
      <w:r>
        <w:rPr>
          <w:rStyle w:val="Refdenotaderodap"/>
        </w:rPr>
        <w:footnoteRef/>
      </w:r>
      <w:r>
        <w:t xml:space="preserve"> </w:t>
      </w:r>
      <w:r w:rsidRPr="001C2C3E">
        <w:rPr>
          <w:i/>
          <w:iCs/>
        </w:rPr>
        <w:t>Google Spain</w:t>
      </w:r>
      <w:r>
        <w:t xml:space="preserve"> (n 5), para 98.</w:t>
      </w:r>
    </w:p>
  </w:footnote>
  <w:footnote w:id="112">
    <w:p w14:paraId="701CE834" w14:textId="77777777" w:rsidR="00481564" w:rsidRDefault="00481564" w:rsidP="00481564">
      <w:pPr>
        <w:pStyle w:val="Textodenotaderodap"/>
      </w:pPr>
      <w:r>
        <w:rPr>
          <w:rStyle w:val="Refdenotaderodap"/>
        </w:rPr>
        <w:footnoteRef/>
      </w:r>
      <w:r>
        <w:t xml:space="preserve"> </w:t>
      </w:r>
      <w:bookmarkStart w:id="38" w:name="_Hlk111719101"/>
      <w:r>
        <w:t xml:space="preserve">Alexei Oreskovic, ‘“Right </w:t>
      </w:r>
      <w:r>
        <w:t xml:space="preserve">To Be Forgotten”: Google Hit with Takedown Requests After European Court Ruling’ </w:t>
      </w:r>
      <w:r>
        <w:rPr>
          <w:i/>
          <w:iCs/>
        </w:rPr>
        <w:t>Reuters</w:t>
      </w:r>
      <w:r>
        <w:t xml:space="preserve"> (San Francisco, 14 May 2014), &lt;</w:t>
      </w:r>
      <w:r w:rsidRPr="001C2C3E">
        <w:t>https://www.rawstory.com/2014/05/right-to-be-forgotten-google-hit-with-takedown-requests-after-european-court-ruling/</w:t>
      </w:r>
      <w:r>
        <w:t>&gt;</w:t>
      </w:r>
      <w:bookmarkEnd w:id="38"/>
      <w:r>
        <w:t xml:space="preserve"> accessed 29 July 2022</w:t>
      </w:r>
    </w:p>
  </w:footnote>
  <w:footnote w:id="113">
    <w:p w14:paraId="20050442" w14:textId="77777777" w:rsidR="00481564" w:rsidRDefault="00481564" w:rsidP="00481564">
      <w:pPr>
        <w:pStyle w:val="Textodenotaderodap"/>
      </w:pPr>
      <w:r>
        <w:rPr>
          <w:rStyle w:val="Refdenotaderodap"/>
        </w:rPr>
        <w:footnoteRef/>
      </w:r>
      <w:r>
        <w:t xml:space="preserve"> </w:t>
      </w:r>
      <w:bookmarkStart w:id="39" w:name="_Hlk111719247"/>
      <w:r>
        <w:t xml:space="preserve">David Mitchell, ‘The Right </w:t>
      </w:r>
      <w:r>
        <w:t xml:space="preserve">To Be Forgotten Will Turn the Internet into a Work of Fiction’ </w:t>
      </w:r>
      <w:r w:rsidRPr="009D0A0C">
        <w:rPr>
          <w:i/>
          <w:iCs/>
        </w:rPr>
        <w:t>The Guardian</w:t>
      </w:r>
      <w:r>
        <w:t xml:space="preserve"> (London, 5 July 2014) &lt;</w:t>
      </w:r>
      <w:r w:rsidRPr="001C536D">
        <w:t>https://www.theguardian.com/commentisfree/2014/jul/06/right-to-be-forgotten-internet-work-of-fiction-david-mitchell-eu-google</w:t>
      </w:r>
      <w:r>
        <w:t xml:space="preserve">&gt; </w:t>
      </w:r>
      <w:bookmarkEnd w:id="39"/>
      <w:r>
        <w:t>accessed 29 July 2022</w:t>
      </w:r>
    </w:p>
  </w:footnote>
  <w:footnote w:id="114">
    <w:p w14:paraId="7B812B12" w14:textId="77777777" w:rsidR="00481564" w:rsidRDefault="00481564" w:rsidP="00481564">
      <w:pPr>
        <w:pStyle w:val="Textodenotaderodap"/>
      </w:pPr>
      <w:r>
        <w:rPr>
          <w:rStyle w:val="Refdenotaderodap"/>
        </w:rPr>
        <w:footnoteRef/>
      </w:r>
      <w:r>
        <w:t xml:space="preserve"> </w:t>
      </w:r>
      <w:r w:rsidRPr="00C80B61">
        <w:rPr>
          <w:i/>
          <w:iCs/>
        </w:rPr>
        <w:t>GC and Others</w:t>
      </w:r>
      <w:r w:rsidRPr="00C80B61">
        <w:t xml:space="preserve"> (</w:t>
      </w:r>
      <w:r>
        <w:t>n 6</w:t>
      </w:r>
      <w:r w:rsidRPr="00C80B61">
        <w:t>)</w:t>
      </w:r>
    </w:p>
  </w:footnote>
  <w:footnote w:id="115">
    <w:p w14:paraId="255E3C3D" w14:textId="77777777" w:rsidR="00481564" w:rsidRDefault="00481564" w:rsidP="00481564">
      <w:pPr>
        <w:pStyle w:val="Textodenotaderodap"/>
      </w:pPr>
      <w:r>
        <w:rPr>
          <w:rStyle w:val="Refdenotaderodap"/>
        </w:rPr>
        <w:footnoteRef/>
      </w:r>
      <w:r>
        <w:t xml:space="preserve"> </w:t>
      </w:r>
      <w:r w:rsidRPr="00C80B61">
        <w:rPr>
          <w:i/>
          <w:iCs/>
        </w:rPr>
        <w:t>Google v CNIL</w:t>
      </w:r>
      <w:r w:rsidRPr="00C80B61">
        <w:t xml:space="preserve"> (</w:t>
      </w:r>
      <w:r>
        <w:t>n 7</w:t>
      </w:r>
      <w:r w:rsidRPr="00C80B61">
        <w:t>)</w:t>
      </w:r>
    </w:p>
  </w:footnote>
  <w:footnote w:id="116">
    <w:p w14:paraId="2B39BCD0" w14:textId="77777777" w:rsidR="00481564" w:rsidRDefault="00481564" w:rsidP="00481564">
      <w:pPr>
        <w:pStyle w:val="Textodenotaderodap"/>
      </w:pPr>
      <w:r>
        <w:rPr>
          <w:rStyle w:val="Refdenotaderodap"/>
        </w:rPr>
        <w:footnoteRef/>
      </w:r>
      <w:r>
        <w:t xml:space="preserve"> </w:t>
      </w:r>
      <w:bookmarkStart w:id="41" w:name="_Hlk111719755"/>
      <w:r>
        <w:t xml:space="preserve">Google </w:t>
      </w:r>
      <w:r w:rsidRPr="00970906">
        <w:t>Personal Information Removal Request Form</w:t>
      </w:r>
      <w:r>
        <w:t xml:space="preserve"> &lt;</w:t>
      </w:r>
      <w:r w:rsidRPr="003531FE">
        <w:t>https://www.google.com/webmasters/tools/legal-removal-request?complaint_type=rtbf</w:t>
      </w:r>
      <w:r>
        <w:t xml:space="preserve">&gt; </w:t>
      </w:r>
      <w:bookmarkEnd w:id="41"/>
      <w:r>
        <w:t>accessed 30 July 2022</w:t>
      </w:r>
    </w:p>
  </w:footnote>
  <w:footnote w:id="117">
    <w:p w14:paraId="610D4A6E" w14:textId="77777777" w:rsidR="00481564" w:rsidRDefault="00481564" w:rsidP="00481564">
      <w:pPr>
        <w:pStyle w:val="Textodenotaderodap"/>
      </w:pPr>
      <w:r>
        <w:rPr>
          <w:rStyle w:val="Refdenotaderodap"/>
        </w:rPr>
        <w:footnoteRef/>
      </w:r>
      <w:r>
        <w:t xml:space="preserve"> </w:t>
      </w:r>
      <w:bookmarkStart w:id="42" w:name="_Hlk111719775"/>
      <w:r w:rsidRPr="00970906">
        <w:t>The Advisory Council to Google on the Right to be Forgotten</w:t>
      </w:r>
      <w:r>
        <w:t xml:space="preserve"> &lt;</w:t>
      </w:r>
      <w:r w:rsidRPr="00CF71F4">
        <w:t>https://archive.google.com/advisorycouncil/</w:t>
      </w:r>
      <w:r>
        <w:t>&gt;</w:t>
      </w:r>
      <w:bookmarkEnd w:id="42"/>
      <w:r>
        <w:t xml:space="preserve"> accessed 30 July 2022</w:t>
      </w:r>
    </w:p>
  </w:footnote>
  <w:footnote w:id="118">
    <w:p w14:paraId="55ED5A1E" w14:textId="77777777" w:rsidR="00481564" w:rsidRDefault="00481564" w:rsidP="00481564">
      <w:pPr>
        <w:pStyle w:val="Textodenotaderodap"/>
      </w:pPr>
      <w:r>
        <w:rPr>
          <w:rStyle w:val="Refdenotaderodap"/>
        </w:rPr>
        <w:footnoteRef/>
      </w:r>
      <w:r>
        <w:t xml:space="preserve"> </w:t>
      </w:r>
      <w:bookmarkStart w:id="43" w:name="_Hlk111719796"/>
      <w:r>
        <w:t>Google Transparency Report &lt;</w:t>
      </w:r>
      <w:r w:rsidRPr="001B5179">
        <w:t>https://transparencyreport.google.com/?hl=en</w:t>
      </w:r>
      <w:r>
        <w:t xml:space="preserve">&gt; </w:t>
      </w:r>
      <w:bookmarkEnd w:id="43"/>
      <w:r>
        <w:t>accessed 30 July 2022</w:t>
      </w:r>
    </w:p>
  </w:footnote>
  <w:footnote w:id="119">
    <w:p w14:paraId="0DA709EB" w14:textId="77777777" w:rsidR="00481564" w:rsidRDefault="00481564" w:rsidP="00481564">
      <w:pPr>
        <w:pStyle w:val="Textodenotaderodap"/>
      </w:pPr>
      <w:r>
        <w:rPr>
          <w:rStyle w:val="Refdenotaderodap"/>
        </w:rPr>
        <w:footnoteRef/>
      </w:r>
      <w:r>
        <w:t xml:space="preserve"> </w:t>
      </w:r>
      <w:bookmarkStart w:id="44" w:name="_Hlk111719820"/>
      <w:r w:rsidRPr="00F8396D">
        <w:t>Personal Information Removal Request Form</w:t>
      </w:r>
      <w:r>
        <w:t xml:space="preserve"> &lt;</w:t>
      </w:r>
      <w:r w:rsidRPr="00A35EA7">
        <w:t>https://www.google.com/webmasters/tools/legal-removal-request?complaint_type=rtbf&amp;visit_id=637909907348896979-2535998864&amp;rd=1</w:t>
      </w:r>
      <w:r>
        <w:t>&gt;</w:t>
      </w:r>
      <w:bookmarkEnd w:id="44"/>
      <w:r>
        <w:t xml:space="preserve"> accessed 30 July 2022</w:t>
      </w:r>
    </w:p>
  </w:footnote>
  <w:footnote w:id="120">
    <w:p w14:paraId="5C3427C1" w14:textId="77777777" w:rsidR="00481564" w:rsidRDefault="00481564" w:rsidP="00481564">
      <w:pPr>
        <w:pStyle w:val="Textodenotaderodap"/>
      </w:pPr>
      <w:r>
        <w:rPr>
          <w:rStyle w:val="Refdenotaderodap"/>
        </w:rPr>
        <w:footnoteRef/>
      </w:r>
      <w:r>
        <w:t xml:space="preserve"> </w:t>
      </w:r>
      <w:bookmarkStart w:id="45" w:name="_Hlk111719844"/>
      <w:r>
        <w:t>Google Transparency Report, ‘</w:t>
      </w:r>
      <w:r w:rsidRPr="00F8396D">
        <w:t xml:space="preserve">Requests to </w:t>
      </w:r>
      <w:r>
        <w:t>D</w:t>
      </w:r>
      <w:r w:rsidRPr="00F8396D">
        <w:t xml:space="preserve">elist </w:t>
      </w:r>
      <w:r>
        <w:t>C</w:t>
      </w:r>
      <w:r w:rsidRPr="00F8396D">
        <w:t xml:space="preserve">ontent </w:t>
      </w:r>
      <w:r>
        <w:t>U</w:t>
      </w:r>
      <w:r w:rsidRPr="00F8396D">
        <w:t xml:space="preserve">nder European </w:t>
      </w:r>
      <w:r>
        <w:t>P</w:t>
      </w:r>
      <w:r w:rsidRPr="00F8396D">
        <w:t xml:space="preserve">rivacy </w:t>
      </w:r>
      <w:r>
        <w:t>L</w:t>
      </w:r>
      <w:r w:rsidRPr="00F8396D">
        <w:t>aw</w:t>
      </w:r>
      <w:r>
        <w:t>’</w:t>
      </w:r>
      <w:r w:rsidRPr="00F8396D">
        <w:t xml:space="preserve"> </w:t>
      </w:r>
      <w:r>
        <w:t>&lt;</w:t>
      </w:r>
      <w:r w:rsidRPr="00C2070B">
        <w:t>https://transparencyreport.google.com/eu-privacy/overview</w:t>
      </w:r>
      <w:r>
        <w:t>&gt;</w:t>
      </w:r>
      <w:bookmarkEnd w:id="45"/>
      <w:r>
        <w:t xml:space="preserve"> accessed 30 July 2022</w:t>
      </w:r>
    </w:p>
  </w:footnote>
  <w:footnote w:id="121">
    <w:p w14:paraId="57E5F778" w14:textId="77777777" w:rsidR="00481564" w:rsidRPr="00CA2C1F" w:rsidRDefault="00481564" w:rsidP="00481564">
      <w:pPr>
        <w:pStyle w:val="Textodenotaderodap"/>
      </w:pPr>
      <w:r>
        <w:rPr>
          <w:rStyle w:val="Refdenotaderodap"/>
        </w:rPr>
        <w:footnoteRef/>
      </w:r>
      <w:r w:rsidRPr="00CA2C1F">
        <w:t xml:space="preserve"> </w:t>
      </w:r>
      <w:r>
        <w:t>Powles (n 25), 595-596.</w:t>
      </w:r>
    </w:p>
  </w:footnote>
  <w:footnote w:id="122">
    <w:p w14:paraId="2C53A710" w14:textId="77777777" w:rsidR="00481564" w:rsidRPr="003E1386" w:rsidRDefault="00481564" w:rsidP="00481564">
      <w:pPr>
        <w:pStyle w:val="Textodenotaderodap"/>
      </w:pPr>
      <w:r>
        <w:rPr>
          <w:rStyle w:val="Refdenotaderodap"/>
        </w:rPr>
        <w:footnoteRef/>
      </w:r>
      <w:r>
        <w:t xml:space="preserve"> </w:t>
      </w:r>
      <w:bookmarkStart w:id="46" w:name="_Hlk111720156"/>
      <w:r>
        <w:t xml:space="preserve">James Balls, ‘Articles Have Been Hidden by Google’ </w:t>
      </w:r>
      <w:r w:rsidRPr="00F53F36">
        <w:rPr>
          <w:i/>
          <w:iCs/>
        </w:rPr>
        <w:t>The Guardian</w:t>
      </w:r>
      <w:r>
        <w:t xml:space="preserve"> (</w:t>
      </w:r>
      <w:r w:rsidRPr="003E1386">
        <w:t xml:space="preserve">London, </w:t>
      </w:r>
      <w:r w:rsidRPr="00F53F36">
        <w:t>2 Jul</w:t>
      </w:r>
      <w:r>
        <w:t>y</w:t>
      </w:r>
      <w:r w:rsidRPr="00F53F36">
        <w:t xml:space="preserve"> 2014</w:t>
      </w:r>
      <w:r>
        <w:t>)</w:t>
      </w:r>
      <w:r w:rsidRPr="003E1386">
        <w:t xml:space="preserve"> </w:t>
      </w:r>
      <w:r>
        <w:t>&lt;</w:t>
      </w:r>
      <w:r w:rsidRPr="003E1386">
        <w:t>https://www.theguardian.com/commentisfree/2014/jul/02/eu-right-to-be-forgotten-guardian-google</w:t>
      </w:r>
      <w:r>
        <w:t xml:space="preserve">&gt; </w:t>
      </w:r>
      <w:bookmarkEnd w:id="46"/>
      <w:r>
        <w:t>accessed 28 July 2022</w:t>
      </w:r>
    </w:p>
  </w:footnote>
  <w:footnote w:id="123">
    <w:p w14:paraId="203CDCF1" w14:textId="77777777" w:rsidR="00481564" w:rsidRDefault="00481564" w:rsidP="00481564">
      <w:pPr>
        <w:pStyle w:val="Textodenotaderodap"/>
      </w:pPr>
      <w:r>
        <w:rPr>
          <w:rStyle w:val="Refdenotaderodap"/>
        </w:rPr>
        <w:footnoteRef/>
      </w:r>
      <w:r>
        <w:t xml:space="preserve"> </w:t>
      </w:r>
      <w:bookmarkStart w:id="47" w:name="_Hlk111710589"/>
      <w:bookmarkStart w:id="48" w:name="_Hlk111720175"/>
      <w:r>
        <w:t>Shane Phelan. ‘</w:t>
      </w:r>
      <w:r w:rsidRPr="00BA30A9">
        <w:t xml:space="preserve">From €100k </w:t>
      </w:r>
      <w:r>
        <w:t>W</w:t>
      </w:r>
      <w:r w:rsidRPr="00BA30A9">
        <w:t xml:space="preserve">edding </w:t>
      </w:r>
      <w:r>
        <w:t>C</w:t>
      </w:r>
      <w:r w:rsidRPr="00BA30A9">
        <w:t xml:space="preserve">ake, Christmas in </w:t>
      </w:r>
      <w:r>
        <w:t>J</w:t>
      </w:r>
      <w:r w:rsidRPr="00BA30A9">
        <w:t xml:space="preserve">ail and </w:t>
      </w:r>
      <w:r>
        <w:t>T</w:t>
      </w:r>
      <w:r w:rsidRPr="00BA30A9">
        <w:t xml:space="preserve">rips to Russia – 11 </w:t>
      </w:r>
      <w:r>
        <w:t>S</w:t>
      </w:r>
      <w:r w:rsidRPr="00BA30A9">
        <w:t xml:space="preserve">tories Seán Quinn’s </w:t>
      </w:r>
      <w:r>
        <w:t>F</w:t>
      </w:r>
      <w:r w:rsidRPr="00BA30A9">
        <w:t xml:space="preserve">amily </w:t>
      </w:r>
      <w:r>
        <w:t>W</w:t>
      </w:r>
      <w:r w:rsidRPr="00BA30A9">
        <w:t xml:space="preserve">ants us to </w:t>
      </w:r>
      <w:r>
        <w:t>F</w:t>
      </w:r>
      <w:r w:rsidRPr="00BA30A9">
        <w:t>orget</w:t>
      </w:r>
      <w:r>
        <w:t xml:space="preserve">’ </w:t>
      </w:r>
      <w:r w:rsidRPr="00DE1839">
        <w:rPr>
          <w:i/>
          <w:iCs/>
        </w:rPr>
        <w:t>Irish Independent</w:t>
      </w:r>
      <w:r>
        <w:t xml:space="preserve"> (Dublin, 6 November 2021) </w:t>
      </w:r>
      <w:bookmarkEnd w:id="47"/>
      <w:r>
        <w:t>&lt;</w:t>
      </w:r>
      <w:r w:rsidRPr="00F53F36">
        <w:t>https://www.independent.ie/irish-news/from-100k-wedding-cake-christmas-in-jail-and-trips-to-russia-11-stories-sean-quinns-family-wants-us-to-forget-41023066.html</w:t>
      </w:r>
      <w:r>
        <w:t>&gt;</w:t>
      </w:r>
      <w:bookmarkEnd w:id="48"/>
      <w:r>
        <w:t xml:space="preserve"> accessed 10 August 2022</w:t>
      </w:r>
    </w:p>
  </w:footnote>
  <w:footnote w:id="124">
    <w:p w14:paraId="59F4D201" w14:textId="77777777" w:rsidR="00481564" w:rsidRPr="00843595" w:rsidRDefault="00481564" w:rsidP="00481564">
      <w:pPr>
        <w:pStyle w:val="Textodenotaderodap"/>
      </w:pPr>
      <w:r>
        <w:rPr>
          <w:rStyle w:val="Refdenotaderodap"/>
        </w:rPr>
        <w:footnoteRef/>
      </w:r>
      <w:r w:rsidRPr="00843595">
        <w:t xml:space="preserve"> </w:t>
      </w:r>
      <w:r w:rsidRPr="0071124C">
        <w:t>Sylvia Tippmann and Julia Powles</w:t>
      </w:r>
      <w:r>
        <w:t>, ‘</w:t>
      </w:r>
      <w:r w:rsidRPr="0071124C">
        <w:t xml:space="preserve">Google </w:t>
      </w:r>
      <w:r>
        <w:t>A</w:t>
      </w:r>
      <w:r w:rsidRPr="0071124C">
        <w:t xml:space="preserve">ccidentally </w:t>
      </w:r>
      <w:r>
        <w:t>R</w:t>
      </w:r>
      <w:r w:rsidRPr="0071124C">
        <w:t xml:space="preserve">eveals </w:t>
      </w:r>
      <w:r>
        <w:t>D</w:t>
      </w:r>
      <w:r w:rsidRPr="0071124C">
        <w:t xml:space="preserve">ata </w:t>
      </w:r>
      <w:r>
        <w:t>o</w:t>
      </w:r>
      <w:r w:rsidRPr="0071124C">
        <w:t>n '</w:t>
      </w:r>
      <w:r>
        <w:t>R</w:t>
      </w:r>
      <w:r w:rsidRPr="0071124C">
        <w:t xml:space="preserve">ight </w:t>
      </w:r>
      <w:r>
        <w:t>to be F</w:t>
      </w:r>
      <w:r w:rsidRPr="0071124C">
        <w:t xml:space="preserve">orgotten' </w:t>
      </w:r>
      <w:r>
        <w:t>R</w:t>
      </w:r>
      <w:r w:rsidRPr="0071124C">
        <w:t>equests</w:t>
      </w:r>
      <w:r>
        <w:t xml:space="preserve">’ </w:t>
      </w:r>
      <w:r w:rsidRPr="00F53F36">
        <w:rPr>
          <w:i/>
          <w:iCs/>
        </w:rPr>
        <w:t>The Guardian</w:t>
      </w:r>
      <w:r>
        <w:t xml:space="preserve"> (London, 14 July 2015) &lt;</w:t>
      </w:r>
      <w:r w:rsidRPr="00843595">
        <w:t>https://www.theguardian.com/technology/2015/jul/14/google-accidentally-reveals-right-to-be-forgotten-requests</w:t>
      </w:r>
      <w:r>
        <w:t>&gt; accessed 10 July 2022</w:t>
      </w:r>
    </w:p>
  </w:footnote>
  <w:footnote w:id="125">
    <w:p w14:paraId="20296301" w14:textId="77777777" w:rsidR="00481564" w:rsidRPr="00843595" w:rsidRDefault="00481564" w:rsidP="00481564">
      <w:pPr>
        <w:pStyle w:val="Textodenotaderodap"/>
      </w:pPr>
      <w:r>
        <w:rPr>
          <w:rStyle w:val="Refdenotaderodap"/>
        </w:rPr>
        <w:footnoteRef/>
      </w:r>
      <w:r w:rsidRPr="00843595">
        <w:t xml:space="preserve"> </w:t>
      </w:r>
      <w:r>
        <w:t>Google Transparency Report (n 119).</w:t>
      </w:r>
    </w:p>
  </w:footnote>
  <w:footnote w:id="126">
    <w:p w14:paraId="6EC7F3C1" w14:textId="77777777" w:rsidR="00481564" w:rsidRDefault="00481564" w:rsidP="00481564">
      <w:pPr>
        <w:pStyle w:val="Textodenotaderodap"/>
      </w:pPr>
      <w:r>
        <w:rPr>
          <w:rStyle w:val="Refdenotaderodap"/>
        </w:rPr>
        <w:footnoteRef/>
      </w:r>
      <w:r>
        <w:t xml:space="preserve"> WP225 Guidelines (n 104) 10. </w:t>
      </w:r>
    </w:p>
  </w:footnote>
  <w:footnote w:id="127">
    <w:p w14:paraId="07DF1D84" w14:textId="77777777" w:rsidR="00481564" w:rsidRPr="00F95D17" w:rsidRDefault="00481564" w:rsidP="00481564">
      <w:pPr>
        <w:pStyle w:val="Textodenotaderodap"/>
      </w:pPr>
      <w:r>
        <w:rPr>
          <w:rStyle w:val="Refdenotaderodap"/>
        </w:rPr>
        <w:footnoteRef/>
      </w:r>
      <w:r w:rsidRPr="00F95D17">
        <w:t xml:space="preserve"> </w:t>
      </w:r>
      <w:r>
        <w:t>DPD (n 3), a</w:t>
      </w:r>
      <w:r w:rsidRPr="00F95D17">
        <w:t>rt. 8(1)</w:t>
      </w:r>
      <w:r>
        <w:t>.</w:t>
      </w:r>
      <w:r w:rsidRPr="00F95D17">
        <w:t xml:space="preserve"> </w:t>
      </w:r>
    </w:p>
  </w:footnote>
  <w:footnote w:id="128">
    <w:p w14:paraId="157C01BC" w14:textId="77777777" w:rsidR="00481564" w:rsidRDefault="00481564" w:rsidP="00481564">
      <w:pPr>
        <w:pStyle w:val="Textodenotaderodap"/>
      </w:pPr>
      <w:r>
        <w:rPr>
          <w:rStyle w:val="Refdenotaderodap"/>
        </w:rPr>
        <w:footnoteRef/>
      </w:r>
      <w:r>
        <w:t xml:space="preserve"> GDPR (n 4), art 9(1). </w:t>
      </w:r>
    </w:p>
  </w:footnote>
  <w:footnote w:id="129">
    <w:p w14:paraId="515B464A" w14:textId="77777777" w:rsidR="00481564" w:rsidRPr="00F95D17" w:rsidRDefault="00481564" w:rsidP="00481564">
      <w:pPr>
        <w:pStyle w:val="Textodenotaderodap"/>
      </w:pPr>
      <w:r>
        <w:rPr>
          <w:rStyle w:val="Refdenotaderodap"/>
        </w:rPr>
        <w:footnoteRef/>
      </w:r>
      <w:r w:rsidRPr="00F95D17">
        <w:t xml:space="preserve"> </w:t>
      </w:r>
      <w:bookmarkStart w:id="51" w:name="_Hlk111720556"/>
      <w:r w:rsidRPr="00F74D91">
        <w:t>Case C-136/17</w:t>
      </w:r>
      <w:r>
        <w:t xml:space="preserve"> </w:t>
      </w:r>
      <w:r w:rsidRPr="008C742D">
        <w:rPr>
          <w:i/>
          <w:iCs/>
        </w:rPr>
        <w:t>GC and Others v CNIL</w:t>
      </w:r>
      <w:r>
        <w:t xml:space="preserve"> [2019] </w:t>
      </w:r>
      <w:r w:rsidRPr="00B121CE">
        <w:t>ECLI:EU:</w:t>
      </w:r>
      <w:r w:rsidRPr="00B121CE">
        <w:t>C:2019:773</w:t>
      </w:r>
      <w:r>
        <w:t xml:space="preserve">, Opinion of </w:t>
      </w:r>
      <w:r w:rsidRPr="00F95D17">
        <w:t xml:space="preserve">AG </w:t>
      </w:r>
      <w:r w:rsidRPr="00F95D17">
        <w:t>Szpunar</w:t>
      </w:r>
      <w:bookmarkEnd w:id="51"/>
      <w:r w:rsidRPr="00F95D17">
        <w:t xml:space="preserve">, </w:t>
      </w:r>
      <w:r>
        <w:t xml:space="preserve">para </w:t>
      </w:r>
      <w:r w:rsidRPr="00F95D17">
        <w:t>42</w:t>
      </w:r>
      <w:r>
        <w:t>.</w:t>
      </w:r>
    </w:p>
  </w:footnote>
  <w:footnote w:id="130">
    <w:p w14:paraId="35A4592E" w14:textId="77777777" w:rsidR="00481564" w:rsidRPr="008B2F5A" w:rsidRDefault="00481564" w:rsidP="00481564">
      <w:pPr>
        <w:pStyle w:val="Textodenotaderodap"/>
      </w:pPr>
      <w:r>
        <w:rPr>
          <w:rStyle w:val="Refdenotaderodap"/>
        </w:rPr>
        <w:footnoteRef/>
      </w:r>
      <w:r w:rsidRPr="008B2F5A">
        <w:t xml:space="preserve"> </w:t>
      </w:r>
      <w:r>
        <w:t>ibid, para</w:t>
      </w:r>
      <w:r w:rsidRPr="008B2F5A">
        <w:t xml:space="preserve"> 47</w:t>
      </w:r>
      <w:r>
        <w:t>.</w:t>
      </w:r>
    </w:p>
  </w:footnote>
  <w:footnote w:id="131">
    <w:p w14:paraId="7CFDFA72" w14:textId="77777777" w:rsidR="00481564" w:rsidRPr="003C4347" w:rsidRDefault="00481564" w:rsidP="00481564">
      <w:pPr>
        <w:pStyle w:val="Textodenotaderodap"/>
      </w:pPr>
      <w:r>
        <w:rPr>
          <w:rStyle w:val="Refdenotaderodap"/>
        </w:rPr>
        <w:footnoteRef/>
      </w:r>
      <w:r w:rsidRPr="003C4347">
        <w:t xml:space="preserve"> </w:t>
      </w:r>
      <w:r w:rsidRPr="003C4347">
        <w:rPr>
          <w:i/>
          <w:iCs/>
        </w:rPr>
        <w:t>GC and Others</w:t>
      </w:r>
      <w:r w:rsidRPr="003C4347">
        <w:t xml:space="preserve"> (n 6), para 44</w:t>
      </w:r>
      <w:r>
        <w:t>.</w:t>
      </w:r>
    </w:p>
  </w:footnote>
  <w:footnote w:id="132">
    <w:p w14:paraId="367DE538" w14:textId="77777777" w:rsidR="00481564" w:rsidRPr="003C4347" w:rsidRDefault="00481564" w:rsidP="00481564">
      <w:pPr>
        <w:pStyle w:val="Textodenotaderodap"/>
      </w:pPr>
      <w:r>
        <w:rPr>
          <w:rStyle w:val="Refdenotaderodap"/>
        </w:rPr>
        <w:footnoteRef/>
      </w:r>
      <w:r w:rsidRPr="003C4347">
        <w:t xml:space="preserve"> Opinion of AG </w:t>
      </w:r>
      <w:r w:rsidRPr="003C4347">
        <w:t>Szpunar (n 12</w:t>
      </w:r>
      <w:r>
        <w:t>9</w:t>
      </w:r>
      <w:r w:rsidRPr="003C4347">
        <w:t>), para 48</w:t>
      </w:r>
      <w:r>
        <w:t>.</w:t>
      </w:r>
    </w:p>
  </w:footnote>
  <w:footnote w:id="133">
    <w:p w14:paraId="16CF6E49" w14:textId="77777777" w:rsidR="00481564" w:rsidRPr="003C4347" w:rsidRDefault="00481564" w:rsidP="00481564">
      <w:pPr>
        <w:pStyle w:val="Textodenotaderodap"/>
      </w:pPr>
      <w:r>
        <w:rPr>
          <w:rStyle w:val="Refdenotaderodap"/>
        </w:rPr>
        <w:footnoteRef/>
      </w:r>
      <w:r w:rsidRPr="003C4347">
        <w:t xml:space="preserve"> ibid, para 49</w:t>
      </w:r>
      <w:r>
        <w:t>.</w:t>
      </w:r>
    </w:p>
  </w:footnote>
  <w:footnote w:id="134">
    <w:p w14:paraId="2EC6B14D" w14:textId="77777777" w:rsidR="00481564" w:rsidRPr="003C4347" w:rsidRDefault="00481564" w:rsidP="00481564">
      <w:pPr>
        <w:pStyle w:val="Textodenotaderodap"/>
      </w:pPr>
      <w:r>
        <w:rPr>
          <w:rStyle w:val="Refdenotaderodap"/>
        </w:rPr>
        <w:footnoteRef/>
      </w:r>
      <w:r w:rsidRPr="003C4347">
        <w:t xml:space="preserve"> ibid, </w:t>
      </w:r>
      <w:r>
        <w:t xml:space="preserve">para </w:t>
      </w:r>
      <w:r w:rsidRPr="003C4347">
        <w:t>51</w:t>
      </w:r>
      <w:r>
        <w:t>.</w:t>
      </w:r>
    </w:p>
  </w:footnote>
  <w:footnote w:id="135">
    <w:p w14:paraId="178C9517" w14:textId="77777777" w:rsidR="00481564" w:rsidRPr="003C4347" w:rsidRDefault="00481564" w:rsidP="00481564">
      <w:pPr>
        <w:pStyle w:val="Textodenotaderodap"/>
      </w:pPr>
      <w:r>
        <w:rPr>
          <w:rStyle w:val="Refdenotaderodap"/>
        </w:rPr>
        <w:footnoteRef/>
      </w:r>
      <w:r w:rsidRPr="003C4347">
        <w:t xml:space="preserve"> </w:t>
      </w:r>
      <w:r w:rsidRPr="003C4347">
        <w:rPr>
          <w:i/>
          <w:iCs/>
        </w:rPr>
        <w:t>GC and Others</w:t>
      </w:r>
      <w:r>
        <w:t xml:space="preserve"> (n 6)</w:t>
      </w:r>
      <w:r w:rsidRPr="003C4347">
        <w:t>, para 43</w:t>
      </w:r>
      <w:r>
        <w:t>.</w:t>
      </w:r>
    </w:p>
  </w:footnote>
  <w:footnote w:id="136">
    <w:p w14:paraId="07405D17" w14:textId="77777777" w:rsidR="00481564" w:rsidRPr="003C4347" w:rsidRDefault="00481564" w:rsidP="00481564">
      <w:pPr>
        <w:pStyle w:val="Textodenotaderodap"/>
      </w:pPr>
      <w:r>
        <w:rPr>
          <w:rStyle w:val="Refdenotaderodap"/>
        </w:rPr>
        <w:footnoteRef/>
      </w:r>
      <w:r w:rsidRPr="003C4347">
        <w:t xml:space="preserve"> Opinion of AG </w:t>
      </w:r>
      <w:r w:rsidRPr="003C4347">
        <w:t>Szpunar (n 12</w:t>
      </w:r>
      <w:r>
        <w:t>9</w:t>
      </w:r>
      <w:r w:rsidRPr="003C4347">
        <w:t>), para 52</w:t>
      </w:r>
      <w:r>
        <w:t>.</w:t>
      </w:r>
    </w:p>
  </w:footnote>
  <w:footnote w:id="137">
    <w:p w14:paraId="4B3FE4A4" w14:textId="77777777" w:rsidR="00481564" w:rsidRPr="008B2F5A" w:rsidRDefault="00481564" w:rsidP="00481564">
      <w:pPr>
        <w:pStyle w:val="Textodenotaderodap"/>
      </w:pPr>
      <w:r>
        <w:rPr>
          <w:rStyle w:val="Refdenotaderodap"/>
        </w:rPr>
        <w:footnoteRef/>
      </w:r>
      <w:r w:rsidRPr="008B2F5A">
        <w:t xml:space="preserve"> </w:t>
      </w:r>
      <w:r>
        <w:t>ibid, para</w:t>
      </w:r>
      <w:r w:rsidRPr="008B2F5A">
        <w:t xml:space="preserve"> 54</w:t>
      </w:r>
      <w:r>
        <w:t>.</w:t>
      </w:r>
    </w:p>
  </w:footnote>
  <w:footnote w:id="138">
    <w:p w14:paraId="6D3344A3" w14:textId="77777777" w:rsidR="00481564" w:rsidRPr="008B2F5A" w:rsidRDefault="00481564" w:rsidP="00481564">
      <w:pPr>
        <w:pStyle w:val="Textodenotaderodap"/>
      </w:pPr>
      <w:r>
        <w:rPr>
          <w:rStyle w:val="Refdenotaderodap"/>
        </w:rPr>
        <w:footnoteRef/>
      </w:r>
      <w:r w:rsidRPr="008B2F5A">
        <w:t xml:space="preserve"> </w:t>
      </w:r>
      <w:r>
        <w:t>ibid, para</w:t>
      </w:r>
      <w:r w:rsidRPr="008B2F5A">
        <w:t xml:space="preserve"> 55</w:t>
      </w:r>
    </w:p>
  </w:footnote>
  <w:footnote w:id="139">
    <w:p w14:paraId="62DD11FB" w14:textId="77777777" w:rsidR="00481564" w:rsidRDefault="00481564" w:rsidP="00481564">
      <w:pPr>
        <w:pStyle w:val="Textodenotaderodap"/>
      </w:pPr>
      <w:r>
        <w:rPr>
          <w:rStyle w:val="Refdenotaderodap"/>
        </w:rPr>
        <w:footnoteRef/>
      </w:r>
      <w:r>
        <w:t xml:space="preserve"> </w:t>
      </w:r>
      <w:r w:rsidRPr="003C4347">
        <w:rPr>
          <w:i/>
          <w:iCs/>
        </w:rPr>
        <w:t>Google Spain</w:t>
      </w:r>
      <w:r>
        <w:t xml:space="preserve"> (n 5), para 21.</w:t>
      </w:r>
    </w:p>
  </w:footnote>
  <w:footnote w:id="140">
    <w:p w14:paraId="5607B242" w14:textId="77777777" w:rsidR="00481564" w:rsidRPr="003C4347" w:rsidRDefault="00481564" w:rsidP="00481564">
      <w:pPr>
        <w:pStyle w:val="Textodenotaderodap"/>
      </w:pPr>
      <w:r>
        <w:rPr>
          <w:rStyle w:val="Refdenotaderodap"/>
        </w:rPr>
        <w:footnoteRef/>
      </w:r>
      <w:r w:rsidRPr="003C4347">
        <w:t xml:space="preserve"> Opinion of AG </w:t>
      </w:r>
      <w:r w:rsidRPr="003C4347">
        <w:t>Szpunar (n 12</w:t>
      </w:r>
      <w:r>
        <w:t>9</w:t>
      </w:r>
      <w:r w:rsidRPr="003C4347">
        <w:t xml:space="preserve">), para 56; </w:t>
      </w:r>
      <w:r w:rsidRPr="003C4347">
        <w:rPr>
          <w:i/>
          <w:iCs/>
        </w:rPr>
        <w:t>GC and Others</w:t>
      </w:r>
      <w:r>
        <w:t xml:space="preserve"> (n 6), para</w:t>
      </w:r>
      <w:r w:rsidRPr="003C4347">
        <w:t xml:space="preserve"> 47</w:t>
      </w:r>
      <w:r>
        <w:t>.</w:t>
      </w:r>
    </w:p>
  </w:footnote>
  <w:footnote w:id="141">
    <w:p w14:paraId="004E7349" w14:textId="77777777" w:rsidR="00481564" w:rsidRPr="004A39C4" w:rsidRDefault="00481564" w:rsidP="00481564">
      <w:pPr>
        <w:pStyle w:val="Textodenotaderodap"/>
      </w:pPr>
      <w:r>
        <w:rPr>
          <w:rStyle w:val="Refdenotaderodap"/>
        </w:rPr>
        <w:footnoteRef/>
      </w:r>
      <w:r w:rsidRPr="003C4347">
        <w:t xml:space="preserve"> </w:t>
      </w:r>
      <w:bookmarkStart w:id="52" w:name="_Hlk111721018"/>
      <w:r w:rsidRPr="003C4347">
        <w:t xml:space="preserve">Jure </w:t>
      </w:r>
      <w:r w:rsidRPr="003C4347">
        <w:t xml:space="preserve">Globocnik, </w:t>
      </w:r>
      <w:r>
        <w:t xml:space="preserve">‘The Right to Be Forgotten is Taking Shape: CJEU Judgments in GC and Others (C-136/17) and Google v CNIL (C-507/17)’ [2020] 69(4) 380-388, 383 </w:t>
      </w:r>
      <w:r w:rsidRPr="002871D3">
        <w:t>GRUR International</w:t>
      </w:r>
      <w:r>
        <w:t xml:space="preserve"> &lt;</w:t>
      </w:r>
      <w:r w:rsidRPr="002871D3">
        <w:t>https://doi.org/10.1093/grurint/ikaa002</w:t>
      </w:r>
      <w:r>
        <w:t xml:space="preserve">&gt; </w:t>
      </w:r>
      <w:bookmarkEnd w:id="52"/>
      <w:r>
        <w:t>accessed 18 July 2022</w:t>
      </w:r>
    </w:p>
  </w:footnote>
  <w:footnote w:id="142">
    <w:p w14:paraId="5CA95ACF" w14:textId="77777777" w:rsidR="00481564" w:rsidRPr="00536F63" w:rsidRDefault="00481564" w:rsidP="00481564">
      <w:pPr>
        <w:pStyle w:val="Textodenotaderodap"/>
      </w:pPr>
      <w:r>
        <w:rPr>
          <w:rStyle w:val="Refdenotaderodap"/>
        </w:rPr>
        <w:footnoteRef/>
      </w:r>
      <w:r w:rsidRPr="00536F63">
        <w:t xml:space="preserve"> </w:t>
      </w:r>
      <w:r w:rsidRPr="00536F63">
        <w:rPr>
          <w:i/>
          <w:iCs/>
        </w:rPr>
        <w:t>GC and Others</w:t>
      </w:r>
      <w:r w:rsidRPr="00536F63">
        <w:t xml:space="preserve"> (n 6), para 47</w:t>
      </w:r>
      <w:r>
        <w:t>.</w:t>
      </w:r>
    </w:p>
  </w:footnote>
  <w:footnote w:id="143">
    <w:p w14:paraId="680DA63E" w14:textId="77777777" w:rsidR="00481564" w:rsidRPr="00536F63" w:rsidRDefault="00481564" w:rsidP="00481564">
      <w:pPr>
        <w:pStyle w:val="Textodenotaderodap"/>
      </w:pPr>
      <w:r>
        <w:rPr>
          <w:rStyle w:val="Refdenotaderodap"/>
        </w:rPr>
        <w:footnoteRef/>
      </w:r>
      <w:r w:rsidRPr="00536F63">
        <w:t xml:space="preserve"> Opinion of AG </w:t>
      </w:r>
      <w:r w:rsidRPr="00536F63">
        <w:t>Szpunar (n 12</w:t>
      </w:r>
      <w:r>
        <w:t>9</w:t>
      </w:r>
      <w:r w:rsidRPr="00536F63">
        <w:t>), paras 64-65</w:t>
      </w:r>
      <w:r>
        <w:t>.</w:t>
      </w:r>
    </w:p>
  </w:footnote>
  <w:footnote w:id="144">
    <w:p w14:paraId="6EAF8817" w14:textId="77777777" w:rsidR="00481564" w:rsidRPr="00262384" w:rsidRDefault="00481564" w:rsidP="00481564">
      <w:pPr>
        <w:pStyle w:val="Textodenotaderodap"/>
      </w:pPr>
      <w:r>
        <w:rPr>
          <w:rStyle w:val="Refdenotaderodap"/>
        </w:rPr>
        <w:footnoteRef/>
      </w:r>
      <w:r w:rsidRPr="00262384">
        <w:t xml:space="preserve"> ibid, para 69.</w:t>
      </w:r>
    </w:p>
  </w:footnote>
  <w:footnote w:id="145">
    <w:p w14:paraId="5F04C5F3" w14:textId="77777777" w:rsidR="00481564" w:rsidRPr="00536F63" w:rsidRDefault="00481564" w:rsidP="00481564">
      <w:pPr>
        <w:pStyle w:val="Textodenotaderodap"/>
      </w:pPr>
      <w:r>
        <w:rPr>
          <w:rStyle w:val="Refdenotaderodap"/>
        </w:rPr>
        <w:footnoteRef/>
      </w:r>
      <w:r w:rsidRPr="00536F63">
        <w:t xml:space="preserve"> ibid, </w:t>
      </w:r>
      <w:r>
        <w:t xml:space="preserve">para </w:t>
      </w:r>
      <w:r w:rsidRPr="00536F63">
        <w:t>73</w:t>
      </w:r>
      <w:r>
        <w:t>.</w:t>
      </w:r>
    </w:p>
  </w:footnote>
  <w:footnote w:id="146">
    <w:p w14:paraId="552AF52F" w14:textId="77777777" w:rsidR="00481564" w:rsidRPr="00536F63" w:rsidRDefault="00481564" w:rsidP="00481564">
      <w:pPr>
        <w:pStyle w:val="Textodenotaderodap"/>
      </w:pPr>
      <w:r>
        <w:rPr>
          <w:rStyle w:val="Refdenotaderodap"/>
        </w:rPr>
        <w:footnoteRef/>
      </w:r>
      <w:r w:rsidRPr="00536F63">
        <w:t xml:space="preserve"> </w:t>
      </w:r>
      <w:r>
        <w:t>ibid, para</w:t>
      </w:r>
      <w:r w:rsidRPr="00536F63">
        <w:t xml:space="preserve"> </w:t>
      </w:r>
      <w:r w:rsidRPr="00536F63">
        <w:t xml:space="preserve">72 </w:t>
      </w:r>
      <w:r>
        <w:t>.</w:t>
      </w:r>
    </w:p>
  </w:footnote>
  <w:footnote w:id="147">
    <w:p w14:paraId="6C0CFA37" w14:textId="77777777" w:rsidR="00481564" w:rsidRPr="00536F63" w:rsidRDefault="00481564" w:rsidP="00481564">
      <w:pPr>
        <w:pStyle w:val="Textodenotaderodap"/>
      </w:pPr>
      <w:r>
        <w:rPr>
          <w:rStyle w:val="Refdenotaderodap"/>
        </w:rPr>
        <w:footnoteRef/>
      </w:r>
      <w:r w:rsidRPr="00536F63">
        <w:t xml:space="preserve"> </w:t>
      </w:r>
      <w:r w:rsidRPr="00536F63">
        <w:rPr>
          <w:i/>
          <w:iCs/>
        </w:rPr>
        <w:t>GC and Others</w:t>
      </w:r>
      <w:r>
        <w:t xml:space="preserve"> (n 6)</w:t>
      </w:r>
      <w:r w:rsidRPr="00536F63">
        <w:t>, para 59</w:t>
      </w:r>
      <w:r>
        <w:t>.</w:t>
      </w:r>
    </w:p>
  </w:footnote>
  <w:footnote w:id="148">
    <w:p w14:paraId="48E810A2" w14:textId="77777777" w:rsidR="00481564" w:rsidRPr="00690C89" w:rsidRDefault="00481564" w:rsidP="00481564">
      <w:pPr>
        <w:pStyle w:val="Textodenotaderodap"/>
      </w:pPr>
      <w:r>
        <w:rPr>
          <w:rStyle w:val="Refdenotaderodap"/>
        </w:rPr>
        <w:footnoteRef/>
      </w:r>
      <w:r w:rsidRPr="00690C89">
        <w:t xml:space="preserve"> Opinion of AG </w:t>
      </w:r>
      <w:r w:rsidRPr="00690C89">
        <w:t>Szpunar (n 12</w:t>
      </w:r>
      <w:r>
        <w:t>9</w:t>
      </w:r>
      <w:r w:rsidRPr="00690C89">
        <w:t>), para 77</w:t>
      </w:r>
      <w:r>
        <w:t>.</w:t>
      </w:r>
    </w:p>
  </w:footnote>
  <w:footnote w:id="149">
    <w:p w14:paraId="09D2EC0C" w14:textId="77777777" w:rsidR="00481564" w:rsidRPr="00690C89" w:rsidRDefault="00481564" w:rsidP="00481564">
      <w:pPr>
        <w:pStyle w:val="Textodenotaderodap"/>
      </w:pPr>
      <w:r>
        <w:rPr>
          <w:rStyle w:val="Refdenotaderodap"/>
        </w:rPr>
        <w:footnoteRef/>
      </w:r>
      <w:r w:rsidRPr="00690C89">
        <w:t xml:space="preserve"> </w:t>
      </w:r>
      <w:r w:rsidRPr="00262384">
        <w:rPr>
          <w:i/>
          <w:iCs/>
        </w:rPr>
        <w:t>GC and Others</w:t>
      </w:r>
      <w:r>
        <w:t xml:space="preserve"> (n 6)</w:t>
      </w:r>
      <w:r w:rsidRPr="00690C89">
        <w:t>, para 61</w:t>
      </w:r>
      <w:r>
        <w:t>.</w:t>
      </w:r>
    </w:p>
  </w:footnote>
  <w:footnote w:id="150">
    <w:p w14:paraId="7BB64FFD" w14:textId="77777777" w:rsidR="00481564" w:rsidRPr="00262384" w:rsidRDefault="00481564" w:rsidP="00481564">
      <w:pPr>
        <w:pStyle w:val="Textodenotaderodap"/>
        <w:rPr>
          <w:lang w:val="pt-BR"/>
        </w:rPr>
      </w:pPr>
      <w:r>
        <w:rPr>
          <w:rStyle w:val="Refdenotaderodap"/>
        </w:rPr>
        <w:footnoteRef/>
      </w:r>
      <w:r w:rsidRPr="00262384">
        <w:rPr>
          <w:lang w:val="pt-BR"/>
        </w:rPr>
        <w:t xml:space="preserve"> </w:t>
      </w:r>
      <w:r w:rsidRPr="00262384">
        <w:rPr>
          <w:lang w:val="pt-BR"/>
        </w:rPr>
        <w:t>ibid, para 62.</w:t>
      </w:r>
    </w:p>
  </w:footnote>
  <w:footnote w:id="151">
    <w:p w14:paraId="1C278FA1" w14:textId="77777777" w:rsidR="00481564" w:rsidRPr="00262384" w:rsidRDefault="00481564" w:rsidP="00481564">
      <w:pPr>
        <w:pStyle w:val="Textodenotaderodap"/>
        <w:rPr>
          <w:lang w:val="pt-BR"/>
        </w:rPr>
      </w:pPr>
      <w:r>
        <w:rPr>
          <w:rStyle w:val="Refdenotaderodap"/>
        </w:rPr>
        <w:footnoteRef/>
      </w:r>
      <w:r w:rsidRPr="00262384">
        <w:rPr>
          <w:lang w:val="pt-BR"/>
        </w:rPr>
        <w:t xml:space="preserve"> </w:t>
      </w:r>
      <w:r w:rsidRPr="00262384">
        <w:rPr>
          <w:lang w:val="pt-BR"/>
        </w:rPr>
        <w:t>ibid, para 63.</w:t>
      </w:r>
    </w:p>
  </w:footnote>
  <w:footnote w:id="152">
    <w:p w14:paraId="34BDCA90" w14:textId="77777777" w:rsidR="00481564" w:rsidRPr="00262384" w:rsidRDefault="00481564" w:rsidP="00481564">
      <w:pPr>
        <w:pStyle w:val="Textodenotaderodap"/>
        <w:rPr>
          <w:lang w:val="pt-BR"/>
        </w:rPr>
      </w:pPr>
      <w:r>
        <w:rPr>
          <w:rStyle w:val="Refdenotaderodap"/>
        </w:rPr>
        <w:footnoteRef/>
      </w:r>
      <w:r w:rsidRPr="00262384">
        <w:rPr>
          <w:lang w:val="pt-BR"/>
        </w:rPr>
        <w:t xml:space="preserve"> </w:t>
      </w:r>
      <w:bookmarkStart w:id="54" w:name="_Hlk111721490"/>
      <w:r w:rsidRPr="00262384">
        <w:rPr>
          <w:lang w:val="pt-BR"/>
        </w:rPr>
        <w:t xml:space="preserve">Case C-101/01 </w:t>
      </w:r>
      <w:r w:rsidRPr="00262384">
        <w:rPr>
          <w:i/>
          <w:iCs/>
          <w:lang w:val="pt-BR"/>
        </w:rPr>
        <w:t>Bodil Lindqvist v Åklagarkammaren i Jönköping</w:t>
      </w:r>
      <w:r w:rsidRPr="00262384">
        <w:rPr>
          <w:lang w:val="pt-BR"/>
        </w:rPr>
        <w:t xml:space="preserve"> [2002] ECLI:EU:C:2002:513</w:t>
      </w:r>
      <w:bookmarkEnd w:id="54"/>
      <w:r w:rsidRPr="00262384">
        <w:rPr>
          <w:lang w:val="pt-BR"/>
        </w:rPr>
        <w:t>, para 13.</w:t>
      </w:r>
    </w:p>
  </w:footnote>
  <w:footnote w:id="153">
    <w:p w14:paraId="7010BD31" w14:textId="77777777" w:rsidR="00481564" w:rsidRDefault="00481564" w:rsidP="00481564">
      <w:pPr>
        <w:pStyle w:val="Textodenotaderodap"/>
      </w:pPr>
      <w:r>
        <w:rPr>
          <w:rStyle w:val="Refdenotaderodap"/>
        </w:rPr>
        <w:footnoteRef/>
      </w:r>
      <w:r>
        <w:t xml:space="preserve"> </w:t>
      </w:r>
      <w:r w:rsidRPr="00926E4A">
        <w:rPr>
          <w:i/>
          <w:iCs/>
        </w:rPr>
        <w:t>GC and Others</w:t>
      </w:r>
      <w:r>
        <w:t xml:space="preserve"> (n 6), para 26.</w:t>
      </w:r>
    </w:p>
  </w:footnote>
  <w:footnote w:id="154">
    <w:p w14:paraId="4D36FA8F" w14:textId="77777777" w:rsidR="00481564" w:rsidRDefault="00481564" w:rsidP="00481564">
      <w:pPr>
        <w:pStyle w:val="Textodenotaderodap"/>
      </w:pPr>
      <w:r>
        <w:rPr>
          <w:rStyle w:val="Refdenotaderodap"/>
        </w:rPr>
        <w:footnoteRef/>
      </w:r>
      <w:r>
        <w:t xml:space="preserve"> </w:t>
      </w:r>
      <w:r w:rsidRPr="00926E4A">
        <w:rPr>
          <w:i/>
          <w:iCs/>
        </w:rPr>
        <w:t>Google Spain</w:t>
      </w:r>
      <w:r>
        <w:t xml:space="preserve"> (n 5), para 85.</w:t>
      </w:r>
    </w:p>
  </w:footnote>
  <w:footnote w:id="155">
    <w:p w14:paraId="5137203B" w14:textId="77777777" w:rsidR="00481564" w:rsidRDefault="00481564" w:rsidP="00481564">
      <w:pPr>
        <w:pStyle w:val="Textodenotaderodap"/>
      </w:pPr>
      <w:r>
        <w:rPr>
          <w:rStyle w:val="Refdenotaderodap"/>
        </w:rPr>
        <w:footnoteRef/>
      </w:r>
      <w:r>
        <w:t xml:space="preserve"> Opinion of AG </w:t>
      </w:r>
      <w:r>
        <w:t>Szpunar (n 129), paras 82-83.</w:t>
      </w:r>
    </w:p>
  </w:footnote>
  <w:footnote w:id="156">
    <w:p w14:paraId="4ADC60EF" w14:textId="77777777" w:rsidR="00481564" w:rsidRDefault="00481564" w:rsidP="00481564">
      <w:pPr>
        <w:pStyle w:val="Textodenotaderodap"/>
      </w:pPr>
      <w:r>
        <w:rPr>
          <w:rStyle w:val="Refdenotaderodap"/>
        </w:rPr>
        <w:footnoteRef/>
      </w:r>
      <w:r>
        <w:t xml:space="preserve"> ibid, paras 86-87.</w:t>
      </w:r>
    </w:p>
  </w:footnote>
  <w:footnote w:id="157">
    <w:p w14:paraId="037F8114" w14:textId="77777777" w:rsidR="00481564" w:rsidRPr="00767ED0" w:rsidRDefault="00481564" w:rsidP="00481564">
      <w:pPr>
        <w:pStyle w:val="Textodenotaderodap"/>
      </w:pPr>
      <w:r>
        <w:rPr>
          <w:rStyle w:val="Refdenotaderodap"/>
        </w:rPr>
        <w:footnoteRef/>
      </w:r>
      <w:r w:rsidRPr="00767ED0">
        <w:t xml:space="preserve"> </w:t>
      </w:r>
      <w:r w:rsidRPr="00926E4A">
        <w:rPr>
          <w:i/>
          <w:iCs/>
        </w:rPr>
        <w:t>GC and Others</w:t>
      </w:r>
      <w:r>
        <w:t xml:space="preserve"> (n 6), para </w:t>
      </w:r>
      <w:r w:rsidRPr="00767ED0">
        <w:t>61</w:t>
      </w:r>
      <w:r>
        <w:t>.</w:t>
      </w:r>
    </w:p>
  </w:footnote>
  <w:footnote w:id="158">
    <w:p w14:paraId="4D877DFC" w14:textId="77777777" w:rsidR="00481564" w:rsidRDefault="00481564" w:rsidP="00481564">
      <w:pPr>
        <w:pStyle w:val="Textodenotaderodap"/>
      </w:pPr>
      <w:r>
        <w:rPr>
          <w:rStyle w:val="Refdenotaderodap"/>
        </w:rPr>
        <w:footnoteRef/>
      </w:r>
      <w:r>
        <w:t xml:space="preserve"> </w:t>
      </w:r>
      <w:bookmarkStart w:id="55" w:name="_Hlk111721733"/>
      <w:r w:rsidRPr="000146BD">
        <w:rPr>
          <w:i/>
          <w:iCs/>
        </w:rPr>
        <w:t>M.L. and W.W. v Germany</w:t>
      </w:r>
      <w:r>
        <w:t xml:space="preserve"> Apps </w:t>
      </w:r>
      <w:r>
        <w:t>nos 60798/10 and 65599/10 (ECHR, 28 June 2018)</w:t>
      </w:r>
      <w:bookmarkEnd w:id="55"/>
      <w:r>
        <w:t>, para 115.</w:t>
      </w:r>
    </w:p>
  </w:footnote>
  <w:footnote w:id="159">
    <w:p w14:paraId="61F8FC58" w14:textId="77777777" w:rsidR="00481564" w:rsidRPr="00767ED0" w:rsidRDefault="00481564" w:rsidP="00481564">
      <w:pPr>
        <w:pStyle w:val="Textodenotaderodap"/>
      </w:pPr>
      <w:r>
        <w:rPr>
          <w:rStyle w:val="Refdenotaderodap"/>
        </w:rPr>
        <w:footnoteRef/>
      </w:r>
      <w:r w:rsidRPr="00767ED0">
        <w:t xml:space="preserve"> </w:t>
      </w:r>
      <w:r w:rsidRPr="00926E4A">
        <w:rPr>
          <w:i/>
          <w:iCs/>
        </w:rPr>
        <w:t>GC and Others</w:t>
      </w:r>
      <w:r>
        <w:t xml:space="preserve"> (n 6), para</w:t>
      </w:r>
      <w:r w:rsidRPr="00767ED0">
        <w:t xml:space="preserve"> 66</w:t>
      </w:r>
      <w:r>
        <w:t>.</w:t>
      </w:r>
    </w:p>
  </w:footnote>
  <w:footnote w:id="160">
    <w:p w14:paraId="27F5A6F8" w14:textId="77777777" w:rsidR="00481564" w:rsidRDefault="00481564" w:rsidP="00481564">
      <w:pPr>
        <w:pStyle w:val="Textodenotaderodap"/>
      </w:pPr>
      <w:r>
        <w:rPr>
          <w:rStyle w:val="Refdenotaderodap"/>
        </w:rPr>
        <w:footnoteRef/>
      </w:r>
      <w:r>
        <w:t xml:space="preserve"> ibid, para 68.</w:t>
      </w:r>
    </w:p>
  </w:footnote>
  <w:footnote w:id="161">
    <w:p w14:paraId="16133A42" w14:textId="77777777" w:rsidR="00481564" w:rsidRDefault="00481564" w:rsidP="00481564">
      <w:pPr>
        <w:pStyle w:val="Textodenotaderodap"/>
      </w:pPr>
      <w:r>
        <w:rPr>
          <w:rStyle w:val="Refdenotaderodap"/>
        </w:rPr>
        <w:footnoteRef/>
      </w:r>
      <w:r>
        <w:t xml:space="preserve"> </w:t>
      </w:r>
      <w:bookmarkStart w:id="56" w:name="_Hlk111721761"/>
      <w:r>
        <w:t xml:space="preserve">Orla Lynskey, </w:t>
      </w:r>
      <w:r w:rsidRPr="00926E4A">
        <w:rPr>
          <w:i/>
          <w:iCs/>
        </w:rPr>
        <w:t>The Foundations of EU Data Protection Law</w:t>
      </w:r>
      <w:r>
        <w:t xml:space="preserve"> (Oxford University Press, 2015) </w:t>
      </w:r>
      <w:bookmarkEnd w:id="56"/>
      <w:r>
        <w:t>194.</w:t>
      </w:r>
    </w:p>
  </w:footnote>
  <w:footnote w:id="162">
    <w:p w14:paraId="7AAEB85C" w14:textId="77777777" w:rsidR="00481564" w:rsidRPr="00767ED0" w:rsidRDefault="00481564" w:rsidP="00481564">
      <w:pPr>
        <w:pStyle w:val="Textodenotaderodap"/>
      </w:pPr>
      <w:r>
        <w:rPr>
          <w:rStyle w:val="Refdenotaderodap"/>
        </w:rPr>
        <w:footnoteRef/>
      </w:r>
      <w:r w:rsidRPr="00767ED0">
        <w:t xml:space="preserve"> </w:t>
      </w:r>
      <w:r w:rsidRPr="00926E4A">
        <w:rPr>
          <w:i/>
          <w:iCs/>
        </w:rPr>
        <w:t>GC and Others</w:t>
      </w:r>
      <w:r>
        <w:t xml:space="preserve"> (n 6), para</w:t>
      </w:r>
      <w:r w:rsidRPr="00767ED0">
        <w:t xml:space="preserve"> 65</w:t>
      </w:r>
      <w:r>
        <w:t>.</w:t>
      </w:r>
    </w:p>
  </w:footnote>
  <w:footnote w:id="163">
    <w:p w14:paraId="1BE39F14" w14:textId="77777777" w:rsidR="00481564" w:rsidRPr="008B57A7" w:rsidRDefault="00481564" w:rsidP="00481564">
      <w:pPr>
        <w:pStyle w:val="Textodenotaderodap"/>
      </w:pPr>
      <w:r>
        <w:rPr>
          <w:rStyle w:val="Refdenotaderodap"/>
        </w:rPr>
        <w:footnoteRef/>
      </w:r>
      <w:r w:rsidRPr="008B57A7">
        <w:t xml:space="preserve"> Opinion of AG </w:t>
      </w:r>
      <w:r w:rsidRPr="008B57A7">
        <w:t>Szpunar (n 12</w:t>
      </w:r>
      <w:r>
        <w:t>9</w:t>
      </w:r>
      <w:r w:rsidRPr="008B57A7">
        <w:t>), para 100</w:t>
      </w:r>
      <w:r>
        <w:t>.</w:t>
      </w:r>
    </w:p>
  </w:footnote>
  <w:footnote w:id="164">
    <w:p w14:paraId="065A8D46" w14:textId="77777777" w:rsidR="00481564" w:rsidRPr="008B57A7" w:rsidRDefault="00481564" w:rsidP="00481564">
      <w:pPr>
        <w:pStyle w:val="Textodenotaderodap"/>
      </w:pPr>
      <w:r>
        <w:rPr>
          <w:rStyle w:val="Refdenotaderodap"/>
        </w:rPr>
        <w:footnoteRef/>
      </w:r>
      <w:r w:rsidRPr="008B57A7">
        <w:t xml:space="preserve"> ibid, para 102</w:t>
      </w:r>
      <w:r>
        <w:t>.</w:t>
      </w:r>
    </w:p>
  </w:footnote>
  <w:footnote w:id="165">
    <w:p w14:paraId="5AEA6316" w14:textId="77777777" w:rsidR="00481564" w:rsidRPr="008B57A7" w:rsidRDefault="00481564" w:rsidP="00481564">
      <w:pPr>
        <w:pStyle w:val="Textodenotaderodap"/>
      </w:pPr>
      <w:r>
        <w:rPr>
          <w:rStyle w:val="Refdenotaderodap"/>
        </w:rPr>
        <w:footnoteRef/>
      </w:r>
      <w:r w:rsidRPr="008B57A7">
        <w:t xml:space="preserve"> Opinion of AG </w:t>
      </w:r>
      <w:r w:rsidRPr="008B57A7">
        <w:t>Szpunar (n 12</w:t>
      </w:r>
      <w:r>
        <w:t>9</w:t>
      </w:r>
      <w:r w:rsidRPr="008B57A7">
        <w:t>), para 103</w:t>
      </w:r>
      <w:r>
        <w:t>.</w:t>
      </w:r>
    </w:p>
  </w:footnote>
  <w:footnote w:id="166">
    <w:p w14:paraId="6CE826B8" w14:textId="77777777" w:rsidR="00481564" w:rsidRPr="008B57A7" w:rsidRDefault="00481564" w:rsidP="00481564">
      <w:pPr>
        <w:pStyle w:val="Textodenotaderodap"/>
      </w:pPr>
      <w:r>
        <w:rPr>
          <w:rStyle w:val="Refdenotaderodap"/>
        </w:rPr>
        <w:footnoteRef/>
      </w:r>
      <w:r w:rsidRPr="008B57A7">
        <w:t xml:space="preserve"> </w:t>
      </w:r>
      <w:r w:rsidRPr="008B57A7">
        <w:rPr>
          <w:i/>
          <w:iCs/>
        </w:rPr>
        <w:t>GC and Others</w:t>
      </w:r>
      <w:r w:rsidRPr="008B57A7">
        <w:t xml:space="preserve"> (n 6), para 72</w:t>
      </w:r>
      <w:r>
        <w:t>.</w:t>
      </w:r>
    </w:p>
  </w:footnote>
  <w:footnote w:id="167">
    <w:p w14:paraId="212257FB" w14:textId="77777777" w:rsidR="00481564" w:rsidRPr="008B57A7" w:rsidRDefault="00481564" w:rsidP="00481564">
      <w:pPr>
        <w:pStyle w:val="Textodenotaderodap"/>
      </w:pPr>
      <w:r>
        <w:rPr>
          <w:rStyle w:val="Refdenotaderodap"/>
        </w:rPr>
        <w:footnoteRef/>
      </w:r>
      <w:r w:rsidRPr="008B57A7">
        <w:t xml:space="preserve"> ibid, para 75</w:t>
      </w:r>
      <w:r>
        <w:t>.</w:t>
      </w:r>
    </w:p>
  </w:footnote>
  <w:footnote w:id="168">
    <w:p w14:paraId="3D960AD4" w14:textId="77777777" w:rsidR="00481564" w:rsidRPr="008B57A7" w:rsidRDefault="00481564" w:rsidP="00481564">
      <w:pPr>
        <w:pStyle w:val="Textodenotaderodap"/>
      </w:pPr>
      <w:r>
        <w:rPr>
          <w:rStyle w:val="Refdenotaderodap"/>
        </w:rPr>
        <w:footnoteRef/>
      </w:r>
      <w:r w:rsidRPr="008B57A7">
        <w:t xml:space="preserve"> ibid, para 77</w:t>
      </w:r>
      <w:r>
        <w:t>.</w:t>
      </w:r>
    </w:p>
  </w:footnote>
  <w:footnote w:id="169">
    <w:p w14:paraId="402A4E44" w14:textId="77777777" w:rsidR="00481564" w:rsidRDefault="00481564" w:rsidP="00481564">
      <w:pPr>
        <w:pStyle w:val="Textodenotaderodap"/>
      </w:pPr>
      <w:r>
        <w:rPr>
          <w:rStyle w:val="Refdenotaderodap"/>
        </w:rPr>
        <w:footnoteRef/>
      </w:r>
      <w:r w:rsidRPr="008B57A7">
        <w:t xml:space="preserve"> </w:t>
      </w:r>
      <w:bookmarkStart w:id="58" w:name="_Hlk111749148"/>
      <w:r w:rsidRPr="008B57A7">
        <w:t xml:space="preserve">T. J. McIntyre and Ian O'Donnell, </w:t>
      </w:r>
      <w:r>
        <w:t>‘Criminals, Data Protection, and the Right to a Second Chance’ [2017] 58(1) Irish Jurist, 27–55, 53 &lt;</w:t>
      </w:r>
      <w:r w:rsidRPr="008B57A7">
        <w:t>https://heinonline.org/HOL/Page?public=true&amp;handle=hein.journals/irishjur58&amp;div=5&amp;start_page=27&amp;collection=journals&amp;set_as_cursor=0&amp;men_tab=srchresults</w:t>
      </w:r>
      <w:r>
        <w:t>&gt;</w:t>
      </w:r>
      <w:bookmarkEnd w:id="58"/>
      <w:r>
        <w:t xml:space="preserve"> accessed 02 August 2022</w:t>
      </w:r>
    </w:p>
  </w:footnote>
  <w:footnote w:id="170">
    <w:p w14:paraId="32096C15" w14:textId="77777777" w:rsidR="00481564" w:rsidRPr="0024668E" w:rsidRDefault="00481564" w:rsidP="00481564">
      <w:pPr>
        <w:pStyle w:val="Textodenotaderodap"/>
      </w:pPr>
      <w:r>
        <w:rPr>
          <w:rStyle w:val="Refdenotaderodap"/>
        </w:rPr>
        <w:footnoteRef/>
      </w:r>
      <w:r w:rsidRPr="0024668E">
        <w:t xml:space="preserve"> </w:t>
      </w:r>
      <w:r w:rsidRPr="008B57A7">
        <w:rPr>
          <w:i/>
          <w:iCs/>
        </w:rPr>
        <w:t>GC and Others</w:t>
      </w:r>
      <w:r w:rsidRPr="008B57A7">
        <w:t xml:space="preserve"> (n 6), </w:t>
      </w:r>
      <w:r>
        <w:t>para</w:t>
      </w:r>
      <w:r w:rsidRPr="0024668E">
        <w:t xml:space="preserve"> 78</w:t>
      </w:r>
      <w:r>
        <w:t>.</w:t>
      </w:r>
    </w:p>
  </w:footnote>
  <w:footnote w:id="171">
    <w:p w14:paraId="2E843241" w14:textId="77777777" w:rsidR="00481564" w:rsidRPr="00ED582A" w:rsidRDefault="00481564" w:rsidP="00481564">
      <w:pPr>
        <w:pStyle w:val="Textodenotaderodap"/>
        <w:rPr>
          <w:lang w:val="pt-BR"/>
        </w:rPr>
      </w:pPr>
      <w:r>
        <w:rPr>
          <w:rStyle w:val="Refdenotaderodap"/>
        </w:rPr>
        <w:footnoteRef/>
      </w:r>
      <w:r w:rsidRPr="006156DC">
        <w:rPr>
          <w:i/>
          <w:iCs/>
          <w:lang w:val="pt-BR"/>
        </w:rPr>
        <w:t>Google v CNIL</w:t>
      </w:r>
      <w:r w:rsidRPr="00ED582A">
        <w:rPr>
          <w:lang w:val="pt-BR"/>
        </w:rPr>
        <w:t xml:space="preserve"> </w:t>
      </w:r>
      <w:r>
        <w:rPr>
          <w:lang w:val="pt-BR"/>
        </w:rPr>
        <w:t xml:space="preserve">(n 7), paras </w:t>
      </w:r>
      <w:r w:rsidRPr="00ED582A">
        <w:rPr>
          <w:lang w:val="pt-BR"/>
        </w:rPr>
        <w:t>40-41</w:t>
      </w:r>
      <w:r>
        <w:rPr>
          <w:lang w:val="pt-BR"/>
        </w:rPr>
        <w:t>.</w:t>
      </w:r>
    </w:p>
  </w:footnote>
  <w:footnote w:id="172">
    <w:p w14:paraId="2088AC2D" w14:textId="77777777" w:rsidR="00481564" w:rsidRPr="009E0276" w:rsidRDefault="00481564" w:rsidP="00481564">
      <w:pPr>
        <w:pStyle w:val="Textodenotaderodap"/>
        <w:rPr>
          <w:lang w:val="pt-BR"/>
        </w:rPr>
      </w:pPr>
      <w:r>
        <w:rPr>
          <w:rStyle w:val="Refdenotaderodap"/>
        </w:rPr>
        <w:footnoteRef/>
      </w:r>
      <w:r w:rsidRPr="009E0276">
        <w:rPr>
          <w:lang w:val="pt-BR"/>
        </w:rPr>
        <w:t xml:space="preserve"> </w:t>
      </w:r>
      <w:r>
        <w:rPr>
          <w:lang w:val="pt-BR"/>
        </w:rPr>
        <w:t>ibid, para</w:t>
      </w:r>
      <w:r w:rsidRPr="009E0276">
        <w:rPr>
          <w:lang w:val="pt-BR"/>
        </w:rPr>
        <w:t xml:space="preserve"> 39</w:t>
      </w:r>
      <w:r>
        <w:rPr>
          <w:lang w:val="pt-BR"/>
        </w:rPr>
        <w:t>.</w:t>
      </w:r>
    </w:p>
  </w:footnote>
  <w:footnote w:id="173">
    <w:p w14:paraId="3641F58B" w14:textId="77777777" w:rsidR="00481564" w:rsidRPr="00481564" w:rsidRDefault="00481564" w:rsidP="00481564">
      <w:pPr>
        <w:pStyle w:val="Textodenotaderodap"/>
        <w:rPr>
          <w:lang w:val="pt-BR"/>
        </w:rPr>
      </w:pPr>
      <w:r>
        <w:rPr>
          <w:rStyle w:val="Refdenotaderodap"/>
        </w:rPr>
        <w:footnoteRef/>
      </w:r>
      <w:r w:rsidRPr="00481564">
        <w:rPr>
          <w:lang w:val="pt-BR"/>
        </w:rPr>
        <w:t xml:space="preserve"> </w:t>
      </w:r>
      <w:bookmarkStart w:id="61" w:name="_Hlk111754641"/>
      <w:r w:rsidRPr="00481564">
        <w:rPr>
          <w:lang w:val="pt-BR"/>
        </w:rPr>
        <w:t xml:space="preserve">Case C-507/17 </w:t>
      </w:r>
      <w:r w:rsidRPr="00481564">
        <w:rPr>
          <w:i/>
          <w:iCs/>
          <w:lang w:val="pt-BR"/>
        </w:rPr>
        <w:t>Google LLC v CNIL</w:t>
      </w:r>
      <w:r w:rsidRPr="00481564">
        <w:rPr>
          <w:lang w:val="pt-BR"/>
        </w:rPr>
        <w:t xml:space="preserve"> [2019] ECLI:EU:C:2019:772, </w:t>
      </w:r>
      <w:r w:rsidRPr="00481564">
        <w:rPr>
          <w:lang w:val="pt-BR"/>
        </w:rPr>
        <w:t>Opinion of AG Szpunar</w:t>
      </w:r>
      <w:bookmarkEnd w:id="61"/>
      <w:r w:rsidRPr="00481564">
        <w:rPr>
          <w:lang w:val="pt-BR"/>
        </w:rPr>
        <w:t>, para 35.</w:t>
      </w:r>
    </w:p>
  </w:footnote>
  <w:footnote w:id="174">
    <w:p w14:paraId="1B759C02" w14:textId="77777777" w:rsidR="00481564" w:rsidRPr="009E0276" w:rsidRDefault="00481564" w:rsidP="00481564">
      <w:pPr>
        <w:pStyle w:val="Textodenotaderodap"/>
        <w:rPr>
          <w:lang w:val="pt-BR"/>
        </w:rPr>
      </w:pPr>
      <w:r>
        <w:rPr>
          <w:rStyle w:val="Refdenotaderodap"/>
        </w:rPr>
        <w:footnoteRef/>
      </w:r>
      <w:r w:rsidRPr="009E0276">
        <w:rPr>
          <w:lang w:val="pt-BR"/>
        </w:rPr>
        <w:t xml:space="preserve"> </w:t>
      </w:r>
      <w:r>
        <w:rPr>
          <w:lang w:val="pt-BR"/>
        </w:rPr>
        <w:t>ibid, para</w:t>
      </w:r>
      <w:r w:rsidRPr="009E0276">
        <w:rPr>
          <w:lang w:val="pt-BR"/>
        </w:rPr>
        <w:t xml:space="preserve"> 36</w:t>
      </w:r>
      <w:r>
        <w:rPr>
          <w:lang w:val="pt-BR"/>
        </w:rPr>
        <w:t>.</w:t>
      </w:r>
    </w:p>
  </w:footnote>
  <w:footnote w:id="175">
    <w:p w14:paraId="09EEA949" w14:textId="77777777" w:rsidR="00481564" w:rsidRPr="009E0276" w:rsidRDefault="00481564" w:rsidP="00481564">
      <w:pPr>
        <w:pStyle w:val="Textodenotaderodap"/>
        <w:rPr>
          <w:lang w:val="pt-BR"/>
        </w:rPr>
      </w:pPr>
      <w:r>
        <w:rPr>
          <w:rStyle w:val="Refdenotaderodap"/>
        </w:rPr>
        <w:footnoteRef/>
      </w:r>
      <w:r w:rsidRPr="009E0276">
        <w:rPr>
          <w:lang w:val="pt-BR"/>
        </w:rPr>
        <w:t xml:space="preserve"> </w:t>
      </w:r>
      <w:r>
        <w:rPr>
          <w:lang w:val="pt-BR"/>
        </w:rPr>
        <w:t>ibid, para</w:t>
      </w:r>
      <w:r w:rsidRPr="009E0276">
        <w:rPr>
          <w:lang w:val="pt-BR"/>
        </w:rPr>
        <w:t xml:space="preserve"> 44</w:t>
      </w:r>
      <w:r>
        <w:rPr>
          <w:lang w:val="pt-BR"/>
        </w:rPr>
        <w:t>.</w:t>
      </w:r>
    </w:p>
  </w:footnote>
  <w:footnote w:id="176">
    <w:p w14:paraId="23E0FD9C" w14:textId="77777777" w:rsidR="00481564" w:rsidRPr="009E0276" w:rsidRDefault="00481564" w:rsidP="00481564">
      <w:pPr>
        <w:pStyle w:val="Textodenotaderodap"/>
        <w:rPr>
          <w:lang w:val="pt-BR"/>
        </w:rPr>
      </w:pPr>
      <w:r>
        <w:rPr>
          <w:rStyle w:val="Refdenotaderodap"/>
        </w:rPr>
        <w:footnoteRef/>
      </w:r>
      <w:r w:rsidRPr="009E0276">
        <w:rPr>
          <w:lang w:val="pt-BR"/>
        </w:rPr>
        <w:t xml:space="preserve"> </w:t>
      </w:r>
      <w:r>
        <w:rPr>
          <w:lang w:val="pt-BR"/>
        </w:rPr>
        <w:t>ibid, para</w:t>
      </w:r>
      <w:r w:rsidRPr="009E0276">
        <w:rPr>
          <w:lang w:val="pt-BR"/>
        </w:rPr>
        <w:t xml:space="preserve"> 45</w:t>
      </w:r>
      <w:r>
        <w:rPr>
          <w:lang w:val="pt-BR"/>
        </w:rPr>
        <w:t>.</w:t>
      </w:r>
    </w:p>
  </w:footnote>
  <w:footnote w:id="177">
    <w:p w14:paraId="096E03F8" w14:textId="77777777" w:rsidR="00481564" w:rsidRPr="009E0276" w:rsidRDefault="00481564" w:rsidP="00481564">
      <w:pPr>
        <w:pStyle w:val="Textodenotaderodap"/>
        <w:rPr>
          <w:lang w:val="pt-BR"/>
        </w:rPr>
      </w:pPr>
      <w:r>
        <w:rPr>
          <w:rStyle w:val="Refdenotaderodap"/>
        </w:rPr>
        <w:footnoteRef/>
      </w:r>
      <w:r w:rsidRPr="009E0276">
        <w:rPr>
          <w:lang w:val="pt-BR"/>
        </w:rPr>
        <w:t xml:space="preserve"> </w:t>
      </w:r>
      <w:r>
        <w:rPr>
          <w:lang w:val="pt-BR"/>
        </w:rPr>
        <w:t>ibid, para</w:t>
      </w:r>
      <w:r w:rsidRPr="009E0276">
        <w:rPr>
          <w:lang w:val="pt-BR"/>
        </w:rPr>
        <w:t xml:space="preserve"> 46</w:t>
      </w:r>
      <w:r>
        <w:rPr>
          <w:lang w:val="pt-BR"/>
        </w:rPr>
        <w:t>.</w:t>
      </w:r>
    </w:p>
  </w:footnote>
  <w:footnote w:id="178">
    <w:p w14:paraId="5C9B00B5" w14:textId="77777777" w:rsidR="00481564" w:rsidRPr="009E0276" w:rsidRDefault="00481564" w:rsidP="00481564">
      <w:pPr>
        <w:pStyle w:val="Textodenotaderodap"/>
        <w:rPr>
          <w:lang w:val="pt-BR"/>
        </w:rPr>
      </w:pPr>
      <w:r>
        <w:rPr>
          <w:rStyle w:val="Refdenotaderodap"/>
        </w:rPr>
        <w:footnoteRef/>
      </w:r>
      <w:r w:rsidRPr="009E0276">
        <w:rPr>
          <w:lang w:val="pt-BR"/>
        </w:rPr>
        <w:t xml:space="preserve"> </w:t>
      </w:r>
      <w:r>
        <w:rPr>
          <w:lang w:val="pt-BR"/>
        </w:rPr>
        <w:t>ibid, para</w:t>
      </w:r>
      <w:r w:rsidRPr="009E0276">
        <w:rPr>
          <w:lang w:val="pt-BR"/>
        </w:rPr>
        <w:t xml:space="preserve"> 47</w:t>
      </w:r>
      <w:r>
        <w:rPr>
          <w:lang w:val="pt-BR"/>
        </w:rPr>
        <w:t>.</w:t>
      </w:r>
    </w:p>
  </w:footnote>
  <w:footnote w:id="179">
    <w:p w14:paraId="417701C3" w14:textId="77777777" w:rsidR="00481564" w:rsidRPr="009E0276" w:rsidRDefault="00481564" w:rsidP="00481564">
      <w:pPr>
        <w:pStyle w:val="Textodenotaderodap"/>
        <w:rPr>
          <w:lang w:val="pt-BR"/>
        </w:rPr>
      </w:pPr>
      <w:r>
        <w:rPr>
          <w:rStyle w:val="Refdenotaderodap"/>
        </w:rPr>
        <w:footnoteRef/>
      </w:r>
      <w:r w:rsidRPr="009E0276">
        <w:rPr>
          <w:lang w:val="pt-BR"/>
        </w:rPr>
        <w:t xml:space="preserve"> </w:t>
      </w:r>
      <w:r>
        <w:rPr>
          <w:lang w:val="pt-BR"/>
        </w:rPr>
        <w:t>ibid, paras</w:t>
      </w:r>
      <w:r w:rsidRPr="009E0276">
        <w:rPr>
          <w:lang w:val="pt-BR"/>
        </w:rPr>
        <w:t xml:space="preserve"> 48-49</w:t>
      </w:r>
      <w:r>
        <w:rPr>
          <w:lang w:val="pt-BR"/>
        </w:rPr>
        <w:t>.</w:t>
      </w:r>
    </w:p>
  </w:footnote>
  <w:footnote w:id="180">
    <w:p w14:paraId="0D8B5FCC" w14:textId="77777777" w:rsidR="00481564" w:rsidRPr="009E0276" w:rsidRDefault="00481564" w:rsidP="00481564">
      <w:pPr>
        <w:pStyle w:val="Textodenotaderodap"/>
        <w:rPr>
          <w:lang w:val="pt-BR"/>
        </w:rPr>
      </w:pPr>
      <w:r>
        <w:rPr>
          <w:rStyle w:val="Refdenotaderodap"/>
        </w:rPr>
        <w:footnoteRef/>
      </w:r>
      <w:r w:rsidRPr="009E0276">
        <w:rPr>
          <w:lang w:val="pt-BR"/>
        </w:rPr>
        <w:t xml:space="preserve"> </w:t>
      </w:r>
      <w:r>
        <w:rPr>
          <w:lang w:val="pt-BR"/>
        </w:rPr>
        <w:t>ibid, para</w:t>
      </w:r>
      <w:r w:rsidRPr="009E0276">
        <w:rPr>
          <w:lang w:val="pt-BR"/>
        </w:rPr>
        <w:t xml:space="preserve"> 50</w:t>
      </w:r>
      <w:r>
        <w:rPr>
          <w:lang w:val="pt-BR"/>
        </w:rPr>
        <w:t>.</w:t>
      </w:r>
    </w:p>
  </w:footnote>
  <w:footnote w:id="181">
    <w:p w14:paraId="36E6D34D" w14:textId="77777777" w:rsidR="00481564" w:rsidRPr="00742BF2" w:rsidRDefault="00481564" w:rsidP="00481564">
      <w:pPr>
        <w:pStyle w:val="Textodenotaderodap"/>
        <w:rPr>
          <w:lang w:val="pt-BR"/>
        </w:rPr>
      </w:pPr>
      <w:r>
        <w:rPr>
          <w:rStyle w:val="Refdenotaderodap"/>
        </w:rPr>
        <w:footnoteRef/>
      </w:r>
      <w:r w:rsidRPr="00742BF2">
        <w:rPr>
          <w:lang w:val="pt-BR"/>
        </w:rPr>
        <w:t xml:space="preserve"> </w:t>
      </w:r>
      <w:r w:rsidRPr="00742BF2">
        <w:rPr>
          <w:lang w:val="pt-BR"/>
        </w:rPr>
        <w:t>ibid, para 51.</w:t>
      </w:r>
    </w:p>
  </w:footnote>
  <w:footnote w:id="182">
    <w:p w14:paraId="504501AB" w14:textId="77777777" w:rsidR="00481564" w:rsidRPr="00742BF2" w:rsidRDefault="00481564" w:rsidP="00481564">
      <w:pPr>
        <w:pStyle w:val="Textodenotaderodap"/>
      </w:pPr>
      <w:r>
        <w:rPr>
          <w:rStyle w:val="Refdenotaderodap"/>
        </w:rPr>
        <w:footnoteRef/>
      </w:r>
      <w:r w:rsidRPr="00742BF2">
        <w:t xml:space="preserve"> </w:t>
      </w:r>
      <w:bookmarkStart w:id="62" w:name="_Hlk111755545"/>
      <w:r w:rsidRPr="00742BF2">
        <w:t xml:space="preserve">Case C-324/09 </w:t>
      </w:r>
      <w:r w:rsidRPr="00742BF2">
        <w:rPr>
          <w:i/>
          <w:iCs/>
        </w:rPr>
        <w:t>L’Oréal and Others</w:t>
      </w:r>
      <w:r>
        <w:rPr>
          <w:i/>
          <w:iCs/>
        </w:rPr>
        <w:t xml:space="preserve"> </w:t>
      </w:r>
      <w:r w:rsidRPr="00742BF2">
        <w:rPr>
          <w:i/>
          <w:iCs/>
        </w:rPr>
        <w:t>v eBay International AG and Others</w:t>
      </w:r>
      <w:r>
        <w:t xml:space="preserve"> [2011]</w:t>
      </w:r>
      <w:r w:rsidRPr="00742BF2">
        <w:t xml:space="preserve"> </w:t>
      </w:r>
      <w:r>
        <w:t>ECR I-6011</w:t>
      </w:r>
      <w:bookmarkEnd w:id="62"/>
      <w:r w:rsidRPr="00742BF2">
        <w:t>, para 63.</w:t>
      </w:r>
    </w:p>
  </w:footnote>
  <w:footnote w:id="183">
    <w:p w14:paraId="025DEF04" w14:textId="77777777" w:rsidR="00481564" w:rsidRPr="00481564" w:rsidRDefault="00481564" w:rsidP="00481564">
      <w:pPr>
        <w:pStyle w:val="Textodenotaderodap"/>
      </w:pPr>
      <w:r>
        <w:rPr>
          <w:rStyle w:val="Refdenotaderodap"/>
        </w:rPr>
        <w:footnoteRef/>
      </w:r>
      <w:r w:rsidRPr="00481564">
        <w:t xml:space="preserve"> Opinion of AG </w:t>
      </w:r>
      <w:r w:rsidRPr="00481564">
        <w:t>Szpunar (n 173) para 52.</w:t>
      </w:r>
    </w:p>
  </w:footnote>
  <w:footnote w:id="184">
    <w:p w14:paraId="68A72386" w14:textId="77777777" w:rsidR="00481564" w:rsidRPr="00481564" w:rsidRDefault="00481564" w:rsidP="00481564">
      <w:pPr>
        <w:pStyle w:val="Textodenotaderodap"/>
      </w:pPr>
      <w:r>
        <w:rPr>
          <w:rStyle w:val="Refdenotaderodap"/>
        </w:rPr>
        <w:footnoteRef/>
      </w:r>
      <w:r w:rsidRPr="00481564">
        <w:t xml:space="preserve"> ibid, para 53.</w:t>
      </w:r>
    </w:p>
  </w:footnote>
  <w:footnote w:id="185">
    <w:p w14:paraId="6F0AB8ED" w14:textId="77777777" w:rsidR="00481564" w:rsidRPr="00481564" w:rsidRDefault="00481564" w:rsidP="00481564">
      <w:pPr>
        <w:pStyle w:val="Textodenotaderodap"/>
      </w:pPr>
      <w:r>
        <w:rPr>
          <w:rStyle w:val="Refdenotaderodap"/>
        </w:rPr>
        <w:footnoteRef/>
      </w:r>
      <w:r w:rsidRPr="00481564">
        <w:t xml:space="preserve"> ibid, paras 54-56.</w:t>
      </w:r>
    </w:p>
  </w:footnote>
  <w:footnote w:id="186">
    <w:p w14:paraId="09654680" w14:textId="77777777" w:rsidR="00481564" w:rsidRDefault="00481564" w:rsidP="00481564">
      <w:pPr>
        <w:pStyle w:val="Textodenotaderodap"/>
      </w:pPr>
      <w:r>
        <w:rPr>
          <w:rStyle w:val="Refdenotaderodap"/>
        </w:rPr>
        <w:footnoteRef/>
      </w:r>
      <w:r>
        <w:t xml:space="preserve"> </w:t>
      </w:r>
      <w:bookmarkStart w:id="63" w:name="_Hlk111755885"/>
      <w:r>
        <w:t>Council Directive (EC) 2000/31 on certain legal aspects of information society services, in particular electronic commerce, in the Internal Market [2000] OJ L178/1 ('Directive on electronic commerce')</w:t>
      </w:r>
      <w:bookmarkEnd w:id="63"/>
      <w:r>
        <w:t>.</w:t>
      </w:r>
    </w:p>
  </w:footnote>
  <w:footnote w:id="187">
    <w:p w14:paraId="0D4E4D48" w14:textId="77777777" w:rsidR="00481564" w:rsidRPr="00036CD6" w:rsidRDefault="00481564" w:rsidP="00481564">
      <w:pPr>
        <w:pStyle w:val="Textodenotaderodap"/>
      </w:pPr>
      <w:r>
        <w:rPr>
          <w:rStyle w:val="Refdenotaderodap"/>
        </w:rPr>
        <w:footnoteRef/>
      </w:r>
      <w:r>
        <w:t xml:space="preserve"> </w:t>
      </w:r>
      <w:bookmarkStart w:id="64" w:name="_Hlk111756296"/>
      <w:r>
        <w:t xml:space="preserve">Case C-18/18 </w:t>
      </w:r>
      <w:r w:rsidRPr="00036CD6">
        <w:rPr>
          <w:i/>
          <w:iCs/>
        </w:rPr>
        <w:t xml:space="preserve">Eva </w:t>
      </w:r>
      <w:r w:rsidRPr="00036CD6">
        <w:rPr>
          <w:i/>
          <w:iCs/>
        </w:rPr>
        <w:t>Glawischnig-Piesczek v Facebook Ireland Limited</w:t>
      </w:r>
      <w:r w:rsidRPr="0021436A">
        <w:t xml:space="preserve"> </w:t>
      </w:r>
      <w:r>
        <w:t xml:space="preserve">[2019] OJ </w:t>
      </w:r>
      <w:r w:rsidRPr="00D23E9D">
        <w:t>C413</w:t>
      </w:r>
      <w:r>
        <w:t>/5</w:t>
      </w:r>
      <w:bookmarkEnd w:id="64"/>
      <w:r>
        <w:t>, p</w:t>
      </w:r>
      <w:r w:rsidRPr="00036CD6">
        <w:t>ara 50</w:t>
      </w:r>
    </w:p>
  </w:footnote>
  <w:footnote w:id="188">
    <w:p w14:paraId="0FF78027" w14:textId="77777777" w:rsidR="00481564" w:rsidRPr="007214D8" w:rsidRDefault="00481564" w:rsidP="00481564">
      <w:pPr>
        <w:pStyle w:val="Textodenotaderodap"/>
        <w:rPr>
          <w:lang w:val="pt-BR"/>
        </w:rPr>
      </w:pPr>
      <w:r>
        <w:rPr>
          <w:rStyle w:val="Refdenotaderodap"/>
        </w:rPr>
        <w:footnoteRef/>
      </w:r>
      <w:r w:rsidRPr="007214D8">
        <w:rPr>
          <w:lang w:val="pt-BR"/>
        </w:rPr>
        <w:t xml:space="preserve"> </w:t>
      </w:r>
      <w:r>
        <w:rPr>
          <w:lang w:val="pt-BR"/>
        </w:rPr>
        <w:t>i</w:t>
      </w:r>
      <w:r w:rsidRPr="007214D8">
        <w:rPr>
          <w:lang w:val="pt-BR"/>
        </w:rPr>
        <w:t>bid</w:t>
      </w:r>
      <w:r>
        <w:rPr>
          <w:lang w:val="pt-BR"/>
        </w:rPr>
        <w:t>,</w:t>
      </w:r>
      <w:r w:rsidRPr="007214D8">
        <w:rPr>
          <w:lang w:val="pt-BR"/>
        </w:rPr>
        <w:t xml:space="preserve"> para 53</w:t>
      </w:r>
      <w:r>
        <w:rPr>
          <w:lang w:val="pt-BR"/>
        </w:rPr>
        <w:t>.</w:t>
      </w:r>
    </w:p>
  </w:footnote>
  <w:footnote w:id="189">
    <w:p w14:paraId="24FC061A" w14:textId="77777777" w:rsidR="00481564" w:rsidRPr="007214D8" w:rsidRDefault="00481564" w:rsidP="00481564">
      <w:pPr>
        <w:pStyle w:val="Textodenotaderodap"/>
        <w:rPr>
          <w:lang w:val="pt-BR"/>
        </w:rPr>
      </w:pPr>
      <w:r>
        <w:rPr>
          <w:rStyle w:val="Refdenotaderodap"/>
        </w:rPr>
        <w:footnoteRef/>
      </w:r>
      <w:r w:rsidRPr="007214D8">
        <w:rPr>
          <w:lang w:val="pt-BR"/>
        </w:rPr>
        <w:t xml:space="preserve"> </w:t>
      </w:r>
      <w:r>
        <w:rPr>
          <w:lang w:val="pt-BR"/>
        </w:rPr>
        <w:t xml:space="preserve">Opinion of </w:t>
      </w:r>
      <w:r w:rsidRPr="007214D8">
        <w:rPr>
          <w:lang w:val="pt-BR"/>
        </w:rPr>
        <w:t xml:space="preserve">AG </w:t>
      </w:r>
      <w:r>
        <w:rPr>
          <w:lang w:val="pt-BR"/>
        </w:rPr>
        <w:t xml:space="preserve">Szpunar (n 173), paras </w:t>
      </w:r>
      <w:r w:rsidRPr="007214D8">
        <w:rPr>
          <w:lang w:val="pt-BR"/>
        </w:rPr>
        <w:t>57-60</w:t>
      </w:r>
      <w:r>
        <w:rPr>
          <w:lang w:val="pt-BR"/>
        </w:rPr>
        <w:t>.</w:t>
      </w:r>
    </w:p>
  </w:footnote>
  <w:footnote w:id="190">
    <w:p w14:paraId="7382D42E" w14:textId="77777777" w:rsidR="00481564" w:rsidRPr="0015019A" w:rsidRDefault="00481564" w:rsidP="00481564">
      <w:pPr>
        <w:pStyle w:val="Textodenotaderodap"/>
        <w:rPr>
          <w:lang w:val="pt-BR"/>
        </w:rPr>
      </w:pPr>
      <w:r>
        <w:rPr>
          <w:rStyle w:val="Refdenotaderodap"/>
        </w:rPr>
        <w:footnoteRef/>
      </w:r>
      <w:r w:rsidRPr="0015019A">
        <w:rPr>
          <w:lang w:val="pt-BR"/>
        </w:rPr>
        <w:t xml:space="preserve"> </w:t>
      </w:r>
      <w:r w:rsidRPr="00A3435C">
        <w:rPr>
          <w:i/>
          <w:iCs/>
          <w:lang w:val="pt-BR"/>
        </w:rPr>
        <w:t>Google v CNIL</w:t>
      </w:r>
      <w:r>
        <w:rPr>
          <w:lang w:val="pt-BR"/>
        </w:rPr>
        <w:t xml:space="preserve"> (n 7), para</w:t>
      </w:r>
      <w:r w:rsidRPr="0015019A">
        <w:rPr>
          <w:lang w:val="pt-BR"/>
        </w:rPr>
        <w:t xml:space="preserve"> 59</w:t>
      </w:r>
      <w:r>
        <w:rPr>
          <w:lang w:val="pt-BR"/>
        </w:rPr>
        <w:t>.</w:t>
      </w:r>
    </w:p>
  </w:footnote>
  <w:footnote w:id="191">
    <w:p w14:paraId="7D12E683" w14:textId="77777777" w:rsidR="00481564" w:rsidRPr="00481564" w:rsidRDefault="00481564" w:rsidP="00481564">
      <w:pPr>
        <w:pStyle w:val="Textodenotaderodap"/>
        <w:rPr>
          <w:lang w:val="pt-BR"/>
        </w:rPr>
      </w:pPr>
      <w:r>
        <w:rPr>
          <w:rStyle w:val="Refdenotaderodap"/>
        </w:rPr>
        <w:footnoteRef/>
      </w:r>
      <w:r w:rsidRPr="00481564">
        <w:rPr>
          <w:lang w:val="pt-BR"/>
        </w:rPr>
        <w:t xml:space="preserve"> </w:t>
      </w:r>
      <w:r w:rsidRPr="00481564">
        <w:rPr>
          <w:lang w:val="pt-BR"/>
        </w:rPr>
        <w:t>Opinion of AG Szpunar (n 173), para 60.</w:t>
      </w:r>
    </w:p>
  </w:footnote>
  <w:footnote w:id="192">
    <w:p w14:paraId="59222EE4" w14:textId="77777777" w:rsidR="00481564" w:rsidRPr="00A3435C" w:rsidRDefault="00481564" w:rsidP="00481564">
      <w:pPr>
        <w:pStyle w:val="Textodenotaderodap"/>
        <w:rPr>
          <w:lang w:val="pt-BR"/>
        </w:rPr>
      </w:pPr>
      <w:r>
        <w:rPr>
          <w:rStyle w:val="Refdenotaderodap"/>
        </w:rPr>
        <w:footnoteRef/>
      </w:r>
      <w:r w:rsidRPr="00A3435C">
        <w:rPr>
          <w:lang w:val="pt-BR"/>
        </w:rPr>
        <w:t xml:space="preserve"> </w:t>
      </w:r>
      <w:r w:rsidRPr="00A3435C">
        <w:rPr>
          <w:lang w:val="pt-BR"/>
        </w:rPr>
        <w:t>ibid, para 62.</w:t>
      </w:r>
    </w:p>
  </w:footnote>
  <w:footnote w:id="193">
    <w:p w14:paraId="0F6DD20C" w14:textId="77777777" w:rsidR="00481564" w:rsidRPr="00A3435C" w:rsidRDefault="00481564" w:rsidP="00481564">
      <w:pPr>
        <w:pStyle w:val="Textodenotaderodap"/>
        <w:rPr>
          <w:lang w:val="pt-BR"/>
        </w:rPr>
      </w:pPr>
      <w:r>
        <w:rPr>
          <w:rStyle w:val="Refdenotaderodap"/>
        </w:rPr>
        <w:footnoteRef/>
      </w:r>
      <w:r w:rsidRPr="00A3435C">
        <w:rPr>
          <w:lang w:val="pt-BR"/>
        </w:rPr>
        <w:t xml:space="preserve"> </w:t>
      </w:r>
      <w:r w:rsidRPr="00A3435C">
        <w:rPr>
          <w:lang w:val="pt-BR"/>
        </w:rPr>
        <w:t>ibid, para 63.</w:t>
      </w:r>
    </w:p>
  </w:footnote>
  <w:footnote w:id="194">
    <w:p w14:paraId="031FDB73" w14:textId="77777777" w:rsidR="00481564" w:rsidRPr="0015019A" w:rsidRDefault="00481564" w:rsidP="00481564">
      <w:pPr>
        <w:pStyle w:val="Textodenotaderodap"/>
        <w:rPr>
          <w:lang w:val="pt-BR"/>
        </w:rPr>
      </w:pPr>
      <w:r>
        <w:rPr>
          <w:rStyle w:val="Refdenotaderodap"/>
        </w:rPr>
        <w:footnoteRef/>
      </w:r>
      <w:r w:rsidRPr="0015019A">
        <w:rPr>
          <w:lang w:val="pt-BR"/>
        </w:rPr>
        <w:t xml:space="preserve"> </w:t>
      </w:r>
      <w:r w:rsidRPr="00A3435C">
        <w:rPr>
          <w:i/>
          <w:iCs/>
          <w:lang w:val="pt-BR"/>
        </w:rPr>
        <w:t>Google v CNIL</w:t>
      </w:r>
      <w:r>
        <w:rPr>
          <w:lang w:val="pt-BR"/>
        </w:rPr>
        <w:t xml:space="preserve"> (n 7), para</w:t>
      </w:r>
      <w:r w:rsidRPr="0015019A">
        <w:rPr>
          <w:lang w:val="pt-BR"/>
        </w:rPr>
        <w:t xml:space="preserve"> 62</w:t>
      </w:r>
      <w:r>
        <w:rPr>
          <w:lang w:val="pt-BR"/>
        </w:rPr>
        <w:t>.</w:t>
      </w:r>
    </w:p>
  </w:footnote>
  <w:footnote w:id="195">
    <w:p w14:paraId="78326A05" w14:textId="77777777" w:rsidR="00481564" w:rsidRPr="00A07C71" w:rsidRDefault="00481564" w:rsidP="00481564">
      <w:pPr>
        <w:pStyle w:val="Textodenotaderodap"/>
      </w:pPr>
      <w:r>
        <w:rPr>
          <w:rStyle w:val="Refdenotaderodap"/>
        </w:rPr>
        <w:footnoteRef/>
      </w:r>
      <w:r w:rsidRPr="00A07C71">
        <w:t xml:space="preserve"> ibid, para 63.</w:t>
      </w:r>
    </w:p>
  </w:footnote>
  <w:footnote w:id="196">
    <w:p w14:paraId="411A3835" w14:textId="77777777" w:rsidR="00481564" w:rsidRPr="0015019A" w:rsidRDefault="00481564" w:rsidP="00481564">
      <w:pPr>
        <w:pStyle w:val="Textodenotaderodap"/>
      </w:pPr>
      <w:r>
        <w:rPr>
          <w:rStyle w:val="Refdenotaderodap"/>
        </w:rPr>
        <w:footnoteRef/>
      </w:r>
      <w:r w:rsidRPr="0015019A">
        <w:t xml:space="preserve"> </w:t>
      </w:r>
      <w:r>
        <w:t>ibid, para</w:t>
      </w:r>
      <w:r w:rsidRPr="0015019A">
        <w:t xml:space="preserve"> 64</w:t>
      </w:r>
      <w:r>
        <w:t>.</w:t>
      </w:r>
    </w:p>
  </w:footnote>
  <w:footnote w:id="197">
    <w:p w14:paraId="25EB1382" w14:textId="77777777" w:rsidR="00481564" w:rsidRDefault="00481564" w:rsidP="00481564">
      <w:pPr>
        <w:pStyle w:val="Textodenotaderodap"/>
      </w:pPr>
      <w:r>
        <w:rPr>
          <w:rStyle w:val="Refdenotaderodap"/>
        </w:rPr>
        <w:footnoteRef/>
      </w:r>
      <w:r>
        <w:t xml:space="preserve"> </w:t>
      </w:r>
      <w:bookmarkStart w:id="65" w:name="_Hlk111757317"/>
      <w:r w:rsidRPr="0015019A">
        <w:t xml:space="preserve">Dan </w:t>
      </w:r>
      <w:r w:rsidRPr="0015019A">
        <w:t>Svantesson</w:t>
      </w:r>
      <w:r>
        <w:t>, ‘</w:t>
      </w:r>
      <w:r w:rsidRPr="0015019A">
        <w:t>A "layered approach" to the extraterritoriality of data privacy laws</w:t>
      </w:r>
      <w:r>
        <w:t xml:space="preserve">’ [2013] 3(4) </w:t>
      </w:r>
      <w:r w:rsidRPr="0015019A">
        <w:t xml:space="preserve">International Data Privacy Law, </w:t>
      </w:r>
      <w:r>
        <w:t>279 &lt;</w:t>
      </w:r>
      <w:r w:rsidRPr="00C818E3">
        <w:t>https://doi.org/10.1093/idpl/ipt027</w:t>
      </w:r>
      <w:r>
        <w:t>&gt;</w:t>
      </w:r>
      <w:bookmarkEnd w:id="65"/>
      <w:r>
        <w:t xml:space="preserve"> accessed 13 August 2022</w:t>
      </w:r>
    </w:p>
  </w:footnote>
  <w:footnote w:id="198">
    <w:p w14:paraId="46583C4A" w14:textId="77777777" w:rsidR="00481564" w:rsidRDefault="00481564" w:rsidP="00481564">
      <w:pPr>
        <w:pStyle w:val="Textodenotaderodap"/>
      </w:pPr>
      <w:r>
        <w:rPr>
          <w:rStyle w:val="Refdenotaderodap"/>
        </w:rPr>
        <w:footnoteRef/>
      </w:r>
      <w:r>
        <w:t xml:space="preserve"> </w:t>
      </w:r>
      <w:bookmarkStart w:id="66" w:name="_Hlk111757547"/>
      <w:r w:rsidRPr="00A56E52">
        <w:rPr>
          <w:color w:val="000000"/>
          <w:shd w:val="clear" w:color="auto" w:fill="FFFFFF"/>
        </w:rPr>
        <w:t xml:space="preserve">Michèle </w:t>
      </w:r>
      <w:r w:rsidRPr="00A56E52">
        <w:rPr>
          <w:color w:val="000000"/>
          <w:shd w:val="clear" w:color="auto" w:fill="FFFFFF"/>
        </w:rPr>
        <w:t>Finck, ‘Google v CNIL: Defining the Territorial Scope of</w:t>
      </w:r>
      <w:r>
        <w:rPr>
          <w:color w:val="000000"/>
          <w:shd w:val="clear" w:color="auto" w:fill="FFFFFF"/>
        </w:rPr>
        <w:t xml:space="preserve"> </w:t>
      </w:r>
      <w:r w:rsidRPr="00A56E52">
        <w:rPr>
          <w:color w:val="000000"/>
          <w:shd w:val="clear" w:color="auto" w:fill="FFFFFF"/>
        </w:rPr>
        <w:t>European Data Protection Law’</w:t>
      </w:r>
      <w:r>
        <w:rPr>
          <w:color w:val="000000"/>
          <w:shd w:val="clear" w:color="auto" w:fill="FFFFFF"/>
        </w:rPr>
        <w:t xml:space="preserve"> (</w:t>
      </w:r>
      <w:r w:rsidRPr="00A56E52">
        <w:rPr>
          <w:color w:val="000000"/>
          <w:shd w:val="clear" w:color="auto" w:fill="FFFFFF"/>
        </w:rPr>
        <w:t>University of Oxford, 16 November</w:t>
      </w:r>
      <w:r>
        <w:rPr>
          <w:color w:val="000000"/>
          <w:shd w:val="clear" w:color="auto" w:fill="FFFFFF"/>
        </w:rPr>
        <w:t xml:space="preserve"> </w:t>
      </w:r>
      <w:r w:rsidRPr="00A56E52">
        <w:rPr>
          <w:color w:val="000000"/>
          <w:shd w:val="clear" w:color="auto" w:fill="FFFFFF"/>
        </w:rPr>
        <w:t>2018</w:t>
      </w:r>
      <w:r>
        <w:rPr>
          <w:color w:val="000000"/>
          <w:shd w:val="clear" w:color="auto" w:fill="FFFFFF"/>
        </w:rPr>
        <w:t>)</w:t>
      </w:r>
      <w:r w:rsidRPr="00A56E52">
        <w:rPr>
          <w:color w:val="000000"/>
          <w:shd w:val="clear" w:color="auto" w:fill="FFFFFF"/>
        </w:rPr>
        <w:t xml:space="preserve"> &lt;https://www.law.ox.ac.uk/business-law-blog/blog/2018/11/google-v-cnil-defining-territorial-scope-european-data-protection-law&gt;</w:t>
      </w:r>
      <w:r>
        <w:rPr>
          <w:color w:val="000000"/>
          <w:shd w:val="clear" w:color="auto" w:fill="FFFFFF"/>
        </w:rPr>
        <w:t xml:space="preserve"> </w:t>
      </w:r>
      <w:bookmarkEnd w:id="66"/>
      <w:r>
        <w:rPr>
          <w:color w:val="000000"/>
          <w:shd w:val="clear" w:color="auto" w:fill="FFFFFF"/>
        </w:rPr>
        <w:t>accessed 13 August 2022</w:t>
      </w:r>
    </w:p>
  </w:footnote>
  <w:footnote w:id="199">
    <w:p w14:paraId="420DC976" w14:textId="77777777" w:rsidR="00481564" w:rsidRPr="005705CB" w:rsidRDefault="00481564" w:rsidP="00481564">
      <w:pPr>
        <w:pStyle w:val="Textodenotaderodap"/>
      </w:pPr>
      <w:r>
        <w:rPr>
          <w:rStyle w:val="Refdenotaderodap"/>
        </w:rPr>
        <w:footnoteRef/>
      </w:r>
      <w:r w:rsidRPr="005705CB">
        <w:t xml:space="preserve"> </w:t>
      </w:r>
      <w:bookmarkStart w:id="67" w:name="_Hlk111757915"/>
      <w:r w:rsidRPr="005705CB">
        <w:t>Y</w:t>
      </w:r>
      <w:r>
        <w:t xml:space="preserve">ann </w:t>
      </w:r>
      <w:r w:rsidRPr="005705CB">
        <w:t>Padova</w:t>
      </w:r>
      <w:r>
        <w:t>,</w:t>
      </w:r>
      <w:r w:rsidRPr="005705CB">
        <w:t xml:space="preserve"> </w:t>
      </w:r>
      <w:r>
        <w:t>‘Is the right to be forgotten a universal, regional, or ‘</w:t>
      </w:r>
      <w:r>
        <w:t>glocal’ right?’ [2019] 9(1) International Data Privacy Law, 9 &lt;</w:t>
      </w:r>
      <w:r w:rsidRPr="00123DB1">
        <w:t>https://doi.org/10.1093/idpl/ipy025</w:t>
      </w:r>
      <w:r>
        <w:t xml:space="preserve">&gt; </w:t>
      </w:r>
      <w:bookmarkEnd w:id="67"/>
      <w:r>
        <w:t>accessed 28 July 2022</w:t>
      </w:r>
    </w:p>
  </w:footnote>
  <w:footnote w:id="200">
    <w:p w14:paraId="25F680E5" w14:textId="77777777" w:rsidR="00481564" w:rsidRPr="00B01911" w:rsidRDefault="00481564" w:rsidP="00481564">
      <w:pPr>
        <w:pStyle w:val="Textodenotaderodap"/>
      </w:pPr>
      <w:r>
        <w:rPr>
          <w:rStyle w:val="Refdenotaderodap"/>
        </w:rPr>
        <w:footnoteRef/>
      </w:r>
      <w:r w:rsidRPr="00B01911">
        <w:t xml:space="preserve"> </w:t>
      </w:r>
      <w:r w:rsidRPr="00B01911">
        <w:rPr>
          <w:i/>
          <w:iCs/>
        </w:rPr>
        <w:t>Lindqvist</w:t>
      </w:r>
      <w:r w:rsidRPr="00B01911">
        <w:t xml:space="preserve"> case (n 152), para 69.</w:t>
      </w:r>
    </w:p>
  </w:footnote>
  <w:footnote w:id="201">
    <w:p w14:paraId="7CBBA089" w14:textId="77777777" w:rsidR="00481564" w:rsidRDefault="00481564" w:rsidP="00481564">
      <w:pPr>
        <w:pStyle w:val="Textodenotaderodap"/>
      </w:pPr>
      <w:r>
        <w:rPr>
          <w:rStyle w:val="Refdenotaderodap"/>
        </w:rPr>
        <w:footnoteRef/>
      </w:r>
      <w:r>
        <w:t xml:space="preserve"> </w:t>
      </w:r>
      <w:bookmarkStart w:id="68" w:name="_Hlk111758481"/>
      <w:r>
        <w:t xml:space="preserve">Case C-362/14 </w:t>
      </w:r>
      <w:r w:rsidRPr="00716347">
        <w:rPr>
          <w:i/>
          <w:iCs/>
          <w:color w:val="000000"/>
          <w:shd w:val="clear" w:color="auto" w:fill="FFFFFF"/>
        </w:rPr>
        <w:t xml:space="preserve">Maximillian </w:t>
      </w:r>
      <w:r w:rsidRPr="00716347">
        <w:rPr>
          <w:i/>
          <w:iCs/>
          <w:color w:val="000000"/>
          <w:shd w:val="clear" w:color="auto" w:fill="FFFFFF"/>
        </w:rPr>
        <w:t>Schrems v Data Protection Commissioner</w:t>
      </w:r>
      <w:r>
        <w:rPr>
          <w:color w:val="000000"/>
          <w:shd w:val="clear" w:color="auto" w:fill="FFFFFF"/>
        </w:rPr>
        <w:t xml:space="preserve"> [2015] </w:t>
      </w:r>
      <w:r w:rsidRPr="00B01911">
        <w:rPr>
          <w:color w:val="000000"/>
          <w:shd w:val="clear" w:color="auto" w:fill="FFFFFF"/>
        </w:rPr>
        <w:t>OJ C3</w:t>
      </w:r>
      <w:r>
        <w:rPr>
          <w:color w:val="000000"/>
          <w:shd w:val="clear" w:color="auto" w:fill="FFFFFF"/>
        </w:rPr>
        <w:t>98/5</w:t>
      </w:r>
      <w:bookmarkEnd w:id="68"/>
      <w:r>
        <w:rPr>
          <w:color w:val="000000"/>
          <w:shd w:val="clear" w:color="auto" w:fill="FFFFFF"/>
        </w:rPr>
        <w:t>, para 44.</w:t>
      </w:r>
    </w:p>
  </w:footnote>
  <w:footnote w:id="202">
    <w:p w14:paraId="450AB5AF" w14:textId="77777777" w:rsidR="00481564" w:rsidRPr="0015019A" w:rsidRDefault="00481564" w:rsidP="00481564">
      <w:pPr>
        <w:pStyle w:val="Textodenotaderodap"/>
        <w:rPr>
          <w:lang w:val="pt-BR"/>
        </w:rPr>
      </w:pPr>
      <w:r>
        <w:rPr>
          <w:rStyle w:val="Refdenotaderodap"/>
        </w:rPr>
        <w:footnoteRef/>
      </w:r>
      <w:r w:rsidRPr="0015019A">
        <w:rPr>
          <w:lang w:val="pt-BR"/>
        </w:rPr>
        <w:t xml:space="preserve"> </w:t>
      </w:r>
      <w:r w:rsidRPr="00FB3BC0">
        <w:rPr>
          <w:i/>
          <w:iCs/>
          <w:lang w:val="pt-BR"/>
        </w:rPr>
        <w:t>Google v CNIL</w:t>
      </w:r>
      <w:r>
        <w:rPr>
          <w:lang w:val="pt-BR"/>
        </w:rPr>
        <w:t xml:space="preserve"> (n 7), para</w:t>
      </w:r>
      <w:r w:rsidRPr="0015019A">
        <w:rPr>
          <w:lang w:val="pt-BR"/>
        </w:rPr>
        <w:t xml:space="preserve"> 39</w:t>
      </w:r>
      <w:r>
        <w:rPr>
          <w:lang w:val="pt-BR"/>
        </w:rPr>
        <w:t>.</w:t>
      </w:r>
    </w:p>
  </w:footnote>
  <w:footnote w:id="203">
    <w:p w14:paraId="46E8D59D" w14:textId="77777777" w:rsidR="00481564" w:rsidRPr="00347B5D" w:rsidRDefault="00481564" w:rsidP="00481564">
      <w:pPr>
        <w:pStyle w:val="Textodenotaderodap"/>
        <w:rPr>
          <w:lang w:val="pt-BR"/>
        </w:rPr>
      </w:pPr>
      <w:r>
        <w:rPr>
          <w:rStyle w:val="Refdenotaderodap"/>
        </w:rPr>
        <w:footnoteRef/>
      </w:r>
      <w:r w:rsidRPr="00347B5D">
        <w:rPr>
          <w:lang w:val="pt-BR"/>
        </w:rPr>
        <w:t xml:space="preserve"> </w:t>
      </w:r>
      <w:r>
        <w:rPr>
          <w:lang w:val="pt-BR"/>
        </w:rPr>
        <w:t>ibid, para</w:t>
      </w:r>
      <w:r w:rsidRPr="00347B5D">
        <w:rPr>
          <w:lang w:val="pt-BR"/>
        </w:rPr>
        <w:t xml:space="preserve"> 39</w:t>
      </w:r>
      <w:r>
        <w:rPr>
          <w:lang w:val="pt-BR"/>
        </w:rPr>
        <w:t>.</w:t>
      </w:r>
    </w:p>
  </w:footnote>
  <w:footnote w:id="204">
    <w:p w14:paraId="6D57B61C" w14:textId="77777777" w:rsidR="00481564" w:rsidRPr="009E0276" w:rsidRDefault="00481564" w:rsidP="00481564">
      <w:pPr>
        <w:pStyle w:val="Textodenotaderodap"/>
        <w:rPr>
          <w:lang w:val="pt-BR"/>
        </w:rPr>
      </w:pPr>
      <w:r>
        <w:rPr>
          <w:rStyle w:val="Refdenotaderodap"/>
        </w:rPr>
        <w:footnoteRef/>
      </w:r>
      <w:r w:rsidRPr="009E0276">
        <w:rPr>
          <w:lang w:val="pt-BR"/>
        </w:rPr>
        <w:t xml:space="preserve"> </w:t>
      </w:r>
      <w:r>
        <w:rPr>
          <w:lang w:val="pt-BR"/>
        </w:rPr>
        <w:t>Opinion of AG Szpunar (n 173), paras</w:t>
      </w:r>
      <w:r w:rsidRPr="009E0276">
        <w:rPr>
          <w:lang w:val="pt-BR"/>
        </w:rPr>
        <w:t xml:space="preserve"> </w:t>
      </w:r>
      <w:r>
        <w:rPr>
          <w:lang w:val="pt-BR"/>
        </w:rPr>
        <w:t>75-</w:t>
      </w:r>
      <w:r w:rsidRPr="009E0276">
        <w:rPr>
          <w:lang w:val="pt-BR"/>
        </w:rPr>
        <w:t>77</w:t>
      </w:r>
      <w:r>
        <w:rPr>
          <w:lang w:val="pt-BR"/>
        </w:rPr>
        <w:t>.</w:t>
      </w:r>
    </w:p>
  </w:footnote>
  <w:footnote w:id="205">
    <w:p w14:paraId="58F2345A" w14:textId="77777777" w:rsidR="00481564" w:rsidRPr="00347B5D" w:rsidRDefault="00481564" w:rsidP="00481564">
      <w:pPr>
        <w:pStyle w:val="Textodenotaderodap"/>
        <w:rPr>
          <w:lang w:val="pt-BR"/>
        </w:rPr>
      </w:pPr>
      <w:r>
        <w:rPr>
          <w:rStyle w:val="Refdenotaderodap"/>
        </w:rPr>
        <w:footnoteRef/>
      </w:r>
      <w:r w:rsidRPr="00347B5D">
        <w:rPr>
          <w:lang w:val="pt-BR"/>
        </w:rPr>
        <w:t xml:space="preserve"> </w:t>
      </w:r>
      <w:r w:rsidRPr="00FB3BC0">
        <w:rPr>
          <w:i/>
          <w:iCs/>
          <w:lang w:val="pt-BR"/>
        </w:rPr>
        <w:t>Google v CNIL</w:t>
      </w:r>
      <w:r>
        <w:rPr>
          <w:lang w:val="pt-BR"/>
        </w:rPr>
        <w:t xml:space="preserve"> (n 7), paras</w:t>
      </w:r>
      <w:r w:rsidRPr="00347B5D">
        <w:rPr>
          <w:lang w:val="pt-BR"/>
        </w:rPr>
        <w:t xml:space="preserve"> </w:t>
      </w:r>
      <w:r>
        <w:rPr>
          <w:lang w:val="pt-BR"/>
        </w:rPr>
        <w:t>66-</w:t>
      </w:r>
      <w:r w:rsidRPr="00347B5D">
        <w:rPr>
          <w:lang w:val="pt-BR"/>
        </w:rPr>
        <w:t>67</w:t>
      </w:r>
      <w:r>
        <w:rPr>
          <w:lang w:val="pt-BR"/>
        </w:rPr>
        <w:t>.</w:t>
      </w:r>
    </w:p>
  </w:footnote>
  <w:footnote w:id="206">
    <w:p w14:paraId="5ECF34FD" w14:textId="77777777" w:rsidR="00481564" w:rsidRPr="00251AE3" w:rsidRDefault="00481564" w:rsidP="00481564">
      <w:pPr>
        <w:pStyle w:val="Textodenotaderodap"/>
      </w:pPr>
      <w:r>
        <w:rPr>
          <w:rStyle w:val="Refdenotaderodap"/>
        </w:rPr>
        <w:footnoteRef/>
      </w:r>
      <w:r w:rsidRPr="00251AE3">
        <w:t xml:space="preserve"> </w:t>
      </w:r>
      <w:r w:rsidRPr="00251AE3">
        <w:t xml:space="preserve">Globocnik (n 141) 387. </w:t>
      </w:r>
    </w:p>
  </w:footnote>
  <w:footnote w:id="207">
    <w:p w14:paraId="4E30B503" w14:textId="77777777" w:rsidR="00481564" w:rsidRDefault="00481564" w:rsidP="00481564">
      <w:pPr>
        <w:pStyle w:val="Textodenotaderodap"/>
      </w:pPr>
      <w:r>
        <w:rPr>
          <w:rStyle w:val="Refdenotaderodap"/>
        </w:rPr>
        <w:footnoteRef/>
      </w:r>
      <w:r>
        <w:t xml:space="preserve"> </w:t>
      </w:r>
      <w:bookmarkStart w:id="70" w:name="_Hlk111758933"/>
      <w:r>
        <w:t xml:space="preserve">Council </w:t>
      </w:r>
      <w:r w:rsidRPr="00A770DC">
        <w:t>Directive (EU) 2017/541 on combating terrorism</w:t>
      </w:r>
      <w:r>
        <w:t xml:space="preserve"> [2017] </w:t>
      </w:r>
      <w:r w:rsidRPr="00A770DC">
        <w:t>OJ L88</w:t>
      </w:r>
      <w:r>
        <w:t>/6</w:t>
      </w:r>
      <w:bookmarkEnd w:id="70"/>
    </w:p>
  </w:footnote>
  <w:footnote w:id="208">
    <w:p w14:paraId="3D9D0B88" w14:textId="77777777" w:rsidR="00481564" w:rsidRPr="0015019A" w:rsidRDefault="00481564" w:rsidP="00481564">
      <w:pPr>
        <w:pStyle w:val="Textodenotaderodap"/>
      </w:pPr>
      <w:r>
        <w:rPr>
          <w:rStyle w:val="Refdenotaderodap"/>
        </w:rPr>
        <w:footnoteRef/>
      </w:r>
      <w:r w:rsidRPr="0015019A">
        <w:t xml:space="preserve"> </w:t>
      </w:r>
      <w:r>
        <w:t>ibid, a</w:t>
      </w:r>
      <w:r w:rsidRPr="0015019A">
        <w:t>rt. 21(1)</w:t>
      </w:r>
      <w:r>
        <w:t>.</w:t>
      </w:r>
      <w:r w:rsidRPr="0015019A">
        <w:t xml:space="preserve"> </w:t>
      </w:r>
    </w:p>
  </w:footnote>
  <w:footnote w:id="209">
    <w:p w14:paraId="4CD03945" w14:textId="77777777" w:rsidR="00481564" w:rsidRPr="00481564" w:rsidRDefault="00481564" w:rsidP="00481564">
      <w:pPr>
        <w:pStyle w:val="Textodenotaderodap"/>
        <w:rPr>
          <w:lang w:val="pt-BR"/>
        </w:rPr>
      </w:pPr>
      <w:r>
        <w:rPr>
          <w:rStyle w:val="Refdenotaderodap"/>
        </w:rPr>
        <w:footnoteRef/>
      </w:r>
      <w:r w:rsidRPr="00481564">
        <w:rPr>
          <w:lang w:val="pt-BR"/>
        </w:rPr>
        <w:t xml:space="preserve"> </w:t>
      </w:r>
      <w:r w:rsidRPr="00481564">
        <w:rPr>
          <w:i/>
          <w:iCs/>
          <w:lang w:val="pt-BR"/>
        </w:rPr>
        <w:t>Google v CNIL</w:t>
      </w:r>
      <w:r w:rsidRPr="00481564">
        <w:rPr>
          <w:lang w:val="pt-BR"/>
        </w:rPr>
        <w:t xml:space="preserve"> (n 7), paras 68-69.</w:t>
      </w:r>
    </w:p>
  </w:footnote>
  <w:footnote w:id="210">
    <w:p w14:paraId="6B31F63D" w14:textId="77777777" w:rsidR="00481564" w:rsidRPr="00A4091A" w:rsidRDefault="00481564" w:rsidP="00481564">
      <w:pPr>
        <w:pStyle w:val="Textodenotaderodap"/>
      </w:pPr>
      <w:r>
        <w:rPr>
          <w:rStyle w:val="Refdenotaderodap"/>
        </w:rPr>
        <w:footnoteRef/>
      </w:r>
      <w:r>
        <w:t xml:space="preserve"> Sam Wrigley and Anne Klinefelter (n 87) </w:t>
      </w:r>
      <w:r w:rsidRPr="00A4091A">
        <w:t>712</w:t>
      </w:r>
      <w:r>
        <w:t>.</w:t>
      </w:r>
      <w:r w:rsidRPr="00A4091A">
        <w:t xml:space="preserve"> </w:t>
      </w:r>
    </w:p>
  </w:footnote>
  <w:footnote w:id="211">
    <w:p w14:paraId="76C06AC2" w14:textId="77777777" w:rsidR="00481564" w:rsidRPr="0022610A" w:rsidRDefault="00481564" w:rsidP="00481564">
      <w:pPr>
        <w:pStyle w:val="Textodenotaderodap"/>
        <w:rPr>
          <w:lang w:val="pt-BR"/>
        </w:rPr>
      </w:pPr>
      <w:r>
        <w:rPr>
          <w:rStyle w:val="Refdenotaderodap"/>
        </w:rPr>
        <w:footnoteRef/>
      </w:r>
      <w:r w:rsidRPr="0022610A">
        <w:rPr>
          <w:lang w:val="pt-BR"/>
        </w:rPr>
        <w:t xml:space="preserve"> </w:t>
      </w:r>
      <w:r w:rsidRPr="0022610A">
        <w:rPr>
          <w:i/>
          <w:iCs/>
          <w:lang w:val="pt-BR"/>
        </w:rPr>
        <w:t>Google v CNIL</w:t>
      </w:r>
      <w:r w:rsidRPr="0022610A">
        <w:rPr>
          <w:lang w:val="pt-BR"/>
        </w:rPr>
        <w:t xml:space="preserve"> (n 7), para 72.</w:t>
      </w:r>
    </w:p>
  </w:footnote>
  <w:footnote w:id="212">
    <w:p w14:paraId="4ECC8432" w14:textId="77777777" w:rsidR="00481564" w:rsidRPr="00B134C1" w:rsidRDefault="00481564" w:rsidP="00481564">
      <w:pPr>
        <w:pStyle w:val="Textodenotaderodap"/>
        <w:rPr>
          <w:lang w:val="pt-BR"/>
        </w:rPr>
      </w:pPr>
      <w:r>
        <w:rPr>
          <w:rStyle w:val="Refdenotaderodap"/>
        </w:rPr>
        <w:footnoteRef/>
      </w:r>
      <w:r w:rsidRPr="00B134C1">
        <w:rPr>
          <w:lang w:val="pt-BR"/>
        </w:rPr>
        <w:t xml:space="preserve"> </w:t>
      </w:r>
      <w:r w:rsidRPr="00B134C1">
        <w:rPr>
          <w:lang w:val="pt-BR"/>
        </w:rPr>
        <w:t>Opinion of AG Szpunar (n 173), para 67.</w:t>
      </w:r>
    </w:p>
  </w:footnote>
  <w:footnote w:id="213">
    <w:p w14:paraId="16F8456A" w14:textId="77777777" w:rsidR="00481564" w:rsidRPr="00B134C1" w:rsidRDefault="00481564" w:rsidP="00481564">
      <w:pPr>
        <w:pStyle w:val="Textodenotaderodap"/>
        <w:rPr>
          <w:lang w:val="pt-BR"/>
        </w:rPr>
      </w:pPr>
      <w:r>
        <w:rPr>
          <w:rStyle w:val="Refdenotaderodap"/>
        </w:rPr>
        <w:footnoteRef/>
      </w:r>
      <w:r w:rsidRPr="00B134C1">
        <w:rPr>
          <w:lang w:val="pt-BR"/>
        </w:rPr>
        <w:t xml:space="preserve"> </w:t>
      </w:r>
      <w:r>
        <w:rPr>
          <w:lang w:val="pt-BR"/>
        </w:rPr>
        <w:t>i</w:t>
      </w:r>
      <w:r w:rsidRPr="00B134C1">
        <w:rPr>
          <w:lang w:val="pt-BR"/>
        </w:rPr>
        <w:t>bid, para 69</w:t>
      </w:r>
      <w:r>
        <w:rPr>
          <w:lang w:val="pt-BR"/>
        </w:rPr>
        <w:t>.</w:t>
      </w:r>
    </w:p>
  </w:footnote>
  <w:footnote w:id="214">
    <w:p w14:paraId="4D8B9F6A" w14:textId="77777777" w:rsidR="00481564" w:rsidRPr="00B134C1" w:rsidRDefault="00481564" w:rsidP="00481564">
      <w:pPr>
        <w:pStyle w:val="Textodenotaderodap"/>
        <w:rPr>
          <w:lang w:val="pt-BR"/>
        </w:rPr>
      </w:pPr>
      <w:r>
        <w:rPr>
          <w:rStyle w:val="Refdenotaderodap"/>
        </w:rPr>
        <w:footnoteRef/>
      </w:r>
      <w:r w:rsidRPr="00B134C1">
        <w:rPr>
          <w:lang w:val="pt-BR"/>
        </w:rPr>
        <w:t xml:space="preserve"> </w:t>
      </w:r>
      <w:r>
        <w:rPr>
          <w:lang w:val="pt-BR"/>
        </w:rPr>
        <w:t>i</w:t>
      </w:r>
      <w:r w:rsidRPr="00B134C1">
        <w:rPr>
          <w:lang w:val="pt-BR"/>
        </w:rPr>
        <w:t>bid, para 70</w:t>
      </w:r>
      <w:r>
        <w:rPr>
          <w:lang w:val="pt-BR"/>
        </w:rPr>
        <w:t>.</w:t>
      </w:r>
    </w:p>
  </w:footnote>
  <w:footnote w:id="215">
    <w:p w14:paraId="006F9049" w14:textId="77777777" w:rsidR="00481564" w:rsidRPr="00B134C1" w:rsidRDefault="00481564" w:rsidP="00481564">
      <w:pPr>
        <w:pStyle w:val="Textodenotaderodap"/>
        <w:rPr>
          <w:lang w:val="pt-BR"/>
        </w:rPr>
      </w:pPr>
      <w:r>
        <w:rPr>
          <w:rStyle w:val="Refdenotaderodap"/>
        </w:rPr>
        <w:footnoteRef/>
      </w:r>
      <w:r w:rsidRPr="00B134C1">
        <w:rPr>
          <w:lang w:val="pt-BR"/>
        </w:rPr>
        <w:t xml:space="preserve"> </w:t>
      </w:r>
      <w:r>
        <w:rPr>
          <w:lang w:val="pt-BR"/>
        </w:rPr>
        <w:t>i</w:t>
      </w:r>
      <w:r w:rsidRPr="00B134C1">
        <w:rPr>
          <w:lang w:val="pt-BR"/>
        </w:rPr>
        <w:t>bid, para 71</w:t>
      </w:r>
      <w:r>
        <w:rPr>
          <w:lang w:val="pt-BR"/>
        </w:rPr>
        <w:t>.</w:t>
      </w:r>
    </w:p>
  </w:footnote>
  <w:footnote w:id="216">
    <w:p w14:paraId="52FEEDC7" w14:textId="77777777" w:rsidR="00481564" w:rsidRPr="00B134C1" w:rsidRDefault="00481564" w:rsidP="00481564">
      <w:pPr>
        <w:pStyle w:val="Textodenotaderodap"/>
        <w:rPr>
          <w:lang w:val="pt-BR"/>
        </w:rPr>
      </w:pPr>
      <w:r>
        <w:rPr>
          <w:rStyle w:val="Refdenotaderodap"/>
        </w:rPr>
        <w:footnoteRef/>
      </w:r>
      <w:r w:rsidRPr="00B134C1">
        <w:rPr>
          <w:lang w:val="pt-BR"/>
        </w:rPr>
        <w:t xml:space="preserve"> </w:t>
      </w:r>
      <w:r>
        <w:rPr>
          <w:lang w:val="pt-BR"/>
        </w:rPr>
        <w:t>i</w:t>
      </w:r>
      <w:r w:rsidRPr="00B134C1">
        <w:rPr>
          <w:lang w:val="pt-BR"/>
        </w:rPr>
        <w:t>bid, para 72</w:t>
      </w:r>
      <w:r>
        <w:rPr>
          <w:lang w:val="pt-BR"/>
        </w:rPr>
        <w:t>.</w:t>
      </w:r>
    </w:p>
  </w:footnote>
  <w:footnote w:id="217">
    <w:p w14:paraId="18F4BA0C" w14:textId="77777777" w:rsidR="00481564" w:rsidRPr="000767AF" w:rsidRDefault="00481564" w:rsidP="00481564">
      <w:pPr>
        <w:pStyle w:val="Textodenotaderodap"/>
        <w:rPr>
          <w:lang w:val="pt-BR"/>
        </w:rPr>
      </w:pPr>
      <w:r>
        <w:rPr>
          <w:rStyle w:val="Refdenotaderodap"/>
        </w:rPr>
        <w:footnoteRef/>
      </w:r>
      <w:r w:rsidRPr="000767AF">
        <w:rPr>
          <w:lang w:val="pt-BR"/>
        </w:rPr>
        <w:t xml:space="preserve"> </w:t>
      </w:r>
      <w:r>
        <w:rPr>
          <w:lang w:val="pt-BR"/>
        </w:rPr>
        <w:t>i</w:t>
      </w:r>
      <w:r w:rsidRPr="000767AF">
        <w:rPr>
          <w:lang w:val="pt-BR"/>
        </w:rPr>
        <w:t>bid, para 74</w:t>
      </w:r>
      <w:r>
        <w:rPr>
          <w:lang w:val="pt-BR"/>
        </w:rPr>
        <w:t>.</w:t>
      </w:r>
    </w:p>
  </w:footnote>
  <w:footnote w:id="218">
    <w:p w14:paraId="7F9219A0" w14:textId="77777777" w:rsidR="00481564" w:rsidRPr="000767AF" w:rsidRDefault="00481564" w:rsidP="00481564">
      <w:pPr>
        <w:pStyle w:val="Textodenotaderodap"/>
        <w:rPr>
          <w:lang w:val="pt-BR"/>
        </w:rPr>
      </w:pPr>
      <w:r>
        <w:rPr>
          <w:rStyle w:val="Refdenotaderodap"/>
        </w:rPr>
        <w:footnoteRef/>
      </w:r>
      <w:r w:rsidRPr="000767AF">
        <w:rPr>
          <w:lang w:val="pt-BR"/>
        </w:rPr>
        <w:t xml:space="preserve"> </w:t>
      </w:r>
      <w:r w:rsidRPr="000767AF">
        <w:rPr>
          <w:i/>
          <w:iCs/>
          <w:lang w:val="pt-BR"/>
        </w:rPr>
        <w:t>Google v CNIL</w:t>
      </w:r>
      <w:r w:rsidRPr="000767AF">
        <w:rPr>
          <w:lang w:val="pt-BR"/>
        </w:rPr>
        <w:t xml:space="preserve"> (n 173), para 70</w:t>
      </w:r>
      <w:r>
        <w:rPr>
          <w:lang w:val="pt-BR"/>
        </w:rPr>
        <w:t>.</w:t>
      </w:r>
    </w:p>
  </w:footnote>
  <w:footnote w:id="219">
    <w:p w14:paraId="22EE02F7" w14:textId="77777777" w:rsidR="00481564" w:rsidRDefault="00481564" w:rsidP="00481564">
      <w:pPr>
        <w:pStyle w:val="Textodenotaderodap"/>
      </w:pPr>
      <w:r>
        <w:rPr>
          <w:rStyle w:val="Refdenotaderodap"/>
        </w:rPr>
        <w:footnoteRef/>
      </w:r>
      <w:r>
        <w:t xml:space="preserve"> ibid, para 71.</w:t>
      </w:r>
    </w:p>
  </w:footnote>
  <w:footnote w:id="220">
    <w:p w14:paraId="1FF490AE" w14:textId="77777777" w:rsidR="00481564" w:rsidRPr="00196168" w:rsidRDefault="00481564" w:rsidP="00481564">
      <w:pPr>
        <w:pStyle w:val="Textodenotaderodap"/>
      </w:pPr>
      <w:r>
        <w:rPr>
          <w:rStyle w:val="Refdenotaderodap"/>
        </w:rPr>
        <w:footnoteRef/>
      </w:r>
      <w:r w:rsidRPr="00196168">
        <w:t xml:space="preserve"> </w:t>
      </w:r>
      <w:r>
        <w:t>ibid, para</w:t>
      </w:r>
      <w:r w:rsidRPr="00196168">
        <w:t xml:space="preserve"> 73</w:t>
      </w:r>
      <w:r>
        <w:t>.</w:t>
      </w:r>
    </w:p>
  </w:footnote>
  <w:footnote w:id="221">
    <w:p w14:paraId="045F199D" w14:textId="77777777" w:rsidR="00481564" w:rsidRDefault="00481564" w:rsidP="00481564">
      <w:pPr>
        <w:pStyle w:val="Textodenotaderodap"/>
      </w:pPr>
      <w:r>
        <w:rPr>
          <w:rStyle w:val="Refdenotaderodap"/>
        </w:rPr>
        <w:footnoteRef/>
      </w:r>
      <w:r>
        <w:t xml:space="preserve"> Mayer-</w:t>
      </w:r>
      <w:r>
        <w:t>Schönberger (n 2) 169-195.</w:t>
      </w:r>
    </w:p>
  </w:footnote>
  <w:footnote w:id="222">
    <w:p w14:paraId="4F664A91" w14:textId="77777777" w:rsidR="00481564" w:rsidRPr="00A65090" w:rsidRDefault="00481564" w:rsidP="00481564">
      <w:pPr>
        <w:pStyle w:val="Textodenotaderodap"/>
      </w:pPr>
      <w:r>
        <w:rPr>
          <w:rStyle w:val="Refdenotaderodap"/>
        </w:rPr>
        <w:footnoteRef/>
      </w:r>
      <w:r w:rsidRPr="00A65090">
        <w:t xml:space="preserve"> </w:t>
      </w:r>
      <w:bookmarkStart w:id="73" w:name="_Hlk111759727"/>
      <w:r w:rsidRPr="00A65090">
        <w:t>Jamie Harris</w:t>
      </w:r>
      <w:r>
        <w:t>, ‘</w:t>
      </w:r>
      <w:r w:rsidRPr="00A65090">
        <w:t>How to watch Instagram Stories anonymously</w:t>
      </w:r>
      <w:r>
        <w:t xml:space="preserve">’ (New York Post, 31 </w:t>
      </w:r>
      <w:r w:rsidRPr="00A65090">
        <w:t>March 2022</w:t>
      </w:r>
      <w:r>
        <w:t>) &lt;</w:t>
      </w:r>
      <w:r w:rsidRPr="00304A71">
        <w:t>https://nypost.com/2022/03/31/how-to-watch-instagram-stories-anonymously/</w:t>
      </w:r>
      <w:r>
        <w:t>&gt; accessed 12 August 2022</w:t>
      </w:r>
    </w:p>
    <w:bookmarkEnd w:id="73"/>
  </w:footnote>
  <w:footnote w:id="223">
    <w:p w14:paraId="22476ECD" w14:textId="77777777" w:rsidR="00481564" w:rsidRDefault="00481564" w:rsidP="00481564">
      <w:pPr>
        <w:pStyle w:val="Textodenotaderodap"/>
      </w:pPr>
      <w:r>
        <w:rPr>
          <w:rStyle w:val="Refdenotaderodap"/>
        </w:rPr>
        <w:footnoteRef/>
      </w:r>
      <w:r>
        <w:t xml:space="preserve"> </w:t>
      </w:r>
      <w:bookmarkStart w:id="74" w:name="_Hlk111759752"/>
      <w:r>
        <w:t>Wayback Machine &lt;</w:t>
      </w:r>
      <w:r w:rsidRPr="00C649DB">
        <w:t>web.archive.org</w:t>
      </w:r>
      <w:r>
        <w:t xml:space="preserve">&gt; </w:t>
      </w:r>
      <w:bookmarkEnd w:id="74"/>
      <w:r>
        <w:t>accessed 12 August 2022</w:t>
      </w:r>
    </w:p>
  </w:footnote>
  <w:footnote w:id="224">
    <w:p w14:paraId="297264F2" w14:textId="77777777" w:rsidR="00481564" w:rsidRDefault="00481564" w:rsidP="00481564">
      <w:pPr>
        <w:pStyle w:val="Textodenotaderodap"/>
      </w:pPr>
      <w:r>
        <w:rPr>
          <w:rStyle w:val="Refdenotaderodap"/>
        </w:rPr>
        <w:footnoteRef/>
      </w:r>
      <w:r>
        <w:t xml:space="preserve"> Anette </w:t>
      </w:r>
      <w:r>
        <w:t xml:space="preserve">Alén-Savikko, ‘Finland: The Right to Be Forgotten’ in Franz Werro (ed), </w:t>
      </w:r>
      <w:r w:rsidRPr="007562E2">
        <w:rPr>
          <w:i/>
          <w:iCs/>
        </w:rPr>
        <w:t xml:space="preserve">The Right </w:t>
      </w:r>
      <w:r w:rsidRPr="007562E2">
        <w:rPr>
          <w:i/>
          <w:iCs/>
        </w:rPr>
        <w:t>To Be Forgotten: A Comparative Study of the Emergent Right’s Evolution and Application in Europe, the Americas, and Asia</w:t>
      </w:r>
      <w:r>
        <w:t xml:space="preserve"> (</w:t>
      </w:r>
      <w:r w:rsidRPr="00C75BC9">
        <w:t>Springer Cham</w:t>
      </w:r>
      <w:r>
        <w:t xml:space="preserve"> 2020) 121.</w:t>
      </w:r>
    </w:p>
  </w:footnote>
  <w:footnote w:id="225">
    <w:p w14:paraId="249773C7" w14:textId="77777777" w:rsidR="00481564" w:rsidRDefault="00481564" w:rsidP="00481564">
      <w:pPr>
        <w:pStyle w:val="Textodenotaderodap"/>
      </w:pPr>
      <w:r>
        <w:rPr>
          <w:rStyle w:val="Refdenotaderodap"/>
        </w:rPr>
        <w:footnoteRef/>
      </w:r>
      <w:r>
        <w:t xml:space="preserve"> Google </w:t>
      </w:r>
      <w:r w:rsidRPr="006A61D8">
        <w:t>Personal Information Removal Request Form</w:t>
      </w:r>
      <w:r>
        <w:t xml:space="preserve"> (n 116) </w:t>
      </w:r>
    </w:p>
  </w:footnote>
  <w:footnote w:id="226">
    <w:p w14:paraId="6141674B" w14:textId="77777777" w:rsidR="00481564" w:rsidRPr="007E6131" w:rsidRDefault="00481564" w:rsidP="00481564">
      <w:pPr>
        <w:pStyle w:val="Textodenotaderodap"/>
      </w:pPr>
      <w:r>
        <w:rPr>
          <w:rStyle w:val="Refdenotaderodap"/>
        </w:rPr>
        <w:footnoteRef/>
      </w:r>
      <w:r>
        <w:t xml:space="preserve"> </w:t>
      </w:r>
      <w:bookmarkStart w:id="75" w:name="_Hlk111760756"/>
      <w:r w:rsidRPr="00A41D39">
        <w:t>Danny Sullivan</w:t>
      </w:r>
      <w:r>
        <w:t>, ‘</w:t>
      </w:r>
      <w:r w:rsidRPr="00A41D39">
        <w:t>When (and why) we remove content from Google search results</w:t>
      </w:r>
      <w:r>
        <w:t xml:space="preserve">’ (Google Blog, 19 </w:t>
      </w:r>
      <w:r w:rsidRPr="007E6131">
        <w:t>Apr</w:t>
      </w:r>
      <w:r>
        <w:t xml:space="preserve">il </w:t>
      </w:r>
      <w:r w:rsidRPr="007E6131">
        <w:t>2021</w:t>
      </w:r>
      <w:r>
        <w:t>)</w:t>
      </w:r>
      <w:r w:rsidRPr="007E6131">
        <w:t xml:space="preserve"> </w:t>
      </w:r>
      <w:r>
        <w:t>&lt;</w:t>
      </w:r>
      <w:r w:rsidRPr="007E6131">
        <w:t>https://blog.google/products/search/when-and-why-we-remove-content-google-search-results/</w:t>
      </w:r>
      <w:r>
        <w:t xml:space="preserve">&gt; </w:t>
      </w:r>
      <w:bookmarkEnd w:id="75"/>
      <w:r>
        <w:t>accessed 14 August 2022</w:t>
      </w:r>
    </w:p>
  </w:footnote>
  <w:footnote w:id="227">
    <w:p w14:paraId="25248575" w14:textId="77777777" w:rsidR="00481564" w:rsidRPr="00D52293" w:rsidRDefault="00481564" w:rsidP="00481564">
      <w:pPr>
        <w:pStyle w:val="Textodenotaderodap"/>
      </w:pPr>
      <w:r>
        <w:rPr>
          <w:rStyle w:val="Refdenotaderodap"/>
        </w:rPr>
        <w:footnoteRef/>
      </w:r>
      <w:r w:rsidRPr="00D52293">
        <w:t xml:space="preserve"> </w:t>
      </w:r>
      <w:bookmarkStart w:id="76" w:name="_Hlk111760901"/>
      <w:r w:rsidRPr="00D52293">
        <w:t>Amit Singhal</w:t>
      </w:r>
      <w:r>
        <w:t>,</w:t>
      </w:r>
      <w:r w:rsidRPr="00D52293">
        <w:t xml:space="preserve"> </w:t>
      </w:r>
      <w:r>
        <w:t>‘</w:t>
      </w:r>
      <w:r w:rsidRPr="00D52293">
        <w:t>“Revenge porn” and Search</w:t>
      </w:r>
      <w:r>
        <w:t xml:space="preserve">’ (Google Public Policy Blog, 19 </w:t>
      </w:r>
      <w:r w:rsidRPr="00D52293">
        <w:t>June</w:t>
      </w:r>
      <w:r>
        <w:t xml:space="preserve"> </w:t>
      </w:r>
      <w:r w:rsidRPr="00D52293">
        <w:t>2015</w:t>
      </w:r>
      <w:r>
        <w:t>) &lt;</w:t>
      </w:r>
      <w:r w:rsidRPr="00D52293">
        <w:t>https://publicpolicy.googleblog.com/2015/06/revenge-porn-and-search.html</w:t>
      </w:r>
      <w:r>
        <w:t xml:space="preserve">&gt; </w:t>
      </w:r>
      <w:bookmarkEnd w:id="76"/>
      <w:r>
        <w:t>accessed 14 August 2022</w:t>
      </w:r>
    </w:p>
  </w:footnote>
  <w:footnote w:id="228">
    <w:p w14:paraId="0520B1D9" w14:textId="77777777" w:rsidR="00481564" w:rsidRPr="005024E7" w:rsidRDefault="00481564" w:rsidP="00481564">
      <w:pPr>
        <w:pStyle w:val="Textodenotaderodap"/>
      </w:pPr>
      <w:r>
        <w:rPr>
          <w:rStyle w:val="Refdenotaderodap"/>
        </w:rPr>
        <w:footnoteRef/>
      </w:r>
      <w:r>
        <w:t xml:space="preserve"> Opinion of AG </w:t>
      </w:r>
      <w:r w:rsidRPr="00ED572F">
        <w:t>Jääskinen</w:t>
      </w:r>
      <w:r>
        <w:t xml:space="preserve"> (n 65), para </w:t>
      </w:r>
      <w:r w:rsidRPr="005024E7">
        <w:t>86</w:t>
      </w:r>
      <w:r>
        <w:t>.</w:t>
      </w:r>
    </w:p>
  </w:footnote>
  <w:footnote w:id="229">
    <w:p w14:paraId="52538B3A" w14:textId="77777777" w:rsidR="00481564" w:rsidRPr="00C81E26" w:rsidRDefault="00481564" w:rsidP="00481564">
      <w:pPr>
        <w:pStyle w:val="Textodenotaderodap"/>
      </w:pPr>
      <w:r>
        <w:rPr>
          <w:rStyle w:val="Refdenotaderodap"/>
        </w:rPr>
        <w:footnoteRef/>
      </w:r>
      <w:r w:rsidRPr="004F49A9">
        <w:t xml:space="preserve"> </w:t>
      </w:r>
      <w:bookmarkStart w:id="77" w:name="_Hlk111761336"/>
      <w:r>
        <w:t xml:space="preserve">Brendan Van </w:t>
      </w:r>
      <w:r>
        <w:t xml:space="preserve">Alsenoy and Marieke Koekkoek, ‘Internet and jurisdiction after Google Spain: the extraterritorial reach of the 'right to be delisted'’ [2015] 5(2) International Data Privacy Law, </w:t>
      </w:r>
      <w:r w:rsidRPr="004F49A9">
        <w:t xml:space="preserve">21-25. </w:t>
      </w:r>
      <w:r w:rsidRPr="00C81E26">
        <w:t xml:space="preserve">&lt;https://www.researchgate.net/publication/275227288_Internet_and_jurisdiction_after_Google_Spain_the_extraterritorial_reach_of_the_'right_to_be_delisted'&gt; </w:t>
      </w:r>
      <w:bookmarkEnd w:id="77"/>
      <w:r w:rsidRPr="00C81E26">
        <w:t>ac</w:t>
      </w:r>
      <w:r>
        <w:t>cessed 29 July 2022</w:t>
      </w:r>
    </w:p>
  </w:footnote>
  <w:footnote w:id="230">
    <w:p w14:paraId="6A110F27" w14:textId="77777777" w:rsidR="00481564" w:rsidRPr="005024E7" w:rsidRDefault="00481564" w:rsidP="00481564">
      <w:pPr>
        <w:pStyle w:val="Textodenotaderodap"/>
      </w:pPr>
      <w:r>
        <w:rPr>
          <w:rStyle w:val="Refdenotaderodap"/>
        </w:rPr>
        <w:footnoteRef/>
      </w:r>
      <w:r w:rsidRPr="005024E7">
        <w:t xml:space="preserve"> GDPR </w:t>
      </w:r>
      <w:r>
        <w:t xml:space="preserve">(n 4), </w:t>
      </w:r>
      <w:r w:rsidRPr="005024E7">
        <w:t>Recital 28</w:t>
      </w:r>
      <w:r>
        <w:t>.</w:t>
      </w:r>
    </w:p>
  </w:footnote>
  <w:footnote w:id="231">
    <w:p w14:paraId="2B7F3844" w14:textId="77777777" w:rsidR="00481564" w:rsidRDefault="00481564" w:rsidP="00481564">
      <w:pPr>
        <w:pStyle w:val="Textodenotaderodap"/>
      </w:pPr>
      <w:r>
        <w:rPr>
          <w:rStyle w:val="Refdenotaderodap"/>
        </w:rPr>
        <w:footnoteRef/>
      </w:r>
      <w:r>
        <w:t xml:space="preserve"> ibid, art 32(1).</w:t>
      </w:r>
    </w:p>
  </w:footnote>
  <w:footnote w:id="232">
    <w:p w14:paraId="4A9E4E29" w14:textId="77777777" w:rsidR="00481564" w:rsidRDefault="00481564" w:rsidP="00481564">
      <w:pPr>
        <w:pStyle w:val="Textodenotaderodap"/>
      </w:pPr>
      <w:r>
        <w:rPr>
          <w:rStyle w:val="Refdenotaderodap"/>
        </w:rPr>
        <w:footnoteRef/>
      </w:r>
      <w:r>
        <w:t xml:space="preserve"> </w:t>
      </w:r>
      <w:r w:rsidRPr="00A521FF">
        <w:t>The Advisory Council to Google on the Right to be Forgotten</w:t>
      </w:r>
      <w:r>
        <w:t xml:space="preserve"> (n 117) </w:t>
      </w:r>
    </w:p>
  </w:footnote>
  <w:footnote w:id="233">
    <w:p w14:paraId="36296358" w14:textId="77777777" w:rsidR="00481564" w:rsidRDefault="00481564" w:rsidP="00481564">
      <w:pPr>
        <w:pStyle w:val="Textodenotaderodap"/>
      </w:pPr>
      <w:r>
        <w:rPr>
          <w:rStyle w:val="Refdenotaderodap"/>
        </w:rPr>
        <w:footnoteRef/>
      </w:r>
      <w:r>
        <w:t xml:space="preserve"> </w:t>
      </w:r>
      <w:bookmarkStart w:id="79" w:name="_Hlk111762039"/>
      <w:r>
        <w:t xml:space="preserve">Edward Lee, ‘Recognizing Rights in Real Time: The Role of Google in the EU Right to Be Forgotten’ [2015] </w:t>
      </w:r>
      <w:r w:rsidRPr="00D021C4">
        <w:t>UC Davis Law Review, Forthcoming, Chicago-Kent College of Law Research Paper No. 2015-13</w:t>
      </w:r>
      <w:r>
        <w:t>. 1090-1091 &lt;</w:t>
      </w:r>
      <w:r w:rsidRPr="00D021C4">
        <w:t>https://ssrn.com/abstract=2636856</w:t>
      </w:r>
      <w:r>
        <w:t>&gt;</w:t>
      </w:r>
      <w:bookmarkEnd w:id="79"/>
      <w:r w:rsidRPr="00D021C4">
        <w:t xml:space="preserve"> </w:t>
      </w:r>
      <w:r>
        <w:t>accessed 13 August 2022</w:t>
      </w:r>
    </w:p>
  </w:footnote>
  <w:footnote w:id="234">
    <w:p w14:paraId="6CD508BF" w14:textId="77777777" w:rsidR="00481564" w:rsidRDefault="00481564" w:rsidP="00481564">
      <w:pPr>
        <w:pStyle w:val="Textodenotaderodap"/>
      </w:pPr>
      <w:r>
        <w:rPr>
          <w:rStyle w:val="Refdenotaderodap"/>
        </w:rPr>
        <w:footnoteRef/>
      </w:r>
      <w:r>
        <w:t xml:space="preserve"> </w:t>
      </w:r>
      <w:bookmarkStart w:id="80" w:name="_Hlk111762162"/>
      <w:r>
        <w:t xml:space="preserve">David Hoffman, Paula </w:t>
      </w:r>
      <w:r>
        <w:t>Bruening and Sophia Carter, ‘The Right to Obscurity: How We Can Implement the Google Spain Decision’ [2016] 17(3) North Carolina Journal of Law &amp; Technology &lt;</w:t>
      </w:r>
      <w:r w:rsidRPr="008A7245">
        <w:t>https://scholarship.law.unc.edu/cgi/viewcontent.cgi?article=1302&amp;context=ncjolt</w:t>
      </w:r>
      <w:r>
        <w:t xml:space="preserve">&gt; </w:t>
      </w:r>
      <w:bookmarkEnd w:id="80"/>
      <w:r>
        <w:t>accessed 13 August 2022</w:t>
      </w:r>
    </w:p>
  </w:footnote>
  <w:footnote w:id="235">
    <w:p w14:paraId="43BD892A" w14:textId="77777777" w:rsidR="00481564" w:rsidRDefault="00481564" w:rsidP="00481564">
      <w:pPr>
        <w:pStyle w:val="Textodenotaderodap"/>
      </w:pPr>
      <w:r>
        <w:rPr>
          <w:rStyle w:val="Refdenotaderodap"/>
        </w:rPr>
        <w:footnoteRef/>
      </w:r>
      <w:r>
        <w:t xml:space="preserve"> Ibid, 478-479.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A0AC5"/>
    <w:multiLevelType w:val="multilevel"/>
    <w:tmpl w:val="433017B8"/>
    <w:lvl w:ilvl="0">
      <w:start w:val="7"/>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81F0E10"/>
    <w:multiLevelType w:val="hybridMultilevel"/>
    <w:tmpl w:val="F6A81094"/>
    <w:lvl w:ilvl="0" w:tplc="BA6AE73E">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24540D"/>
    <w:multiLevelType w:val="hybridMultilevel"/>
    <w:tmpl w:val="3C62EE4A"/>
    <w:lvl w:ilvl="0" w:tplc="F31E8CF6">
      <w:start w:val="1"/>
      <w:numFmt w:val="decimal"/>
      <w:lvlText w:val="%1."/>
      <w:lvlJc w:val="left"/>
      <w:pPr>
        <w:ind w:left="360" w:hanging="360"/>
      </w:pPr>
      <w:rPr>
        <w:rFonts w:hint="default"/>
      </w:rPr>
    </w:lvl>
    <w:lvl w:ilvl="1" w:tplc="04160019">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3" w15:restartNumberingAfterBreak="0">
    <w:nsid w:val="1F1C3EA6"/>
    <w:multiLevelType w:val="multilevel"/>
    <w:tmpl w:val="0100DF34"/>
    <w:lvl w:ilvl="0">
      <w:start w:val="2"/>
      <w:numFmt w:val="decimal"/>
      <w:lvlText w:val="%1."/>
      <w:lvlJc w:val="left"/>
      <w:pPr>
        <w:ind w:left="785"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232873E4"/>
    <w:multiLevelType w:val="multilevel"/>
    <w:tmpl w:val="2D465CA0"/>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5" w15:restartNumberingAfterBreak="0">
    <w:nsid w:val="25612E8E"/>
    <w:multiLevelType w:val="multilevel"/>
    <w:tmpl w:val="86028E5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2CEF06D7"/>
    <w:multiLevelType w:val="multilevel"/>
    <w:tmpl w:val="1E1A3CD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3A0F7F1B"/>
    <w:multiLevelType w:val="multilevel"/>
    <w:tmpl w:val="2D64DFDA"/>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3E6F6153"/>
    <w:multiLevelType w:val="hybridMultilevel"/>
    <w:tmpl w:val="BB068FA2"/>
    <w:lvl w:ilvl="0" w:tplc="41A246F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51906E7"/>
    <w:multiLevelType w:val="multilevel"/>
    <w:tmpl w:val="C8A28264"/>
    <w:lvl w:ilvl="0">
      <w:start w:val="6"/>
      <w:numFmt w:val="decimal"/>
      <w:lvlText w:val="%1."/>
      <w:lvlJc w:val="left"/>
      <w:pPr>
        <w:ind w:left="720" w:hanging="360"/>
      </w:pPr>
      <w:rPr>
        <w:rFonts w:hint="default"/>
        <w:i/>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4A0E4C6D"/>
    <w:multiLevelType w:val="hybridMultilevel"/>
    <w:tmpl w:val="488C7076"/>
    <w:lvl w:ilvl="0" w:tplc="ED3816D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AF85D45"/>
    <w:multiLevelType w:val="multilevel"/>
    <w:tmpl w:val="2D64DFDA"/>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6D5E7B17"/>
    <w:multiLevelType w:val="multilevel"/>
    <w:tmpl w:val="0100DF34"/>
    <w:lvl w:ilvl="0">
      <w:start w:val="2"/>
      <w:numFmt w:val="decimal"/>
      <w:lvlText w:val="%1."/>
      <w:lvlJc w:val="left"/>
      <w:pPr>
        <w:ind w:left="785"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71A04542"/>
    <w:multiLevelType w:val="multilevel"/>
    <w:tmpl w:val="1B26C1F8"/>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1133716600">
    <w:abstractNumId w:val="2"/>
  </w:num>
  <w:num w:numId="2" w16cid:durableId="1181042365">
    <w:abstractNumId w:val="5"/>
  </w:num>
  <w:num w:numId="3" w16cid:durableId="390270220">
    <w:abstractNumId w:val="6"/>
  </w:num>
  <w:num w:numId="4" w16cid:durableId="361518514">
    <w:abstractNumId w:val="12"/>
  </w:num>
  <w:num w:numId="5" w16cid:durableId="1476947416">
    <w:abstractNumId w:val="3"/>
  </w:num>
  <w:num w:numId="6" w16cid:durableId="1010251572">
    <w:abstractNumId w:val="7"/>
  </w:num>
  <w:num w:numId="7" w16cid:durableId="1961960658">
    <w:abstractNumId w:val="11"/>
  </w:num>
  <w:num w:numId="8" w16cid:durableId="912664539">
    <w:abstractNumId w:val="4"/>
  </w:num>
  <w:num w:numId="9" w16cid:durableId="1009024760">
    <w:abstractNumId w:val="9"/>
  </w:num>
  <w:num w:numId="10" w16cid:durableId="1034691305">
    <w:abstractNumId w:val="0"/>
  </w:num>
  <w:num w:numId="11" w16cid:durableId="112556038">
    <w:abstractNumId w:val="13"/>
  </w:num>
  <w:num w:numId="12" w16cid:durableId="1573813845">
    <w:abstractNumId w:val="1"/>
  </w:num>
  <w:num w:numId="13" w16cid:durableId="1284731132">
    <w:abstractNumId w:val="10"/>
  </w:num>
  <w:num w:numId="14" w16cid:durableId="13765853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564"/>
    <w:rsid w:val="000038EC"/>
    <w:rsid w:val="00006F45"/>
    <w:rsid w:val="00046C0A"/>
    <w:rsid w:val="00072CC8"/>
    <w:rsid w:val="000E5787"/>
    <w:rsid w:val="000E74F6"/>
    <w:rsid w:val="001344FD"/>
    <w:rsid w:val="001973D7"/>
    <w:rsid w:val="001F7A06"/>
    <w:rsid w:val="00236635"/>
    <w:rsid w:val="00261DE3"/>
    <w:rsid w:val="002C3DFE"/>
    <w:rsid w:val="00350595"/>
    <w:rsid w:val="003542D6"/>
    <w:rsid w:val="003C3A3F"/>
    <w:rsid w:val="00481564"/>
    <w:rsid w:val="00542C67"/>
    <w:rsid w:val="00631CAF"/>
    <w:rsid w:val="006405DE"/>
    <w:rsid w:val="00643AF4"/>
    <w:rsid w:val="00674DC5"/>
    <w:rsid w:val="006949B9"/>
    <w:rsid w:val="006F4D71"/>
    <w:rsid w:val="00751858"/>
    <w:rsid w:val="00774A9E"/>
    <w:rsid w:val="007D69B0"/>
    <w:rsid w:val="00845D1E"/>
    <w:rsid w:val="00870BBC"/>
    <w:rsid w:val="008A239B"/>
    <w:rsid w:val="00936DF4"/>
    <w:rsid w:val="00971B7D"/>
    <w:rsid w:val="009C18FA"/>
    <w:rsid w:val="009C739A"/>
    <w:rsid w:val="009D2E2E"/>
    <w:rsid w:val="009F4889"/>
    <w:rsid w:val="00A459F4"/>
    <w:rsid w:val="00A82427"/>
    <w:rsid w:val="00A93986"/>
    <w:rsid w:val="00AA32CC"/>
    <w:rsid w:val="00B34EF7"/>
    <w:rsid w:val="00B3749A"/>
    <w:rsid w:val="00B532F9"/>
    <w:rsid w:val="00B84FD7"/>
    <w:rsid w:val="00C52A5C"/>
    <w:rsid w:val="00D527BC"/>
    <w:rsid w:val="00DE0829"/>
    <w:rsid w:val="00DE3A1B"/>
    <w:rsid w:val="00DE5011"/>
    <w:rsid w:val="00E45AA3"/>
    <w:rsid w:val="00E83381"/>
    <w:rsid w:val="00EC5C65"/>
    <w:rsid w:val="00EE3CAD"/>
    <w:rsid w:val="00F41BA6"/>
    <w:rsid w:val="00FC3F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04B698"/>
  <w15:chartTrackingRefBased/>
  <w15:docId w15:val="{850DCE8A-E6EA-4178-8870-9E89D0243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564"/>
  </w:style>
  <w:style w:type="paragraph" w:styleId="Ttulo1">
    <w:name w:val="heading 1"/>
    <w:basedOn w:val="Normal"/>
    <w:next w:val="Normal"/>
    <w:link w:val="Ttulo1Char"/>
    <w:uiPriority w:val="9"/>
    <w:qFormat/>
    <w:rsid w:val="0048156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481564"/>
    <w:rPr>
      <w:rFonts w:asciiTheme="majorHAnsi" w:eastAsiaTheme="majorEastAsia" w:hAnsiTheme="majorHAnsi" w:cstheme="majorBidi"/>
      <w:color w:val="2F5496" w:themeColor="accent1" w:themeShade="BF"/>
      <w:sz w:val="32"/>
      <w:szCs w:val="32"/>
    </w:rPr>
  </w:style>
  <w:style w:type="paragraph" w:styleId="CabealhodoSumrio">
    <w:name w:val="TOC Heading"/>
    <w:basedOn w:val="Ttulo1"/>
    <w:next w:val="Normal"/>
    <w:uiPriority w:val="39"/>
    <w:unhideWhenUsed/>
    <w:qFormat/>
    <w:rsid w:val="00481564"/>
    <w:pPr>
      <w:outlineLvl w:val="9"/>
    </w:pPr>
    <w:rPr>
      <w:lang w:val="pt-BR" w:eastAsia="pt-BR"/>
    </w:rPr>
  </w:style>
  <w:style w:type="paragraph" w:styleId="Sumrio2">
    <w:name w:val="toc 2"/>
    <w:basedOn w:val="Normal"/>
    <w:next w:val="Normal"/>
    <w:autoRedefine/>
    <w:uiPriority w:val="39"/>
    <w:unhideWhenUsed/>
    <w:rsid w:val="00481564"/>
    <w:pPr>
      <w:spacing w:after="100"/>
      <w:ind w:left="220"/>
    </w:pPr>
    <w:rPr>
      <w:rFonts w:eastAsiaTheme="minorEastAsia" w:cs="Times New Roman"/>
      <w:lang w:val="pt-BR" w:eastAsia="pt-BR"/>
    </w:rPr>
  </w:style>
  <w:style w:type="paragraph" w:styleId="Sumrio1">
    <w:name w:val="toc 1"/>
    <w:basedOn w:val="Normal"/>
    <w:next w:val="Normal"/>
    <w:autoRedefine/>
    <w:uiPriority w:val="39"/>
    <w:unhideWhenUsed/>
    <w:rsid w:val="00481564"/>
    <w:pPr>
      <w:spacing w:after="100"/>
    </w:pPr>
    <w:rPr>
      <w:rFonts w:eastAsiaTheme="minorEastAsia" w:cs="Times New Roman"/>
      <w:lang w:val="pt-BR" w:eastAsia="pt-BR"/>
    </w:rPr>
  </w:style>
  <w:style w:type="paragraph" w:styleId="Sumrio3">
    <w:name w:val="toc 3"/>
    <w:basedOn w:val="Normal"/>
    <w:next w:val="Normal"/>
    <w:autoRedefine/>
    <w:uiPriority w:val="39"/>
    <w:unhideWhenUsed/>
    <w:rsid w:val="00481564"/>
    <w:pPr>
      <w:spacing w:after="100"/>
      <w:ind w:left="440"/>
    </w:pPr>
    <w:rPr>
      <w:rFonts w:eastAsiaTheme="minorEastAsia" w:cs="Times New Roman"/>
      <w:lang w:val="pt-BR" w:eastAsia="pt-BR"/>
    </w:rPr>
  </w:style>
  <w:style w:type="paragraph" w:styleId="PargrafodaLista">
    <w:name w:val="List Paragraph"/>
    <w:basedOn w:val="Normal"/>
    <w:uiPriority w:val="34"/>
    <w:qFormat/>
    <w:rsid w:val="00481564"/>
    <w:pPr>
      <w:ind w:left="720"/>
      <w:contextualSpacing/>
    </w:pPr>
  </w:style>
  <w:style w:type="paragraph" w:styleId="Textodenotaderodap">
    <w:name w:val="footnote text"/>
    <w:basedOn w:val="Normal"/>
    <w:link w:val="TextodenotaderodapChar"/>
    <w:uiPriority w:val="99"/>
    <w:unhideWhenUsed/>
    <w:rsid w:val="00481564"/>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481564"/>
    <w:rPr>
      <w:sz w:val="20"/>
      <w:szCs w:val="20"/>
    </w:rPr>
  </w:style>
  <w:style w:type="character" w:styleId="Refdenotaderodap">
    <w:name w:val="footnote reference"/>
    <w:basedOn w:val="Fontepargpadro"/>
    <w:uiPriority w:val="99"/>
    <w:semiHidden/>
    <w:unhideWhenUsed/>
    <w:rsid w:val="00481564"/>
    <w:rPr>
      <w:vertAlign w:val="superscript"/>
    </w:rPr>
  </w:style>
  <w:style w:type="character" w:styleId="Hyperlink">
    <w:name w:val="Hyperlink"/>
    <w:basedOn w:val="Fontepargpadro"/>
    <w:uiPriority w:val="99"/>
    <w:unhideWhenUsed/>
    <w:rsid w:val="00481564"/>
    <w:rPr>
      <w:color w:val="0563C1" w:themeColor="hyperlink"/>
      <w:u w:val="single"/>
    </w:rPr>
  </w:style>
  <w:style w:type="character" w:styleId="MenoPendente">
    <w:name w:val="Unresolved Mention"/>
    <w:basedOn w:val="Fontepargpadro"/>
    <w:uiPriority w:val="99"/>
    <w:semiHidden/>
    <w:unhideWhenUsed/>
    <w:rsid w:val="00481564"/>
    <w:rPr>
      <w:color w:val="605E5C"/>
      <w:shd w:val="clear" w:color="auto" w:fill="E1DFDD"/>
    </w:rPr>
  </w:style>
  <w:style w:type="paragraph" w:styleId="NormalWeb">
    <w:name w:val="Normal (Web)"/>
    <w:basedOn w:val="Normal"/>
    <w:uiPriority w:val="99"/>
    <w:semiHidden/>
    <w:unhideWhenUsed/>
    <w:rsid w:val="0048156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bealho">
    <w:name w:val="header"/>
    <w:basedOn w:val="Normal"/>
    <w:link w:val="CabealhoChar"/>
    <w:uiPriority w:val="99"/>
    <w:unhideWhenUsed/>
    <w:rsid w:val="00481564"/>
    <w:pPr>
      <w:tabs>
        <w:tab w:val="center" w:pos="4513"/>
        <w:tab w:val="right" w:pos="9026"/>
      </w:tabs>
      <w:spacing w:after="0" w:line="240" w:lineRule="auto"/>
    </w:pPr>
  </w:style>
  <w:style w:type="character" w:customStyle="1" w:styleId="CabealhoChar">
    <w:name w:val="Cabeçalho Char"/>
    <w:basedOn w:val="Fontepargpadro"/>
    <w:link w:val="Cabealho"/>
    <w:uiPriority w:val="99"/>
    <w:rsid w:val="00481564"/>
  </w:style>
  <w:style w:type="paragraph" w:styleId="Rodap">
    <w:name w:val="footer"/>
    <w:basedOn w:val="Normal"/>
    <w:link w:val="RodapChar"/>
    <w:uiPriority w:val="99"/>
    <w:unhideWhenUsed/>
    <w:rsid w:val="00481564"/>
    <w:pPr>
      <w:tabs>
        <w:tab w:val="center" w:pos="4513"/>
        <w:tab w:val="right" w:pos="9026"/>
      </w:tabs>
      <w:spacing w:after="0" w:line="240" w:lineRule="auto"/>
    </w:pPr>
  </w:style>
  <w:style w:type="character" w:customStyle="1" w:styleId="RodapChar">
    <w:name w:val="Rodapé Char"/>
    <w:basedOn w:val="Fontepargpadro"/>
    <w:link w:val="Rodap"/>
    <w:uiPriority w:val="99"/>
    <w:rsid w:val="00481564"/>
  </w:style>
  <w:style w:type="character" w:styleId="nfase">
    <w:name w:val="Emphasis"/>
    <w:basedOn w:val="Fontepargpadro"/>
    <w:uiPriority w:val="20"/>
    <w:qFormat/>
    <w:rsid w:val="0048156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bbc.com/news/magazine-28562156"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74</Pages>
  <Words>21688</Words>
  <Characters>123625</Characters>
  <Application>Microsoft Office Word</Application>
  <DocSecurity>0</DocSecurity>
  <Lines>1030</Lines>
  <Paragraphs>290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Alanna Morais</dc:creator>
  <cp:keywords/>
  <dc:description/>
  <cp:lastModifiedBy>Alanna Morais</cp:lastModifiedBy>
  <cp:revision>2</cp:revision>
  <dcterms:created xsi:type="dcterms:W3CDTF">2022-08-19T11:09:00Z</dcterms:created>
  <dcterms:modified xsi:type="dcterms:W3CDTF">2022-08-19T11:09:00Z</dcterms:modified>
</cp:coreProperties>
</file>