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CCB" w:rsidRPr="00944EB8" w:rsidRDefault="001C2CCB" w:rsidP="001C2CCB">
      <w:pPr>
        <w:autoSpaceDE w:val="0"/>
        <w:autoSpaceDN w:val="0"/>
        <w:adjustRightInd w:val="0"/>
        <w:spacing w:before="0" w:after="0" w:line="360" w:lineRule="auto"/>
        <w:jc w:val="both"/>
        <w:rPr>
          <w:rFonts w:ascii="Times New Roman" w:hAnsi="Times New Roman" w:cs="Times New Roman"/>
          <w:b/>
          <w:bCs/>
          <w:sz w:val="24"/>
          <w:szCs w:val="24"/>
        </w:rPr>
      </w:pPr>
    </w:p>
    <w:p w:rsidR="001C2CCB" w:rsidRPr="00944EB8" w:rsidRDefault="001C2CCB" w:rsidP="001C2CCB">
      <w:pPr>
        <w:pBdr>
          <w:bottom w:val="single" w:sz="4" w:space="1" w:color="auto"/>
        </w:pBdr>
        <w:spacing w:before="0" w:after="0" w:line="360" w:lineRule="auto"/>
        <w:jc w:val="both"/>
        <w:rPr>
          <w:rFonts w:ascii="Times New Roman" w:hAnsi="Times New Roman" w:cs="Times New Roman"/>
          <w:b/>
          <w:sz w:val="24"/>
          <w:szCs w:val="24"/>
        </w:rPr>
      </w:pPr>
      <w:r w:rsidRPr="00944EB8">
        <w:rPr>
          <w:rFonts w:ascii="Times New Roman" w:hAnsi="Times New Roman" w:cs="Times New Roman"/>
          <w:b/>
          <w:sz w:val="24"/>
          <w:szCs w:val="24"/>
        </w:rPr>
        <w:t>A CRITICAL APPRAISAL OF THE ROLE OF NATIONAL COURTS IN THE ARBITRAL PROCESS: A CASE STUDY OF NIGERIA</w:t>
      </w: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p>
    <w:p w:rsidR="001C2CCB" w:rsidRPr="00944EB8" w:rsidRDefault="001C2CCB" w:rsidP="001C2CCB">
      <w:pPr>
        <w:pStyle w:val="Default"/>
        <w:spacing w:line="360" w:lineRule="auto"/>
        <w:jc w:val="center"/>
        <w:rPr>
          <w:rFonts w:ascii="Times New Roman" w:hAnsi="Times New Roman" w:cs="Times New Roman"/>
          <w:color w:val="auto"/>
        </w:rPr>
      </w:pPr>
      <w:r w:rsidRPr="00944EB8">
        <w:rPr>
          <w:rFonts w:ascii="Times New Roman" w:hAnsi="Times New Roman" w:cs="Times New Roman"/>
          <w:color w:val="auto"/>
        </w:rPr>
        <w:t>Research dissertation presented in partial fulfillment of the requirements</w:t>
      </w:r>
    </w:p>
    <w:p w:rsidR="001C2CCB" w:rsidRPr="00944EB8" w:rsidRDefault="001C2CCB" w:rsidP="001C2CCB">
      <w:pPr>
        <w:pStyle w:val="Default"/>
        <w:spacing w:line="360" w:lineRule="auto"/>
        <w:jc w:val="center"/>
        <w:rPr>
          <w:rFonts w:ascii="Times New Roman" w:hAnsi="Times New Roman" w:cs="Times New Roman"/>
          <w:color w:val="auto"/>
        </w:rPr>
      </w:pPr>
      <w:proofErr w:type="gramStart"/>
      <w:r w:rsidRPr="00944EB8">
        <w:rPr>
          <w:rFonts w:ascii="Times New Roman" w:hAnsi="Times New Roman" w:cs="Times New Roman"/>
          <w:color w:val="auto"/>
        </w:rPr>
        <w:t>for</w:t>
      </w:r>
      <w:proofErr w:type="gramEnd"/>
      <w:r w:rsidRPr="00944EB8">
        <w:rPr>
          <w:rFonts w:ascii="Times New Roman" w:hAnsi="Times New Roman" w:cs="Times New Roman"/>
          <w:color w:val="auto"/>
        </w:rPr>
        <w:t xml:space="preserve"> the degree of</w:t>
      </w:r>
    </w:p>
    <w:p w:rsidR="001C2CCB" w:rsidRPr="00944EB8" w:rsidRDefault="001C2CCB" w:rsidP="001C2CCB">
      <w:pPr>
        <w:pStyle w:val="Default"/>
        <w:spacing w:line="360" w:lineRule="auto"/>
        <w:jc w:val="center"/>
        <w:rPr>
          <w:rFonts w:ascii="Times New Roman" w:hAnsi="Times New Roman" w:cs="Times New Roman"/>
          <w:color w:val="auto"/>
        </w:rPr>
      </w:pPr>
      <w:r w:rsidRPr="00944EB8">
        <w:rPr>
          <w:rFonts w:ascii="Times New Roman" w:hAnsi="Times New Roman" w:cs="Times New Roman"/>
          <w:b/>
          <w:bCs/>
          <w:color w:val="auto"/>
        </w:rPr>
        <w:t>MSc in International Business and Law</w:t>
      </w:r>
    </w:p>
    <w:p w:rsidR="001C2CCB" w:rsidRPr="00944EB8" w:rsidRDefault="001C2CCB" w:rsidP="001C2CCB">
      <w:pPr>
        <w:pStyle w:val="Default"/>
        <w:spacing w:line="360" w:lineRule="auto"/>
        <w:jc w:val="center"/>
        <w:rPr>
          <w:rFonts w:ascii="Times New Roman" w:hAnsi="Times New Roman" w:cs="Times New Roman"/>
          <w:color w:val="auto"/>
        </w:rPr>
      </w:pPr>
    </w:p>
    <w:p w:rsidR="001C2CCB" w:rsidRPr="00944EB8" w:rsidRDefault="001C2CCB" w:rsidP="001C2CCB">
      <w:pPr>
        <w:pStyle w:val="Default"/>
        <w:spacing w:line="360" w:lineRule="auto"/>
        <w:jc w:val="center"/>
        <w:rPr>
          <w:rFonts w:ascii="Times New Roman" w:hAnsi="Times New Roman" w:cs="Times New Roman"/>
          <w:b/>
          <w:color w:val="auto"/>
        </w:rPr>
      </w:pPr>
      <w:r w:rsidRPr="00944EB8">
        <w:rPr>
          <w:rFonts w:ascii="Times New Roman" w:hAnsi="Times New Roman" w:cs="Times New Roman"/>
          <w:b/>
          <w:color w:val="auto"/>
        </w:rPr>
        <w:t>Griffith College Dublin</w:t>
      </w:r>
    </w:p>
    <w:p w:rsidR="001C2CCB" w:rsidRPr="00944EB8" w:rsidRDefault="001C2CCB" w:rsidP="001C2CCB">
      <w:pPr>
        <w:pStyle w:val="Default"/>
        <w:tabs>
          <w:tab w:val="left" w:pos="1909"/>
        </w:tabs>
        <w:spacing w:line="360" w:lineRule="auto"/>
        <w:rPr>
          <w:rFonts w:ascii="Times New Roman" w:hAnsi="Times New Roman" w:cs="Times New Roman"/>
          <w:color w:val="auto"/>
        </w:rPr>
      </w:pPr>
      <w:r w:rsidRPr="00944EB8">
        <w:rPr>
          <w:rFonts w:ascii="Times New Roman" w:hAnsi="Times New Roman" w:cs="Times New Roman"/>
          <w:color w:val="auto"/>
        </w:rPr>
        <w:tab/>
      </w:r>
    </w:p>
    <w:p w:rsidR="001C2CCB" w:rsidRPr="00944EB8" w:rsidRDefault="001C2CCB" w:rsidP="001C2CCB">
      <w:pPr>
        <w:pStyle w:val="Default"/>
        <w:spacing w:line="360" w:lineRule="auto"/>
        <w:rPr>
          <w:rFonts w:ascii="Times New Roman" w:hAnsi="Times New Roman" w:cs="Times New Roman"/>
          <w:color w:val="auto"/>
        </w:rPr>
      </w:pPr>
    </w:p>
    <w:p w:rsidR="001C2CCB" w:rsidRPr="00944EB8" w:rsidRDefault="001C2CCB" w:rsidP="001C2CCB">
      <w:pPr>
        <w:pStyle w:val="Default"/>
        <w:spacing w:line="360" w:lineRule="auto"/>
        <w:rPr>
          <w:rFonts w:ascii="Times New Roman" w:hAnsi="Times New Roman" w:cs="Times New Roman"/>
          <w:color w:val="auto"/>
        </w:rPr>
      </w:pPr>
    </w:p>
    <w:p w:rsidR="001C2CCB" w:rsidRPr="00944EB8" w:rsidRDefault="001C2CCB" w:rsidP="001C2CCB">
      <w:pPr>
        <w:pStyle w:val="Default"/>
        <w:spacing w:line="360" w:lineRule="auto"/>
        <w:jc w:val="center"/>
        <w:rPr>
          <w:rFonts w:ascii="Times New Roman" w:hAnsi="Times New Roman" w:cs="Times New Roman"/>
          <w:color w:val="auto"/>
        </w:rPr>
      </w:pPr>
      <w:r w:rsidRPr="00944EB8">
        <w:rPr>
          <w:rFonts w:ascii="Times New Roman" w:hAnsi="Times New Roman" w:cs="Times New Roman"/>
          <w:color w:val="auto"/>
        </w:rPr>
        <w:t xml:space="preserve">Dissertation Supervisor: </w:t>
      </w:r>
      <w:r w:rsidRPr="00944EB8">
        <w:rPr>
          <w:rFonts w:ascii="Times New Roman" w:hAnsi="Times New Roman" w:cs="Times New Roman"/>
          <w:b/>
          <w:bCs/>
          <w:color w:val="auto"/>
        </w:rPr>
        <w:t>Janette Maxwell</w:t>
      </w:r>
    </w:p>
    <w:p w:rsidR="001C2CCB" w:rsidRPr="00944EB8" w:rsidRDefault="001C2CCB" w:rsidP="001C2CCB">
      <w:pPr>
        <w:pStyle w:val="Default"/>
        <w:spacing w:line="360" w:lineRule="auto"/>
        <w:rPr>
          <w:rFonts w:ascii="Times New Roman" w:hAnsi="Times New Roman" w:cs="Times New Roman"/>
          <w:b/>
          <w:bCs/>
          <w:color w:val="auto"/>
        </w:rPr>
      </w:pPr>
    </w:p>
    <w:p w:rsidR="001C2CCB" w:rsidRPr="00944EB8" w:rsidRDefault="001C2CCB" w:rsidP="001C2CCB">
      <w:pPr>
        <w:pStyle w:val="Default"/>
        <w:spacing w:line="360" w:lineRule="auto"/>
        <w:rPr>
          <w:rFonts w:ascii="Times New Roman" w:hAnsi="Times New Roman" w:cs="Times New Roman"/>
          <w:b/>
          <w:bCs/>
          <w:color w:val="auto"/>
        </w:rPr>
      </w:pPr>
    </w:p>
    <w:p w:rsidR="001C2CCB" w:rsidRPr="00944EB8" w:rsidRDefault="001C2CCB" w:rsidP="001C2CCB">
      <w:pPr>
        <w:pStyle w:val="Default"/>
        <w:spacing w:line="360" w:lineRule="auto"/>
        <w:rPr>
          <w:rFonts w:ascii="Times New Roman" w:hAnsi="Times New Roman" w:cs="Times New Roman"/>
          <w:b/>
          <w:bCs/>
          <w:color w:val="auto"/>
        </w:rPr>
      </w:pPr>
    </w:p>
    <w:p w:rsidR="001C2CCB" w:rsidRPr="00944EB8" w:rsidRDefault="001C2CCB" w:rsidP="001C2CCB">
      <w:pPr>
        <w:pStyle w:val="Default"/>
        <w:spacing w:line="360" w:lineRule="auto"/>
        <w:jc w:val="center"/>
        <w:rPr>
          <w:rFonts w:ascii="Times New Roman" w:hAnsi="Times New Roman" w:cs="Times New Roman"/>
          <w:b/>
          <w:bCs/>
          <w:color w:val="auto"/>
        </w:rPr>
      </w:pPr>
      <w:r w:rsidRPr="00944EB8">
        <w:rPr>
          <w:rFonts w:ascii="Times New Roman" w:hAnsi="Times New Roman" w:cs="Times New Roman"/>
          <w:bCs/>
          <w:color w:val="auto"/>
        </w:rPr>
        <w:t>Student Name</w:t>
      </w:r>
      <w:r w:rsidRPr="00944EB8">
        <w:rPr>
          <w:rFonts w:ascii="Times New Roman" w:hAnsi="Times New Roman" w:cs="Times New Roman"/>
          <w:b/>
          <w:bCs/>
          <w:color w:val="auto"/>
        </w:rPr>
        <w:t>: Emeka Emmanson Okoroafor</w:t>
      </w: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r w:rsidRPr="00944EB8">
        <w:rPr>
          <w:rFonts w:ascii="Times New Roman" w:hAnsi="Times New Roman" w:cs="Times New Roman"/>
          <w:bCs/>
          <w:sz w:val="24"/>
          <w:szCs w:val="24"/>
        </w:rPr>
        <w:t>Student Number</w:t>
      </w:r>
      <w:r w:rsidRPr="00944EB8">
        <w:rPr>
          <w:rFonts w:ascii="Times New Roman" w:hAnsi="Times New Roman" w:cs="Times New Roman"/>
          <w:b/>
          <w:bCs/>
          <w:sz w:val="24"/>
          <w:szCs w:val="24"/>
        </w:rPr>
        <w:t>: 3002813</w:t>
      </w:r>
    </w:p>
    <w:p w:rsidR="001C2CCB" w:rsidRPr="00944EB8" w:rsidRDefault="001C2CCB" w:rsidP="001C2CCB">
      <w:pPr>
        <w:pStyle w:val="Default"/>
        <w:spacing w:line="360" w:lineRule="auto"/>
        <w:jc w:val="center"/>
        <w:rPr>
          <w:rFonts w:ascii="Times New Roman" w:hAnsi="Times New Roman" w:cs="Times New Roman"/>
          <w:color w:val="auto"/>
        </w:rPr>
      </w:pPr>
    </w:p>
    <w:p w:rsidR="001C2CCB" w:rsidRPr="00944EB8" w:rsidRDefault="001C2CCB" w:rsidP="001C2CCB">
      <w:pPr>
        <w:pStyle w:val="Default"/>
        <w:spacing w:line="360" w:lineRule="auto"/>
        <w:jc w:val="center"/>
        <w:rPr>
          <w:rFonts w:ascii="Times New Roman" w:hAnsi="Times New Roman" w:cs="Times New Roman"/>
          <w:b/>
          <w:bCs/>
          <w:color w:val="auto"/>
        </w:rPr>
      </w:pPr>
    </w:p>
    <w:p w:rsidR="001C2CCB" w:rsidRPr="00944EB8" w:rsidRDefault="001C2CCB" w:rsidP="001C2CCB">
      <w:pPr>
        <w:pStyle w:val="Default"/>
        <w:spacing w:line="360" w:lineRule="auto"/>
        <w:jc w:val="center"/>
        <w:rPr>
          <w:rFonts w:ascii="Times New Roman" w:hAnsi="Times New Roman" w:cs="Times New Roman"/>
          <w:color w:val="auto"/>
        </w:rPr>
      </w:pPr>
      <w:r w:rsidRPr="00944EB8">
        <w:rPr>
          <w:rFonts w:ascii="Times New Roman" w:hAnsi="Times New Roman" w:cs="Times New Roman"/>
          <w:bCs/>
          <w:color w:val="auto"/>
        </w:rPr>
        <w:t>Date of submission</w:t>
      </w:r>
      <w:r w:rsidRPr="00944EB8">
        <w:rPr>
          <w:rFonts w:ascii="Times New Roman" w:hAnsi="Times New Roman" w:cs="Times New Roman"/>
          <w:b/>
          <w:bCs/>
          <w:color w:val="auto"/>
        </w:rPr>
        <w:t xml:space="preserve">: </w:t>
      </w:r>
      <w:r>
        <w:rPr>
          <w:rFonts w:ascii="Times New Roman" w:hAnsi="Times New Roman" w:cs="Times New Roman"/>
          <w:b/>
          <w:bCs/>
          <w:color w:val="auto"/>
        </w:rPr>
        <w:t>3</w:t>
      </w:r>
      <w:r>
        <w:rPr>
          <w:rFonts w:ascii="Times New Roman" w:hAnsi="Times New Roman" w:cs="Times New Roman"/>
          <w:b/>
          <w:bCs/>
          <w:color w:val="auto"/>
          <w:vertAlign w:val="superscript"/>
        </w:rPr>
        <w:t>rd</w:t>
      </w:r>
      <w:r>
        <w:rPr>
          <w:rFonts w:ascii="Times New Roman" w:hAnsi="Times New Roman" w:cs="Times New Roman"/>
          <w:b/>
          <w:bCs/>
          <w:color w:val="auto"/>
        </w:rPr>
        <w:t xml:space="preserve"> September</w:t>
      </w:r>
      <w:r w:rsidRPr="00944EB8">
        <w:rPr>
          <w:rFonts w:ascii="Times New Roman" w:hAnsi="Times New Roman" w:cs="Times New Roman"/>
          <w:b/>
          <w:bCs/>
          <w:color w:val="auto"/>
        </w:rPr>
        <w:t>, 2021</w:t>
      </w: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center"/>
        <w:rPr>
          <w:rFonts w:ascii="Times New Roman" w:hAnsi="Times New Roman" w:cs="Times New Roman"/>
          <w:b/>
          <w:bCs/>
          <w:sz w:val="24"/>
          <w:szCs w:val="24"/>
        </w:rPr>
      </w:pPr>
      <w:r w:rsidRPr="00944EB8">
        <w:rPr>
          <w:rFonts w:ascii="Times New Roman" w:hAnsi="Times New Roman" w:cs="Times New Roman"/>
          <w:b/>
          <w:bCs/>
          <w:sz w:val="24"/>
          <w:szCs w:val="24"/>
        </w:rPr>
        <w:t xml:space="preserve">WORD COUNT: </w:t>
      </w:r>
      <w:r w:rsidR="00027508">
        <w:rPr>
          <w:rFonts w:ascii="Times New Roman" w:hAnsi="Times New Roman" w:cs="Times New Roman"/>
          <w:b/>
          <w:bCs/>
          <w:sz w:val="24"/>
          <w:szCs w:val="24"/>
        </w:rPr>
        <w:t>34,335</w:t>
      </w:r>
    </w:p>
    <w:p w:rsidR="001C2CCB" w:rsidRPr="00944EB8" w:rsidRDefault="001C2CCB" w:rsidP="001C2CCB">
      <w:pPr>
        <w:pStyle w:val="Heading1"/>
        <w:numPr>
          <w:ilvl w:val="0"/>
          <w:numId w:val="0"/>
        </w:numPr>
        <w:ind w:left="432"/>
        <w:jc w:val="center"/>
        <w:rPr>
          <w:rFonts w:cs="Times New Roman"/>
          <w:color w:val="auto"/>
        </w:rPr>
      </w:pPr>
      <w:bookmarkStart w:id="0" w:name="_Toc80808222"/>
      <w:r w:rsidRPr="00944EB8">
        <w:rPr>
          <w:rFonts w:cs="Times New Roman"/>
          <w:color w:val="auto"/>
        </w:rPr>
        <w:lastRenderedPageBreak/>
        <w:t>CANDIDATE DECLARATION</w:t>
      </w:r>
      <w:bookmarkEnd w:id="0"/>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sz w:val="24"/>
          <w:szCs w:val="24"/>
          <w:lang w:val="en-US"/>
        </w:rPr>
      </w:pPr>
      <w:r>
        <w:rPr>
          <w:rFonts w:ascii="Times New Roman" w:eastAsiaTheme="minorHAnsi" w:hAnsi="Times New Roman" w:cs="Times New Roman"/>
          <w:noProof/>
          <w:sz w:val="24"/>
          <w:szCs w:val="24"/>
          <w:lang w:val="en-US"/>
        </w:rPr>
        <w:drawing>
          <wp:anchor distT="0" distB="0" distL="114300" distR="114300" simplePos="0" relativeHeight="251661312" behindDoc="0" locked="0" layoutInCell="1" allowOverlap="1">
            <wp:simplePos x="0" y="0"/>
            <wp:positionH relativeFrom="column">
              <wp:posOffset>1226185</wp:posOffset>
            </wp:positionH>
            <wp:positionV relativeFrom="paragraph">
              <wp:posOffset>480695</wp:posOffset>
            </wp:positionV>
            <wp:extent cx="2151380" cy="1116965"/>
            <wp:effectExtent l="19050" t="0" r="1270" b="0"/>
            <wp:wrapNone/>
            <wp:docPr id="3" name="Ink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nk 60"/>
                    <pic:cNvPicPr>
                      <a:picLocks noRot="1" noChangeArrowheads="1"/>
                    </pic:cNvPicPr>
                  </pic:nvPicPr>
                  <pic:blipFill>
                    <a:blip r:embed="rId6" cstate="print"/>
                    <a:srcRect/>
                    <a:stretch>
                      <a:fillRect/>
                    </a:stretch>
                  </pic:blipFill>
                  <pic:spPr bwMode="auto">
                    <a:xfrm>
                      <a:off x="0" y="0"/>
                      <a:ext cx="2151380" cy="1116965"/>
                    </a:xfrm>
                    <a:prstGeom prst="rect">
                      <a:avLst/>
                    </a:prstGeom>
                    <a:noFill/>
                  </pic:spPr>
                </pic:pic>
              </a:graphicData>
            </a:graphic>
          </wp:anchor>
        </w:drawing>
      </w:r>
      <w:r w:rsidRPr="00944EB8">
        <w:rPr>
          <w:rFonts w:ascii="Times New Roman" w:eastAsiaTheme="minorHAnsi" w:hAnsi="Times New Roman" w:cs="Times New Roman"/>
          <w:sz w:val="24"/>
          <w:szCs w:val="24"/>
          <w:lang w:val="en-US"/>
        </w:rPr>
        <w:t>I, Emeka Emmanson Okoroafor, hereby certify that the dissertation titled “A Critical Appraisal of the Role of National Courts in the Arbitral Process: A Case Study of Nigeria”, which I submitted for the degree of: Msc in International Business and Law is the result of my own work and that where reference is made to the work of others, due acknowledgment is given.</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sz w:val="24"/>
          <w:szCs w:val="24"/>
          <w:lang w:val="en-US"/>
        </w:rPr>
      </w:pPr>
      <w:r>
        <w:rPr>
          <w:rFonts w:ascii="Times New Roman" w:eastAsiaTheme="minorHAnsi" w:hAnsi="Times New Roman" w:cs="Times New Roman"/>
          <w:noProof/>
          <w:sz w:val="24"/>
          <w:szCs w:val="24"/>
          <w:lang w:val="en-US"/>
        </w:rPr>
        <w:drawing>
          <wp:anchor distT="0" distB="0" distL="114300" distR="114300" simplePos="0" relativeHeight="251663360" behindDoc="0" locked="0" layoutInCell="1" allowOverlap="1">
            <wp:simplePos x="0" y="0"/>
            <wp:positionH relativeFrom="column">
              <wp:posOffset>1670685</wp:posOffset>
            </wp:positionH>
            <wp:positionV relativeFrom="paragraph">
              <wp:posOffset>-123825</wp:posOffset>
            </wp:positionV>
            <wp:extent cx="477520" cy="544830"/>
            <wp:effectExtent l="19050" t="0" r="0" b="0"/>
            <wp:wrapNone/>
            <wp:docPr id="5" name="Ink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nk 72"/>
                    <pic:cNvPicPr>
                      <a:picLocks noRot="1" noChangeArrowheads="1"/>
                    </pic:cNvPicPr>
                  </pic:nvPicPr>
                  <pic:blipFill>
                    <a:blip r:embed="rId7" cstate="print"/>
                    <a:srcRect/>
                    <a:stretch>
                      <a:fillRect/>
                    </a:stretch>
                  </pic:blipFill>
                  <pic:spPr bwMode="auto">
                    <a:xfrm>
                      <a:off x="0" y="0"/>
                      <a:ext cx="477520" cy="544830"/>
                    </a:xfrm>
                    <a:prstGeom prst="rect">
                      <a:avLst/>
                    </a:prstGeom>
                    <a:noFill/>
                  </pic:spPr>
                </pic:pic>
              </a:graphicData>
            </a:graphic>
          </wp:anchor>
        </w:drawing>
      </w:r>
      <w:r>
        <w:rPr>
          <w:rFonts w:ascii="Times New Roman" w:eastAsiaTheme="minorHAnsi" w:hAnsi="Times New Roman" w:cs="Times New Roman"/>
          <w:noProof/>
          <w:sz w:val="24"/>
          <w:szCs w:val="24"/>
          <w:lang w:val="en-US"/>
        </w:rPr>
        <w:drawing>
          <wp:anchor distT="0" distB="0" distL="114300" distR="114300" simplePos="0" relativeHeight="251662336" behindDoc="0" locked="0" layoutInCell="1" allowOverlap="1">
            <wp:simplePos x="0" y="0"/>
            <wp:positionH relativeFrom="column">
              <wp:posOffset>1652905</wp:posOffset>
            </wp:positionH>
            <wp:positionV relativeFrom="paragraph">
              <wp:posOffset>-24765</wp:posOffset>
            </wp:positionV>
            <wp:extent cx="367665" cy="116840"/>
            <wp:effectExtent l="19050" t="0" r="0" b="0"/>
            <wp:wrapNone/>
            <wp:docPr id="4" name="Ink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nk 61"/>
                    <pic:cNvPicPr>
                      <a:picLocks noRot="1" noChangeArrowheads="1"/>
                    </pic:cNvPicPr>
                  </pic:nvPicPr>
                  <pic:blipFill>
                    <a:blip r:embed="rId8" cstate="print"/>
                    <a:srcRect/>
                    <a:stretch>
                      <a:fillRect/>
                    </a:stretch>
                  </pic:blipFill>
                  <pic:spPr bwMode="auto">
                    <a:xfrm>
                      <a:off x="0" y="0"/>
                      <a:ext cx="367665" cy="116840"/>
                    </a:xfrm>
                    <a:prstGeom prst="rect">
                      <a:avLst/>
                    </a:prstGeom>
                    <a:noFill/>
                  </pic:spPr>
                </pic:pic>
              </a:graphicData>
            </a:graphic>
          </wp:anchor>
        </w:drawing>
      </w:r>
      <w:r>
        <w:rPr>
          <w:rFonts w:ascii="Times New Roman" w:eastAsiaTheme="minorHAnsi" w:hAnsi="Times New Roman" w:cs="Times New Roman"/>
          <w:noProof/>
          <w:sz w:val="24"/>
          <w:szCs w:val="24"/>
          <w:lang w:val="en-US"/>
        </w:rPr>
        <w:drawing>
          <wp:anchor distT="0" distB="0" distL="114300" distR="114300" simplePos="0" relativeHeight="251660288" behindDoc="0" locked="0" layoutInCell="1" allowOverlap="1">
            <wp:simplePos x="0" y="0"/>
            <wp:positionH relativeFrom="column">
              <wp:posOffset>1584325</wp:posOffset>
            </wp:positionH>
            <wp:positionV relativeFrom="paragraph">
              <wp:posOffset>-57150</wp:posOffset>
            </wp:positionV>
            <wp:extent cx="429895" cy="446405"/>
            <wp:effectExtent l="19050" t="0" r="8255" b="0"/>
            <wp:wrapNone/>
            <wp:docPr id="2" name="Ink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nk 59"/>
                    <pic:cNvPicPr>
                      <a:picLocks noRot="1" noChangeArrowheads="1"/>
                    </pic:cNvPicPr>
                  </pic:nvPicPr>
                  <pic:blipFill>
                    <a:blip r:embed="rId9" cstate="print"/>
                    <a:srcRect/>
                    <a:stretch>
                      <a:fillRect/>
                    </a:stretch>
                  </pic:blipFill>
                  <pic:spPr bwMode="auto">
                    <a:xfrm>
                      <a:off x="0" y="0"/>
                      <a:ext cx="429895" cy="446405"/>
                    </a:xfrm>
                    <a:prstGeom prst="rect">
                      <a:avLst/>
                    </a:prstGeom>
                    <a:noFill/>
                  </pic:spPr>
                </pic:pic>
              </a:graphicData>
            </a:graphic>
          </wp:anchor>
        </w:drawing>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sz w:val="24"/>
          <w:szCs w:val="24"/>
          <w:lang w:val="en-US"/>
        </w:rPr>
      </w:pPr>
      <w:r w:rsidRPr="00944EB8">
        <w:rPr>
          <w:rFonts w:ascii="Times New Roman" w:eastAsiaTheme="minorHAnsi" w:hAnsi="Times New Roman" w:cs="Times New Roman"/>
          <w:b/>
          <w:sz w:val="24"/>
          <w:szCs w:val="24"/>
          <w:lang w:val="en-US"/>
        </w:rPr>
        <w:t>Candidate Signature</w:t>
      </w:r>
      <w:r w:rsidRPr="00944EB8">
        <w:rPr>
          <w:rFonts w:ascii="Times New Roman" w:eastAsiaTheme="minorHAnsi" w:hAnsi="Times New Roman" w:cs="Times New Roman"/>
          <w:sz w:val="24"/>
          <w:szCs w:val="24"/>
          <w:lang w:val="en-US"/>
        </w:rPr>
        <w:t xml:space="preserve">: ................................................................... </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sz w:val="24"/>
          <w:szCs w:val="24"/>
          <w:lang w:val="en-US"/>
        </w:rPr>
      </w:pPr>
      <w:r>
        <w:rPr>
          <w:rFonts w:ascii="Times New Roman" w:eastAsiaTheme="minorHAnsi" w:hAnsi="Times New Roman" w:cs="Times New Roman"/>
          <w:b/>
          <w:noProof/>
          <w:sz w:val="24"/>
          <w:szCs w:val="24"/>
          <w:lang w:val="en-US"/>
        </w:rPr>
        <w:drawing>
          <wp:anchor distT="0" distB="0" distL="114300" distR="114300" simplePos="0" relativeHeight="251664384" behindDoc="0" locked="0" layoutInCell="1" allowOverlap="1">
            <wp:simplePos x="0" y="0"/>
            <wp:positionH relativeFrom="column">
              <wp:posOffset>2932430</wp:posOffset>
            </wp:positionH>
            <wp:positionV relativeFrom="paragraph">
              <wp:posOffset>253365</wp:posOffset>
            </wp:positionV>
            <wp:extent cx="31750" cy="31750"/>
            <wp:effectExtent l="19050" t="0" r="6350" b="0"/>
            <wp:wrapNone/>
            <wp:docPr id="6" name="Ink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nk 73"/>
                    <pic:cNvPicPr>
                      <a:picLocks noRot="1" noChangeArrowheads="1"/>
                    </pic:cNvPicPr>
                  </pic:nvPicPr>
                  <pic:blipFill>
                    <a:blip r:embed="rId10" cstate="print"/>
                    <a:srcRect/>
                    <a:stretch>
                      <a:fillRect/>
                    </a:stretch>
                  </pic:blipFill>
                  <pic:spPr bwMode="auto">
                    <a:xfrm>
                      <a:off x="0" y="0"/>
                      <a:ext cx="31750" cy="31750"/>
                    </a:xfrm>
                    <a:prstGeom prst="rect">
                      <a:avLst/>
                    </a:prstGeom>
                    <a:noFill/>
                  </pic:spPr>
                </pic:pic>
              </a:graphicData>
            </a:graphic>
          </wp:anchor>
        </w:drawing>
      </w:r>
      <w:r w:rsidRPr="00944EB8">
        <w:rPr>
          <w:rFonts w:ascii="Times New Roman" w:eastAsiaTheme="minorHAnsi" w:hAnsi="Times New Roman" w:cs="Times New Roman"/>
          <w:b/>
          <w:sz w:val="24"/>
          <w:szCs w:val="24"/>
          <w:lang w:val="en-US"/>
        </w:rPr>
        <w:t>Date</w:t>
      </w:r>
      <w:r w:rsidRPr="00944EB8">
        <w:rPr>
          <w:rFonts w:ascii="Times New Roman" w:eastAsiaTheme="minorHAnsi" w:hAnsi="Times New Roman" w:cs="Times New Roman"/>
          <w:sz w:val="24"/>
          <w:szCs w:val="24"/>
          <w:lang w:val="en-US"/>
        </w:rPr>
        <w:t xml:space="preserve">:                           </w:t>
      </w:r>
      <w:r>
        <w:rPr>
          <w:rFonts w:ascii="Times New Roman" w:eastAsiaTheme="minorHAnsi" w:hAnsi="Times New Roman" w:cs="Times New Roman"/>
          <w:sz w:val="24"/>
          <w:szCs w:val="24"/>
          <w:lang w:val="en-US"/>
        </w:rPr>
        <w:t>3</w:t>
      </w:r>
      <w:r w:rsidRPr="009F42C1">
        <w:rPr>
          <w:rFonts w:ascii="Times New Roman" w:eastAsiaTheme="minorHAnsi" w:hAnsi="Times New Roman" w:cs="Times New Roman"/>
          <w:sz w:val="24"/>
          <w:szCs w:val="24"/>
          <w:vertAlign w:val="superscript"/>
          <w:lang w:val="en-US"/>
        </w:rPr>
        <w:t>rd</w:t>
      </w:r>
      <w:r>
        <w:rPr>
          <w:rFonts w:ascii="Times New Roman" w:eastAsiaTheme="minorHAnsi" w:hAnsi="Times New Roman" w:cs="Times New Roman"/>
          <w:sz w:val="24"/>
          <w:szCs w:val="24"/>
          <w:lang w:val="en-US"/>
        </w:rPr>
        <w:t xml:space="preserve"> September</w:t>
      </w:r>
      <w:r w:rsidRPr="00944EB8">
        <w:rPr>
          <w:rFonts w:ascii="Times New Roman" w:eastAsiaTheme="minorHAnsi" w:hAnsi="Times New Roman" w:cs="Times New Roman"/>
          <w:sz w:val="24"/>
          <w:szCs w:val="24"/>
          <w:lang w:val="en-US"/>
        </w:rPr>
        <w:t>, 2021</w:t>
      </w:r>
    </w:p>
    <w:p w:rsidR="001C2CCB" w:rsidRPr="00944EB8" w:rsidRDefault="001C2CCB" w:rsidP="001C2CCB">
      <w:pPr>
        <w:autoSpaceDE w:val="0"/>
        <w:autoSpaceDN w:val="0"/>
        <w:adjustRightInd w:val="0"/>
        <w:spacing w:before="0" w:after="0" w:line="360" w:lineRule="auto"/>
        <w:ind w:left="360" w:hanging="360"/>
        <w:jc w:val="both"/>
        <w:rPr>
          <w:rFonts w:ascii="Times New Roman" w:eastAsiaTheme="minorHAnsi" w:hAnsi="Times New Roman" w:cs="Times New Roman"/>
          <w:sz w:val="24"/>
          <w:szCs w:val="24"/>
          <w:lang w:val="en-US"/>
        </w:rPr>
      </w:pPr>
      <w:r w:rsidRPr="00944EB8">
        <w:rPr>
          <w:rFonts w:ascii="Times New Roman" w:eastAsiaTheme="minorHAnsi" w:hAnsi="Times New Roman" w:cs="Times New Roman"/>
          <w:b/>
          <w:sz w:val="24"/>
          <w:szCs w:val="24"/>
          <w:lang w:val="en-US"/>
        </w:rPr>
        <w:t>Student Number</w:t>
      </w:r>
      <w:r w:rsidRPr="00944EB8">
        <w:rPr>
          <w:rFonts w:ascii="Times New Roman" w:eastAsiaTheme="minorHAnsi" w:hAnsi="Times New Roman" w:cs="Times New Roman"/>
          <w:sz w:val="24"/>
          <w:szCs w:val="24"/>
          <w:lang w:val="en-US"/>
        </w:rPr>
        <w:t>:       3002813</w:t>
      </w: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
          <w:bCs/>
          <w:sz w:val="24"/>
          <w:szCs w:val="24"/>
        </w:rPr>
      </w:pPr>
    </w:p>
    <w:p w:rsidR="001C2CCB" w:rsidRPr="00944EB8" w:rsidRDefault="001C2CCB" w:rsidP="001C2CCB">
      <w:pPr>
        <w:pStyle w:val="Heading1"/>
        <w:numPr>
          <w:ilvl w:val="0"/>
          <w:numId w:val="0"/>
        </w:numPr>
        <w:ind w:left="432"/>
        <w:jc w:val="center"/>
        <w:rPr>
          <w:rFonts w:cs="Times New Roman"/>
          <w:color w:val="auto"/>
        </w:rPr>
      </w:pPr>
      <w:bookmarkStart w:id="1" w:name="_Toc80808223"/>
      <w:r w:rsidRPr="00944EB8">
        <w:rPr>
          <w:rFonts w:cs="Times New Roman"/>
          <w:color w:val="auto"/>
        </w:rPr>
        <w:lastRenderedPageBreak/>
        <w:t>DEDICATION</w:t>
      </w:r>
      <w:bookmarkEnd w:id="1"/>
    </w:p>
    <w:p w:rsidR="001C2CCB" w:rsidRPr="00944EB8" w:rsidRDefault="001C2CCB" w:rsidP="001C2CCB">
      <w:pPr>
        <w:autoSpaceDE w:val="0"/>
        <w:autoSpaceDN w:val="0"/>
        <w:adjustRightInd w:val="0"/>
        <w:spacing w:before="0" w:after="0" w:line="360" w:lineRule="auto"/>
        <w:jc w:val="center"/>
        <w:rPr>
          <w:rFonts w:ascii="Times New Roman" w:hAnsi="Times New Roman" w:cs="Times New Roman"/>
          <w:b/>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r w:rsidRPr="00944EB8">
        <w:rPr>
          <w:rFonts w:ascii="Times New Roman" w:hAnsi="Times New Roman" w:cs="Times New Roman"/>
          <w:b/>
          <w:bCs/>
          <w:sz w:val="24"/>
          <w:szCs w:val="24"/>
        </w:rPr>
        <w:t xml:space="preserve">    T</w:t>
      </w:r>
      <w:r w:rsidRPr="00944EB8">
        <w:rPr>
          <w:rFonts w:ascii="Times New Roman" w:hAnsi="Times New Roman" w:cs="Times New Roman"/>
          <w:bCs/>
          <w:sz w:val="24"/>
          <w:szCs w:val="24"/>
        </w:rPr>
        <w:t>his work is dedicated to all students who had set out in the academic year 2020 to pursue knowledge and acquire exposure but was turned into an adventure, and regardless of the daunting challenges occasioned by the pandemic still persevered above the circumstances.</w:t>
      </w:r>
    </w:p>
    <w:p w:rsidR="001C2CCB" w:rsidRPr="00944EB8" w:rsidRDefault="001C2CCB" w:rsidP="001C2CCB">
      <w:pPr>
        <w:autoSpaceDE w:val="0"/>
        <w:autoSpaceDN w:val="0"/>
        <w:adjustRightInd w:val="0"/>
        <w:spacing w:before="0" w:after="0" w:line="360" w:lineRule="auto"/>
        <w:ind w:left="36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r w:rsidRPr="00944EB8">
        <w:rPr>
          <w:rFonts w:ascii="Times New Roman" w:hAnsi="Times New Roman" w:cs="Times New Roman"/>
          <w:bCs/>
          <w:sz w:val="24"/>
          <w:szCs w:val="24"/>
        </w:rPr>
        <w:t xml:space="preserve">     The work is further dedicated to all health care and front line workers who dedicated their lives to help the world to stay strong and heal faster.</w:t>
      </w: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r w:rsidRPr="00944EB8">
        <w:rPr>
          <w:rFonts w:ascii="Times New Roman" w:hAnsi="Times New Roman" w:cs="Times New Roman"/>
          <w:bCs/>
          <w:sz w:val="24"/>
          <w:szCs w:val="24"/>
        </w:rPr>
        <w:t xml:space="preserve">           </w:t>
      </w: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p>
    <w:p w:rsidR="001C2CCB" w:rsidRPr="00944EB8" w:rsidRDefault="001C2CCB" w:rsidP="001C2CCB">
      <w:pPr>
        <w:autoSpaceDE w:val="0"/>
        <w:autoSpaceDN w:val="0"/>
        <w:adjustRightInd w:val="0"/>
        <w:spacing w:before="0" w:after="0" w:line="360" w:lineRule="auto"/>
        <w:ind w:left="90" w:hanging="360"/>
        <w:jc w:val="both"/>
        <w:rPr>
          <w:rFonts w:ascii="Times New Roman" w:hAnsi="Times New Roman" w:cs="Times New Roman"/>
          <w:bCs/>
          <w:sz w:val="24"/>
          <w:szCs w:val="24"/>
        </w:rPr>
      </w:pPr>
      <w:r w:rsidRPr="00944EB8">
        <w:rPr>
          <w:rFonts w:ascii="Times New Roman" w:hAnsi="Times New Roman" w:cs="Times New Roman"/>
          <w:bCs/>
          <w:sz w:val="24"/>
          <w:szCs w:val="24"/>
        </w:rPr>
        <w:t xml:space="preserve">                                                                                  </w:t>
      </w:r>
    </w:p>
    <w:p w:rsidR="001C2CCB" w:rsidRDefault="001C2CCB" w:rsidP="001C2CCB">
      <w:pPr>
        <w:pStyle w:val="Heading1"/>
        <w:numPr>
          <w:ilvl w:val="0"/>
          <w:numId w:val="0"/>
        </w:numPr>
        <w:rPr>
          <w:rFonts w:eastAsiaTheme="minorHAnsi" w:cs="Times New Roman"/>
          <w:b w:val="0"/>
          <w:bCs w:val="0"/>
          <w:color w:val="auto"/>
          <w:szCs w:val="24"/>
          <w:lang w:val="en-US"/>
        </w:rPr>
      </w:pPr>
    </w:p>
    <w:p w:rsidR="001C2CCB" w:rsidRPr="00215AFE" w:rsidRDefault="001C2CCB" w:rsidP="001C2CCB">
      <w:pPr>
        <w:rPr>
          <w:lang w:val="en-US"/>
        </w:rPr>
      </w:pPr>
    </w:p>
    <w:p w:rsidR="001C2CCB" w:rsidRPr="00944EB8" w:rsidRDefault="001C2CCB" w:rsidP="001C2CCB">
      <w:pPr>
        <w:pStyle w:val="Heading1"/>
        <w:numPr>
          <w:ilvl w:val="0"/>
          <w:numId w:val="0"/>
        </w:numPr>
        <w:ind w:left="432"/>
        <w:jc w:val="center"/>
        <w:rPr>
          <w:rFonts w:cs="Times New Roman"/>
          <w:color w:val="auto"/>
        </w:rPr>
      </w:pPr>
      <w:bookmarkStart w:id="2" w:name="_Toc80808224"/>
      <w:r w:rsidRPr="00944EB8">
        <w:rPr>
          <w:rFonts w:cs="Times New Roman"/>
          <w:color w:val="auto"/>
        </w:rPr>
        <w:lastRenderedPageBreak/>
        <w:t>ACKNOWLEDGEMENTS</w:t>
      </w:r>
      <w:bookmarkEnd w:id="2"/>
    </w:p>
    <w:p w:rsidR="001C2CCB" w:rsidRPr="00944EB8" w:rsidRDefault="001C2CCB" w:rsidP="001C2CCB">
      <w:pPr>
        <w:pStyle w:val="Default"/>
        <w:spacing w:line="360" w:lineRule="auto"/>
        <w:jc w:val="both"/>
        <w:rPr>
          <w:rFonts w:ascii="Times New Roman" w:hAnsi="Times New Roman" w:cs="Times New Roman"/>
          <w:color w:val="auto"/>
        </w:rPr>
      </w:pPr>
    </w:p>
    <w:p w:rsidR="001C2CCB" w:rsidRPr="00944EB8" w:rsidRDefault="001C2CCB" w:rsidP="001C2CCB">
      <w:pPr>
        <w:pStyle w:val="Default"/>
        <w:spacing w:line="360" w:lineRule="auto"/>
        <w:jc w:val="both"/>
        <w:rPr>
          <w:rFonts w:ascii="Times New Roman" w:hAnsi="Times New Roman" w:cs="Times New Roman"/>
          <w:color w:val="auto"/>
        </w:rPr>
      </w:pPr>
      <w:r w:rsidRPr="00944EB8">
        <w:rPr>
          <w:rFonts w:ascii="Times New Roman" w:hAnsi="Times New Roman" w:cs="Times New Roman"/>
          <w:color w:val="auto"/>
        </w:rPr>
        <w:t xml:space="preserve">First and foremost, thanks </w:t>
      </w:r>
      <w:proofErr w:type="gramStart"/>
      <w:r w:rsidRPr="00944EB8">
        <w:rPr>
          <w:rFonts w:ascii="Times New Roman" w:hAnsi="Times New Roman" w:cs="Times New Roman"/>
          <w:color w:val="auto"/>
        </w:rPr>
        <w:t>be</w:t>
      </w:r>
      <w:proofErr w:type="gramEnd"/>
      <w:r w:rsidRPr="00944EB8">
        <w:rPr>
          <w:rFonts w:ascii="Times New Roman" w:hAnsi="Times New Roman" w:cs="Times New Roman"/>
          <w:color w:val="auto"/>
        </w:rPr>
        <w:t xml:space="preserve"> to God, the Almighty for his grace and strength to navigate through the turmoil of the Covid-19 pandemic, and undertake this research work at the most difficult and challenging time in the most recent history of mankind.</w:t>
      </w:r>
    </w:p>
    <w:p w:rsidR="001C2CCB" w:rsidRPr="00944EB8" w:rsidRDefault="001C2CCB" w:rsidP="001C2CCB">
      <w:pPr>
        <w:pStyle w:val="Default"/>
        <w:spacing w:line="360" w:lineRule="auto"/>
        <w:jc w:val="both"/>
        <w:rPr>
          <w:rFonts w:ascii="Times New Roman" w:hAnsi="Times New Roman" w:cs="Times New Roman"/>
          <w:color w:val="auto"/>
        </w:rPr>
      </w:pPr>
    </w:p>
    <w:p w:rsidR="001C2CCB" w:rsidRPr="00944EB8" w:rsidRDefault="001C2CCB" w:rsidP="001C2CCB">
      <w:pPr>
        <w:pStyle w:val="Default"/>
        <w:spacing w:line="360" w:lineRule="auto"/>
        <w:jc w:val="both"/>
        <w:rPr>
          <w:rFonts w:ascii="Times New Roman" w:hAnsi="Times New Roman" w:cs="Times New Roman"/>
          <w:color w:val="auto"/>
        </w:rPr>
      </w:pPr>
      <w:r w:rsidRPr="00944EB8">
        <w:rPr>
          <w:rFonts w:ascii="Times New Roman" w:hAnsi="Times New Roman" w:cs="Times New Roman"/>
          <w:color w:val="auto"/>
        </w:rPr>
        <w:t>I would like to express my sincere gratitude to my dissertation supervisor, Janette Maxwell, a Law lecturer and Chartered Tax Advisor for providing invaluable guidance throughout my writing. Her motivation and great sense of humor was deeply inspiring to present my work as clearly as possible, and it was a great honor to work under her guidance.</w:t>
      </w:r>
    </w:p>
    <w:p w:rsidR="001C2CCB" w:rsidRPr="00944EB8" w:rsidRDefault="001C2CCB" w:rsidP="001C2CCB">
      <w:pPr>
        <w:pStyle w:val="Default"/>
        <w:spacing w:line="360" w:lineRule="auto"/>
        <w:jc w:val="both"/>
        <w:rPr>
          <w:rFonts w:ascii="Times New Roman" w:hAnsi="Times New Roman" w:cs="Times New Roman"/>
          <w:color w:val="auto"/>
        </w:rPr>
      </w:pPr>
    </w:p>
    <w:p w:rsidR="001C2CCB" w:rsidRPr="00944EB8" w:rsidRDefault="001C2CCB" w:rsidP="001C2CCB">
      <w:pPr>
        <w:pStyle w:val="Default"/>
        <w:spacing w:line="360" w:lineRule="auto"/>
        <w:jc w:val="both"/>
        <w:rPr>
          <w:rFonts w:ascii="Times New Roman" w:hAnsi="Times New Roman" w:cs="Times New Roman"/>
          <w:color w:val="auto"/>
        </w:rPr>
      </w:pPr>
      <w:r w:rsidRPr="00944EB8">
        <w:rPr>
          <w:rFonts w:ascii="Times New Roman" w:hAnsi="Times New Roman" w:cs="Times New Roman"/>
          <w:color w:val="auto"/>
        </w:rPr>
        <w:t>I am grateful to my parents and siblings for their love, prayers, continuous sacrifices and emotional support to make sure I scaled through my academic work during this period of the Covid-19 pandemic.</w:t>
      </w:r>
    </w:p>
    <w:p w:rsidR="001C2CCB" w:rsidRPr="00944EB8" w:rsidRDefault="001C2CCB" w:rsidP="001C2CCB">
      <w:pPr>
        <w:pStyle w:val="Default"/>
        <w:spacing w:line="360" w:lineRule="auto"/>
        <w:jc w:val="both"/>
        <w:rPr>
          <w:rFonts w:ascii="Times New Roman" w:hAnsi="Times New Roman" w:cs="Times New Roman"/>
          <w:color w:val="auto"/>
        </w:rPr>
      </w:pPr>
    </w:p>
    <w:p w:rsidR="001C2CCB" w:rsidRPr="00944EB8" w:rsidRDefault="001C2CCB" w:rsidP="001C2CCB">
      <w:pPr>
        <w:pStyle w:val="Default"/>
        <w:spacing w:line="360" w:lineRule="auto"/>
        <w:jc w:val="both"/>
        <w:rPr>
          <w:rFonts w:ascii="Times New Roman" w:hAnsi="Times New Roman" w:cs="Times New Roman"/>
          <w:color w:val="auto"/>
        </w:rPr>
      </w:pPr>
      <w:r w:rsidRPr="00944EB8">
        <w:rPr>
          <w:rFonts w:ascii="Times New Roman" w:hAnsi="Times New Roman" w:cs="Times New Roman"/>
          <w:color w:val="auto"/>
        </w:rPr>
        <w:t>My special thanks go to my colleagues and friends, Orji Agwu</w:t>
      </w:r>
      <w:r>
        <w:rPr>
          <w:rFonts w:ascii="Times New Roman" w:hAnsi="Times New Roman" w:cs="Times New Roman"/>
          <w:color w:val="auto"/>
        </w:rPr>
        <w:t xml:space="preserve"> </w:t>
      </w:r>
      <w:r w:rsidRPr="00944EB8">
        <w:rPr>
          <w:rFonts w:ascii="Times New Roman" w:hAnsi="Times New Roman" w:cs="Times New Roman"/>
          <w:color w:val="auto"/>
        </w:rPr>
        <w:t>Uka, Eki Bennedeta who were quick to assist me with books and other materials from their library, and most often handed me passwords to access their organization’s library considering the difficulties I would have had in accessing physical library due to the Covid-19 lockdown. The valuable volume of materials accessed made the dissertation a success!</w:t>
      </w:r>
    </w:p>
    <w:p w:rsidR="001C2CCB" w:rsidRPr="00944EB8" w:rsidRDefault="001C2CCB" w:rsidP="001C2CCB">
      <w:pPr>
        <w:spacing w:before="0"/>
        <w:rPr>
          <w:rFonts w:ascii="Times New Roman" w:eastAsiaTheme="minorHAnsi" w:hAnsi="Times New Roman" w:cs="Times New Roman"/>
          <w:b/>
          <w:bCs/>
          <w:sz w:val="24"/>
          <w:szCs w:val="28"/>
          <w:lang w:val="en-GB"/>
        </w:rPr>
      </w:pPr>
      <w:r w:rsidRPr="00944EB8">
        <w:rPr>
          <w:rFonts w:ascii="Times New Roman" w:eastAsiaTheme="minorHAnsi" w:hAnsi="Times New Roman" w:cs="Times New Roman"/>
        </w:rPr>
        <w:br w:type="page"/>
      </w:r>
    </w:p>
    <w:p w:rsidR="001C2CCB" w:rsidRPr="00944EB8" w:rsidRDefault="001C2CCB" w:rsidP="001C2CCB">
      <w:pPr>
        <w:pStyle w:val="Heading1"/>
        <w:numPr>
          <w:ilvl w:val="0"/>
          <w:numId w:val="0"/>
        </w:numPr>
        <w:ind w:left="432"/>
        <w:rPr>
          <w:rFonts w:eastAsiaTheme="minorHAnsi" w:cs="Times New Roman"/>
          <w:color w:val="auto"/>
        </w:rPr>
      </w:pPr>
      <w:bookmarkStart w:id="3" w:name="_Toc80808225"/>
      <w:r w:rsidRPr="00944EB8">
        <w:rPr>
          <w:rFonts w:eastAsiaTheme="minorHAnsi" w:cs="Times New Roman"/>
          <w:color w:val="auto"/>
        </w:rPr>
        <w:lastRenderedPageBreak/>
        <w:t>ABBREVIATIONS AND ACRONYMS</w:t>
      </w:r>
      <w:bookmarkEnd w:id="3"/>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ADR                 Alternative dispute resolution</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CA                    Court of appeal</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CLRN               Commercial law report of Nigeria</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LPELR             Law pavilion electronic law report</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NWLR              Nigerian weekly law report</w:t>
      </w:r>
    </w:p>
    <w:p w:rsidR="001C2CCB" w:rsidRPr="00944EB8" w:rsidRDefault="001C2CCB" w:rsidP="001C2CCB">
      <w:pPr>
        <w:autoSpaceDE w:val="0"/>
        <w:autoSpaceDN w:val="0"/>
        <w:adjustRightInd w:val="0"/>
        <w:spacing w:before="0" w:after="0" w:line="360" w:lineRule="auto"/>
        <w:jc w:val="both"/>
        <w:rPr>
          <w:rFonts w:ascii="Times New Roman" w:eastAsiaTheme="minorHAnsi" w:hAnsi="Times New Roman" w:cs="Times New Roman"/>
          <w:bCs/>
          <w:sz w:val="24"/>
          <w:szCs w:val="24"/>
          <w:lang w:val="en-US"/>
        </w:rPr>
      </w:pPr>
      <w:r w:rsidRPr="00944EB8">
        <w:rPr>
          <w:rFonts w:ascii="Times New Roman" w:eastAsiaTheme="minorHAnsi" w:hAnsi="Times New Roman" w:cs="Times New Roman"/>
          <w:bCs/>
          <w:sz w:val="24"/>
          <w:szCs w:val="24"/>
          <w:lang w:val="en-US"/>
        </w:rPr>
        <w:t>SC                     Supreme court</w:t>
      </w:r>
    </w:p>
    <w:p w:rsidR="001C2CCB" w:rsidRPr="00944EB8" w:rsidRDefault="001C2CCB" w:rsidP="001C2CCB">
      <w:pPr>
        <w:spacing w:before="0"/>
        <w:rPr>
          <w:rFonts w:ascii="Times New Roman" w:eastAsiaTheme="minorHAnsi" w:hAnsi="Times New Roman" w:cs="Times New Roman"/>
          <w:b/>
          <w:bCs/>
          <w:sz w:val="24"/>
          <w:szCs w:val="24"/>
          <w:lang w:val="en-US"/>
        </w:rPr>
      </w:pPr>
      <w:r w:rsidRPr="00944EB8">
        <w:rPr>
          <w:rFonts w:ascii="Times New Roman" w:eastAsiaTheme="minorHAnsi" w:hAnsi="Times New Roman" w:cs="Times New Roman"/>
          <w:b/>
          <w:bCs/>
          <w:sz w:val="24"/>
          <w:szCs w:val="24"/>
          <w:lang w:val="en-US"/>
        </w:rPr>
        <w:br w:type="page"/>
      </w:r>
    </w:p>
    <w:p w:rsidR="001C2CCB" w:rsidRPr="00944EB8" w:rsidRDefault="001C2CCB" w:rsidP="001C2CCB">
      <w:pPr>
        <w:autoSpaceDE w:val="0"/>
        <w:autoSpaceDN w:val="0"/>
        <w:adjustRightInd w:val="0"/>
        <w:spacing w:before="0" w:after="0" w:line="240" w:lineRule="auto"/>
        <w:jc w:val="center"/>
        <w:rPr>
          <w:rFonts w:ascii="Times New Roman" w:eastAsiaTheme="minorHAnsi" w:hAnsi="Times New Roman" w:cs="Times New Roman"/>
          <w:sz w:val="24"/>
          <w:szCs w:val="24"/>
          <w:lang w:val="en-US"/>
        </w:rPr>
      </w:pPr>
      <w:r w:rsidRPr="00944EB8">
        <w:rPr>
          <w:rFonts w:ascii="Times New Roman" w:eastAsiaTheme="minorHAnsi" w:hAnsi="Times New Roman" w:cs="Times New Roman"/>
          <w:b/>
          <w:bCs/>
          <w:sz w:val="24"/>
          <w:szCs w:val="24"/>
          <w:lang w:val="en-US"/>
        </w:rPr>
        <w:lastRenderedPageBreak/>
        <w:t>A CRITICAL APPRAISAL OF THE ROLE OF NATIONAL COURTS IN THE ARBITRAL PROCESS: A CASE STUDY OF NIGERIA</w:t>
      </w:r>
    </w:p>
    <w:p w:rsidR="001C2CCB" w:rsidRPr="00944EB8" w:rsidRDefault="001C2CCB" w:rsidP="001C2CCB">
      <w:pPr>
        <w:autoSpaceDE w:val="0"/>
        <w:autoSpaceDN w:val="0"/>
        <w:adjustRightInd w:val="0"/>
        <w:spacing w:before="0" w:after="0" w:line="240" w:lineRule="auto"/>
        <w:rPr>
          <w:rFonts w:ascii="Times New Roman" w:eastAsiaTheme="minorHAnsi" w:hAnsi="Times New Roman" w:cs="Times New Roman"/>
          <w:b/>
          <w:bCs/>
          <w:sz w:val="32"/>
          <w:szCs w:val="32"/>
          <w:lang w:val="en-US"/>
        </w:rPr>
      </w:pPr>
    </w:p>
    <w:p w:rsidR="001C2CCB" w:rsidRPr="00944EB8" w:rsidRDefault="001C2CCB" w:rsidP="001C2CCB">
      <w:pPr>
        <w:autoSpaceDE w:val="0"/>
        <w:autoSpaceDN w:val="0"/>
        <w:adjustRightInd w:val="0"/>
        <w:spacing w:before="0" w:after="0" w:line="240" w:lineRule="auto"/>
        <w:jc w:val="center"/>
        <w:rPr>
          <w:rFonts w:ascii="Times New Roman" w:eastAsiaTheme="minorHAnsi" w:hAnsi="Times New Roman" w:cs="Times New Roman"/>
          <w:b/>
          <w:bCs/>
          <w:i/>
          <w:sz w:val="24"/>
          <w:szCs w:val="24"/>
          <w:lang w:val="en-US"/>
        </w:rPr>
      </w:pPr>
      <w:r w:rsidRPr="00944EB8">
        <w:rPr>
          <w:rFonts w:ascii="Times New Roman" w:eastAsiaTheme="minorHAnsi" w:hAnsi="Times New Roman" w:cs="Times New Roman"/>
          <w:b/>
          <w:bCs/>
          <w:i/>
          <w:sz w:val="24"/>
          <w:szCs w:val="24"/>
          <w:lang w:val="en-US"/>
        </w:rPr>
        <w:t>EMEKA EMMANSON OKOROAFOR</w:t>
      </w:r>
    </w:p>
    <w:p w:rsidR="001C2CCB" w:rsidRPr="00944EB8" w:rsidRDefault="001C2CCB" w:rsidP="001C2CCB">
      <w:pPr>
        <w:autoSpaceDE w:val="0"/>
        <w:autoSpaceDN w:val="0"/>
        <w:adjustRightInd w:val="0"/>
        <w:spacing w:before="0" w:after="0" w:line="240" w:lineRule="auto"/>
        <w:jc w:val="center"/>
        <w:rPr>
          <w:rFonts w:ascii="Times New Roman" w:eastAsiaTheme="minorHAnsi" w:hAnsi="Times New Roman" w:cs="Times New Roman"/>
          <w:b/>
          <w:bCs/>
          <w:i/>
          <w:sz w:val="24"/>
          <w:szCs w:val="24"/>
          <w:lang w:val="en-US"/>
        </w:rPr>
      </w:pPr>
      <w:proofErr w:type="gramStart"/>
      <w:r w:rsidRPr="00944EB8">
        <w:rPr>
          <w:rFonts w:ascii="Times New Roman" w:eastAsiaTheme="minorHAnsi" w:hAnsi="Times New Roman" w:cs="Times New Roman"/>
          <w:b/>
          <w:bCs/>
          <w:i/>
          <w:sz w:val="24"/>
          <w:szCs w:val="24"/>
          <w:lang w:val="en-US"/>
        </w:rPr>
        <w:t>Griffith College, Dublin.</w:t>
      </w:r>
      <w:proofErr w:type="gramEnd"/>
    </w:p>
    <w:p w:rsidR="001C2CCB" w:rsidRPr="00944EB8" w:rsidRDefault="001C2CCB" w:rsidP="001C2CCB">
      <w:pPr>
        <w:autoSpaceDE w:val="0"/>
        <w:autoSpaceDN w:val="0"/>
        <w:adjustRightInd w:val="0"/>
        <w:spacing w:before="0" w:after="0" w:line="240" w:lineRule="auto"/>
        <w:rPr>
          <w:rFonts w:ascii="Times New Roman" w:eastAsiaTheme="minorHAnsi" w:hAnsi="Times New Roman" w:cs="Times New Roman"/>
          <w:b/>
          <w:bCs/>
          <w:sz w:val="24"/>
          <w:szCs w:val="24"/>
          <w:lang w:val="en-US"/>
        </w:rPr>
      </w:pPr>
    </w:p>
    <w:p w:rsidR="001C2CCB" w:rsidRPr="00944EB8" w:rsidRDefault="001C2CCB" w:rsidP="001C2CCB">
      <w:pPr>
        <w:pStyle w:val="Heading1"/>
        <w:numPr>
          <w:ilvl w:val="0"/>
          <w:numId w:val="0"/>
        </w:numPr>
        <w:rPr>
          <w:rFonts w:eastAsiaTheme="minorHAnsi" w:cs="Times New Roman"/>
          <w:color w:val="auto"/>
        </w:rPr>
      </w:pPr>
      <w:bookmarkStart w:id="4" w:name="_Toc80808226"/>
      <w:r w:rsidRPr="00944EB8">
        <w:rPr>
          <w:rFonts w:eastAsiaTheme="minorHAnsi" w:cs="Times New Roman"/>
          <w:color w:val="auto"/>
        </w:rPr>
        <w:t>Abstract</w:t>
      </w:r>
      <w:bookmarkEnd w:id="4"/>
      <w:r w:rsidRPr="00944EB8">
        <w:rPr>
          <w:rFonts w:eastAsiaTheme="minorHAnsi" w:cs="Times New Roman"/>
          <w:color w:val="auto"/>
        </w:rPr>
        <w:t xml:space="preserve"> </w:t>
      </w:r>
    </w:p>
    <w:p w:rsidR="001C2CCB" w:rsidRPr="00944EB8" w:rsidRDefault="001C2CCB" w:rsidP="001C2CCB">
      <w:pPr>
        <w:autoSpaceDE w:val="0"/>
        <w:autoSpaceDN w:val="0"/>
        <w:adjustRightInd w:val="0"/>
        <w:spacing w:before="0" w:after="0" w:line="240" w:lineRule="auto"/>
        <w:rPr>
          <w:rFonts w:ascii="Times New Roman" w:eastAsiaTheme="minorHAnsi" w:hAnsi="Times New Roman" w:cs="Times New Roman"/>
          <w:b/>
          <w:bCs/>
          <w:sz w:val="32"/>
          <w:szCs w:val="32"/>
          <w:lang w:val="en-US"/>
        </w:rPr>
      </w:pPr>
    </w:p>
    <w:p w:rsidR="001C2CCB" w:rsidRPr="00944EB8" w:rsidRDefault="001C2CCB" w:rsidP="001C2CCB">
      <w:pPr>
        <w:jc w:val="both"/>
        <w:rPr>
          <w:rFonts w:ascii="Times New Roman" w:hAnsi="Times New Roman" w:cs="Times New Roman"/>
          <w:sz w:val="24"/>
          <w:szCs w:val="24"/>
        </w:rPr>
      </w:pPr>
      <w:r w:rsidRPr="00944EB8">
        <w:rPr>
          <w:rFonts w:ascii="Times New Roman" w:hAnsi="Times New Roman" w:cs="Times New Roman"/>
          <w:sz w:val="24"/>
          <w:szCs w:val="24"/>
        </w:rPr>
        <w:t>Using the illustrative example of the Nigerian Arbitration and Conciliation Act 1988, this research undertakes a comprehensive analysis of the concept of judicial intervention in the arbitral process from a Nigerian law perspective. The research approaches the study from the standpoint that despite the well documented successes of international commercial arbitration as a means of dispute resolution especially those arising from cross border transactions, one recurring controversy has been the question of the necessity or otherwise of the intervention of national courts in the arbitral process. Against that backdrop, the research, after interrogating the necessity for the intervention of national courts in the arbitral process and deciding that there is need for limited intervention by national courts to facilitate rather than impede the arbitral process, then proceeds to examine the correct extent of and the instances when such intervention is required. Very importantly too, the research poses for itself, the question of what extent is the current Nigerian arbitration legal framework a barrier to the observance of the doctrine of non-intervention of national courts in the arbitral process and what are the prospects for reform. To answer that, the relevant provisions of the Nigerian Arbitration and Conciliation Act relating to the question of judicial intervention in the arbitral process are examined in detail to highlight their imperativeness or otherwise. In this regard, the provisions of the Act are considered in three broad stages of the arbitral process: after the institution of the arbitration; the stage of the arbitration proceedings proper; and at the post award stage of recognition and enforcement of awards. In the final analysis, the work proffers some policy recommendations. Specifically, the need for an urgent amendment of the Nigerian Arbitration and Conciliation Act, the Bill for which has been pending before the Nigerian National Assembly for years was stressed.</w:t>
      </w:r>
    </w:p>
    <w:p w:rsidR="001C2CCB" w:rsidRPr="00944EB8" w:rsidRDefault="001C2CCB" w:rsidP="001C2CCB">
      <w:pPr>
        <w:jc w:val="both"/>
        <w:rPr>
          <w:rFonts w:ascii="Times New Roman" w:eastAsiaTheme="minorHAnsi" w:hAnsi="Times New Roman" w:cs="Times New Roman"/>
          <w:sz w:val="23"/>
          <w:szCs w:val="23"/>
          <w:lang w:val="en-US"/>
        </w:rPr>
      </w:pPr>
      <w:r w:rsidRPr="00944EB8">
        <w:rPr>
          <w:rFonts w:ascii="Times New Roman" w:eastAsiaTheme="minorHAnsi" w:hAnsi="Times New Roman" w:cs="Times New Roman"/>
          <w:sz w:val="23"/>
          <w:szCs w:val="23"/>
          <w:lang w:val="en-US"/>
        </w:rPr>
        <w:t xml:space="preserve">Key words –Arbitration, Arbitral process, Arbitral awards, judicial interference, judicial non-interference, jurisdiction, National courts, Nigerian courts. </w:t>
      </w:r>
    </w:p>
    <w:p w:rsidR="001C2CCB" w:rsidRPr="00944EB8" w:rsidRDefault="001C2CCB" w:rsidP="001C2CCB">
      <w:pPr>
        <w:rPr>
          <w:rFonts w:ascii="Times New Roman" w:eastAsiaTheme="minorHAnsi" w:hAnsi="Times New Roman" w:cs="Times New Roman"/>
          <w:sz w:val="23"/>
          <w:szCs w:val="23"/>
          <w:lang w:val="en-US"/>
        </w:rPr>
      </w:pPr>
    </w:p>
    <w:p w:rsidR="001C2CCB" w:rsidRPr="00944EB8" w:rsidRDefault="001C2CCB" w:rsidP="001C2CCB">
      <w:pPr>
        <w:rPr>
          <w:rFonts w:ascii="Times New Roman" w:eastAsiaTheme="minorHAnsi" w:hAnsi="Times New Roman" w:cs="Times New Roman"/>
          <w:sz w:val="23"/>
          <w:szCs w:val="23"/>
          <w:lang w:val="en-US"/>
        </w:rPr>
      </w:pPr>
    </w:p>
    <w:p w:rsidR="001C2CCB" w:rsidRPr="00944EB8" w:rsidRDefault="001C2CCB" w:rsidP="001C2CCB">
      <w:pPr>
        <w:rPr>
          <w:rFonts w:ascii="Times New Roman" w:eastAsiaTheme="minorHAnsi" w:hAnsi="Times New Roman" w:cs="Times New Roman"/>
          <w:sz w:val="23"/>
          <w:szCs w:val="23"/>
          <w:lang w:val="en-US"/>
        </w:rPr>
      </w:pPr>
    </w:p>
    <w:p w:rsidR="001C2CCB" w:rsidRPr="00944EB8" w:rsidRDefault="001C2CCB" w:rsidP="001C2CCB">
      <w:pPr>
        <w:jc w:val="both"/>
        <w:rPr>
          <w:rFonts w:ascii="Times New Roman" w:eastAsiaTheme="minorHAnsi" w:hAnsi="Times New Roman" w:cs="Times New Roman"/>
          <w:sz w:val="24"/>
          <w:szCs w:val="24"/>
          <w:lang w:val="en-US"/>
        </w:rPr>
      </w:pPr>
    </w:p>
    <w:bookmarkStart w:id="5" w:name="_Hlk26271302" w:displacedByCustomXml="next"/>
    <w:sdt>
      <w:sdtPr>
        <w:rPr>
          <w:rFonts w:asciiTheme="minorHAnsi" w:eastAsiaTheme="minorEastAsia" w:hAnsiTheme="minorHAnsi" w:cs="Times New Roman"/>
          <w:b w:val="0"/>
          <w:bCs w:val="0"/>
          <w:color w:val="auto"/>
          <w:sz w:val="20"/>
          <w:szCs w:val="24"/>
          <w:lang w:val="en-GB"/>
        </w:rPr>
        <w:id w:val="277336618"/>
        <w:docPartObj>
          <w:docPartGallery w:val="Table of Contents"/>
          <w:docPartUnique/>
        </w:docPartObj>
      </w:sdtPr>
      <w:sdtEndPr>
        <w:rPr>
          <w:lang w:val="en-IE"/>
        </w:rPr>
      </w:sdtEndPr>
      <w:sdtContent>
        <w:p w:rsidR="001C2CCB" w:rsidRPr="00944EB8" w:rsidRDefault="001C2CCB" w:rsidP="001C2CCB">
          <w:pPr>
            <w:pStyle w:val="TOCHeading"/>
            <w:numPr>
              <w:ilvl w:val="0"/>
              <w:numId w:val="0"/>
            </w:numPr>
            <w:spacing w:before="0" w:line="360" w:lineRule="auto"/>
            <w:ind w:left="432"/>
            <w:jc w:val="center"/>
            <w:rPr>
              <w:rFonts w:cs="Times New Roman"/>
              <w:color w:val="auto"/>
              <w:szCs w:val="24"/>
            </w:rPr>
          </w:pPr>
          <w:r w:rsidRPr="00944EB8">
            <w:rPr>
              <w:rFonts w:cs="Times New Roman"/>
              <w:color w:val="auto"/>
              <w:szCs w:val="24"/>
            </w:rPr>
            <w:t>CONTENTS</w:t>
          </w:r>
        </w:p>
        <w:p w:rsidR="001C2CCB" w:rsidRDefault="001C2CCB" w:rsidP="001C2CCB">
          <w:pPr>
            <w:pStyle w:val="TOC1"/>
            <w:tabs>
              <w:tab w:val="right" w:leader="dot" w:pos="9350"/>
            </w:tabs>
            <w:rPr>
              <w:noProof/>
              <w:sz w:val="24"/>
              <w:szCs w:val="24"/>
              <w:lang w:val="en-IE" w:eastAsia="en-GB"/>
            </w:rPr>
          </w:pPr>
          <w:r w:rsidRPr="00DA614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TOC \o "1-3" \h \z \u </w:instrText>
          </w:r>
          <w:r w:rsidRPr="00DA6148">
            <w:rPr>
              <w:rFonts w:ascii="Times New Roman" w:hAnsi="Times New Roman" w:cs="Times New Roman"/>
              <w:sz w:val="24"/>
              <w:szCs w:val="24"/>
            </w:rPr>
            <w:fldChar w:fldCharType="separate"/>
          </w:r>
          <w:hyperlink w:anchor="_Toc80808222" w:history="1">
            <w:r w:rsidRPr="00892566">
              <w:rPr>
                <w:rStyle w:val="Hyperlink"/>
                <w:rFonts w:cs="Times New Roman"/>
                <w:noProof/>
              </w:rPr>
              <w:t>CANDIDATE DECLARATION</w:t>
            </w:r>
            <w:r>
              <w:rPr>
                <w:noProof/>
                <w:webHidden/>
              </w:rPr>
              <w:tab/>
            </w:r>
            <w:r>
              <w:rPr>
                <w:noProof/>
                <w:webHidden/>
              </w:rPr>
              <w:fldChar w:fldCharType="begin"/>
            </w:r>
            <w:r>
              <w:rPr>
                <w:noProof/>
                <w:webHidden/>
              </w:rPr>
              <w:instrText xml:space="preserve"> PAGEREF _Toc80808222 \h </w:instrText>
            </w:r>
            <w:r>
              <w:rPr>
                <w:noProof/>
                <w:webHidden/>
              </w:rPr>
            </w:r>
            <w:r>
              <w:rPr>
                <w:noProof/>
                <w:webHidden/>
              </w:rPr>
              <w:fldChar w:fldCharType="separate"/>
            </w:r>
            <w:r>
              <w:rPr>
                <w:noProof/>
                <w:webHidden/>
              </w:rPr>
              <w:t>B</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23" w:history="1">
            <w:r w:rsidRPr="00892566">
              <w:rPr>
                <w:rStyle w:val="Hyperlink"/>
                <w:rFonts w:cs="Times New Roman"/>
                <w:noProof/>
              </w:rPr>
              <w:t>DEDICATION</w:t>
            </w:r>
            <w:r>
              <w:rPr>
                <w:noProof/>
                <w:webHidden/>
              </w:rPr>
              <w:tab/>
            </w:r>
            <w:r>
              <w:rPr>
                <w:noProof/>
                <w:webHidden/>
              </w:rPr>
              <w:fldChar w:fldCharType="begin"/>
            </w:r>
            <w:r>
              <w:rPr>
                <w:noProof/>
                <w:webHidden/>
              </w:rPr>
              <w:instrText xml:space="preserve"> PAGEREF _Toc80808223 \h </w:instrText>
            </w:r>
            <w:r>
              <w:rPr>
                <w:noProof/>
                <w:webHidden/>
              </w:rPr>
            </w:r>
            <w:r>
              <w:rPr>
                <w:noProof/>
                <w:webHidden/>
              </w:rPr>
              <w:fldChar w:fldCharType="separate"/>
            </w:r>
            <w:r>
              <w:rPr>
                <w:noProof/>
                <w:webHidden/>
              </w:rPr>
              <w:t>C</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24" w:history="1">
            <w:r w:rsidRPr="00892566">
              <w:rPr>
                <w:rStyle w:val="Hyperlink"/>
                <w:rFonts w:cs="Times New Roman"/>
                <w:noProof/>
              </w:rPr>
              <w:t>ACKNOWLEDGEMENTS</w:t>
            </w:r>
            <w:r>
              <w:rPr>
                <w:noProof/>
                <w:webHidden/>
              </w:rPr>
              <w:tab/>
            </w:r>
            <w:r>
              <w:rPr>
                <w:noProof/>
                <w:webHidden/>
              </w:rPr>
              <w:fldChar w:fldCharType="begin"/>
            </w:r>
            <w:r>
              <w:rPr>
                <w:noProof/>
                <w:webHidden/>
              </w:rPr>
              <w:instrText xml:space="preserve"> PAGEREF _Toc80808224 \h </w:instrText>
            </w:r>
            <w:r>
              <w:rPr>
                <w:noProof/>
                <w:webHidden/>
              </w:rPr>
            </w:r>
            <w:r>
              <w:rPr>
                <w:noProof/>
                <w:webHidden/>
              </w:rPr>
              <w:fldChar w:fldCharType="separate"/>
            </w:r>
            <w:r>
              <w:rPr>
                <w:noProof/>
                <w:webHidden/>
              </w:rPr>
              <w:t>D</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25" w:history="1">
            <w:r w:rsidRPr="00892566">
              <w:rPr>
                <w:rStyle w:val="Hyperlink"/>
                <w:rFonts w:eastAsiaTheme="minorHAnsi" w:cs="Times New Roman"/>
                <w:noProof/>
              </w:rPr>
              <w:t>ABBREVIATIONS AND ACRONYMS</w:t>
            </w:r>
            <w:r>
              <w:rPr>
                <w:noProof/>
                <w:webHidden/>
              </w:rPr>
              <w:tab/>
            </w:r>
            <w:r>
              <w:rPr>
                <w:noProof/>
                <w:webHidden/>
              </w:rPr>
              <w:fldChar w:fldCharType="begin"/>
            </w:r>
            <w:r>
              <w:rPr>
                <w:noProof/>
                <w:webHidden/>
              </w:rPr>
              <w:instrText xml:space="preserve"> PAGEREF _Toc80808225 \h </w:instrText>
            </w:r>
            <w:r>
              <w:rPr>
                <w:noProof/>
                <w:webHidden/>
              </w:rPr>
            </w:r>
            <w:r>
              <w:rPr>
                <w:noProof/>
                <w:webHidden/>
              </w:rPr>
              <w:fldChar w:fldCharType="separate"/>
            </w:r>
            <w:r>
              <w:rPr>
                <w:noProof/>
                <w:webHidden/>
              </w:rPr>
              <w:t>E</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26" w:history="1">
            <w:r w:rsidRPr="00892566">
              <w:rPr>
                <w:rStyle w:val="Hyperlink"/>
                <w:rFonts w:eastAsiaTheme="minorHAnsi" w:cs="Times New Roman"/>
                <w:noProof/>
              </w:rPr>
              <w:t>Abstract</w:t>
            </w:r>
            <w:r>
              <w:rPr>
                <w:noProof/>
                <w:webHidden/>
              </w:rPr>
              <w:tab/>
            </w:r>
            <w:r>
              <w:rPr>
                <w:noProof/>
                <w:webHidden/>
              </w:rPr>
              <w:fldChar w:fldCharType="begin"/>
            </w:r>
            <w:r>
              <w:rPr>
                <w:noProof/>
                <w:webHidden/>
              </w:rPr>
              <w:instrText xml:space="preserve"> PAGEREF _Toc80808226 \h </w:instrText>
            </w:r>
            <w:r>
              <w:rPr>
                <w:noProof/>
                <w:webHidden/>
              </w:rPr>
            </w:r>
            <w:r>
              <w:rPr>
                <w:noProof/>
                <w:webHidden/>
              </w:rPr>
              <w:fldChar w:fldCharType="separate"/>
            </w:r>
            <w:r>
              <w:rPr>
                <w:noProof/>
                <w:webHidden/>
              </w:rPr>
              <w:t>F</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27" w:history="1">
            <w:r w:rsidRPr="00892566">
              <w:rPr>
                <w:rStyle w:val="Hyperlink"/>
                <w:rFonts w:cs="Times New Roman"/>
                <w:noProof/>
              </w:rPr>
              <w:t>1.</w:t>
            </w:r>
            <w:r>
              <w:rPr>
                <w:noProof/>
                <w:sz w:val="24"/>
                <w:szCs w:val="24"/>
                <w:lang w:val="en-IE" w:eastAsia="en-GB"/>
              </w:rPr>
              <w:tab/>
            </w:r>
            <w:r w:rsidRPr="00892566">
              <w:rPr>
                <w:rStyle w:val="Hyperlink"/>
                <w:rFonts w:cs="Times New Roman"/>
                <w:noProof/>
              </w:rPr>
              <w:t>CHAPTER ONE</w:t>
            </w:r>
            <w:r>
              <w:rPr>
                <w:noProof/>
                <w:webHidden/>
              </w:rPr>
              <w:tab/>
            </w:r>
            <w:r>
              <w:rPr>
                <w:noProof/>
                <w:webHidden/>
              </w:rPr>
              <w:fldChar w:fldCharType="begin"/>
            </w:r>
            <w:r>
              <w:rPr>
                <w:noProof/>
                <w:webHidden/>
              </w:rPr>
              <w:instrText xml:space="preserve"> PAGEREF _Toc80808227 \h </w:instrText>
            </w:r>
            <w:r>
              <w:rPr>
                <w:noProof/>
                <w:webHidden/>
              </w:rPr>
            </w:r>
            <w:r>
              <w:rPr>
                <w:noProof/>
                <w:webHidden/>
              </w:rPr>
              <w:fldChar w:fldCharType="separate"/>
            </w:r>
            <w:r>
              <w:rPr>
                <w:noProof/>
                <w:webHidden/>
              </w:rPr>
              <w:t>1</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28" w:history="1">
            <w:r w:rsidRPr="00892566">
              <w:rPr>
                <w:rStyle w:val="Hyperlink"/>
                <w:rFonts w:cs="Times New Roman"/>
                <w:noProof/>
              </w:rPr>
              <w:t>INTRODUCTION TO THE CONCEPT OF JUDICIAL INTERVENTION IN ARBITRATION</w:t>
            </w:r>
            <w:r>
              <w:rPr>
                <w:noProof/>
                <w:webHidden/>
              </w:rPr>
              <w:tab/>
            </w:r>
            <w:r>
              <w:rPr>
                <w:noProof/>
                <w:webHidden/>
              </w:rPr>
              <w:fldChar w:fldCharType="begin"/>
            </w:r>
            <w:r>
              <w:rPr>
                <w:noProof/>
                <w:webHidden/>
              </w:rPr>
              <w:instrText xml:space="preserve"> PAGEREF _Toc80808228 \h </w:instrText>
            </w:r>
            <w:r>
              <w:rPr>
                <w:noProof/>
                <w:webHidden/>
              </w:rPr>
            </w:r>
            <w:r>
              <w:rPr>
                <w:noProof/>
                <w:webHidden/>
              </w:rPr>
              <w:fldChar w:fldCharType="separate"/>
            </w:r>
            <w:r>
              <w:rPr>
                <w:noProof/>
                <w:webHidden/>
              </w:rPr>
              <w:t>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29" w:history="1">
            <w:r w:rsidRPr="00892566">
              <w:rPr>
                <w:rStyle w:val="Hyperlink"/>
                <w:rFonts w:cs="Times New Roman"/>
                <w:noProof/>
              </w:rPr>
              <w:t>1.0.</w:t>
            </w:r>
            <w:r>
              <w:rPr>
                <w:rFonts w:cstheme="minorBidi"/>
                <w:b w:val="0"/>
                <w:bCs w:val="0"/>
                <w:smallCaps w:val="0"/>
                <w:noProof/>
                <w:sz w:val="24"/>
                <w:szCs w:val="24"/>
                <w:lang w:val="en-IE" w:eastAsia="en-GB"/>
              </w:rPr>
              <w:tab/>
            </w:r>
            <w:r w:rsidRPr="00892566">
              <w:rPr>
                <w:rStyle w:val="Hyperlink"/>
                <w:rFonts w:cs="Times New Roman"/>
                <w:noProof/>
              </w:rPr>
              <w:t>Overview</w:t>
            </w:r>
            <w:r>
              <w:rPr>
                <w:noProof/>
                <w:webHidden/>
              </w:rPr>
              <w:tab/>
            </w:r>
            <w:r>
              <w:rPr>
                <w:noProof/>
                <w:webHidden/>
              </w:rPr>
              <w:fldChar w:fldCharType="begin"/>
            </w:r>
            <w:r>
              <w:rPr>
                <w:noProof/>
                <w:webHidden/>
              </w:rPr>
              <w:instrText xml:space="preserve"> PAGEREF _Toc80808229 \h </w:instrText>
            </w:r>
            <w:r>
              <w:rPr>
                <w:noProof/>
                <w:webHidden/>
              </w:rPr>
            </w:r>
            <w:r>
              <w:rPr>
                <w:noProof/>
                <w:webHidden/>
              </w:rPr>
              <w:fldChar w:fldCharType="separate"/>
            </w:r>
            <w:r>
              <w:rPr>
                <w:noProof/>
                <w:webHidden/>
              </w:rPr>
              <w:t>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0" w:history="1">
            <w:r w:rsidRPr="00892566">
              <w:rPr>
                <w:rStyle w:val="Hyperlink"/>
                <w:rFonts w:cs="Times New Roman"/>
                <w:noProof/>
              </w:rPr>
              <w:t>1.1.</w:t>
            </w:r>
            <w:r>
              <w:rPr>
                <w:rFonts w:cstheme="minorBidi"/>
                <w:b w:val="0"/>
                <w:bCs w:val="0"/>
                <w:smallCaps w:val="0"/>
                <w:noProof/>
                <w:sz w:val="24"/>
                <w:szCs w:val="24"/>
                <w:lang w:val="en-IE" w:eastAsia="en-GB"/>
              </w:rPr>
              <w:tab/>
            </w:r>
            <w:r w:rsidRPr="00892566">
              <w:rPr>
                <w:rStyle w:val="Hyperlink"/>
                <w:rFonts w:cs="Times New Roman"/>
                <w:noProof/>
              </w:rPr>
              <w:t>Research Purpose</w:t>
            </w:r>
            <w:r>
              <w:rPr>
                <w:noProof/>
                <w:webHidden/>
              </w:rPr>
              <w:tab/>
            </w:r>
            <w:r>
              <w:rPr>
                <w:noProof/>
                <w:webHidden/>
              </w:rPr>
              <w:fldChar w:fldCharType="begin"/>
            </w:r>
            <w:r>
              <w:rPr>
                <w:noProof/>
                <w:webHidden/>
              </w:rPr>
              <w:instrText xml:space="preserve"> PAGEREF _Toc80808230 \h </w:instrText>
            </w:r>
            <w:r>
              <w:rPr>
                <w:noProof/>
                <w:webHidden/>
              </w:rPr>
            </w:r>
            <w:r>
              <w:rPr>
                <w:noProof/>
                <w:webHidden/>
              </w:rPr>
              <w:fldChar w:fldCharType="separate"/>
            </w:r>
            <w:r>
              <w:rPr>
                <w:noProof/>
                <w:webHidden/>
              </w:rPr>
              <w:t>3</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1" w:history="1">
            <w:r w:rsidRPr="00892566">
              <w:rPr>
                <w:rStyle w:val="Hyperlink"/>
                <w:rFonts w:cs="Times New Roman"/>
                <w:noProof/>
              </w:rPr>
              <w:t>1.2.</w:t>
            </w:r>
            <w:r>
              <w:rPr>
                <w:rFonts w:cstheme="minorBidi"/>
                <w:b w:val="0"/>
                <w:bCs w:val="0"/>
                <w:smallCaps w:val="0"/>
                <w:noProof/>
                <w:sz w:val="24"/>
                <w:szCs w:val="24"/>
                <w:lang w:val="en-IE" w:eastAsia="en-GB"/>
              </w:rPr>
              <w:tab/>
            </w:r>
            <w:r w:rsidRPr="00892566">
              <w:rPr>
                <w:rStyle w:val="Hyperlink"/>
                <w:rFonts w:cs="Times New Roman"/>
                <w:noProof/>
              </w:rPr>
              <w:t>Research Objectives</w:t>
            </w:r>
            <w:r>
              <w:rPr>
                <w:noProof/>
                <w:webHidden/>
              </w:rPr>
              <w:tab/>
            </w:r>
            <w:r>
              <w:rPr>
                <w:noProof/>
                <w:webHidden/>
              </w:rPr>
              <w:fldChar w:fldCharType="begin"/>
            </w:r>
            <w:r>
              <w:rPr>
                <w:noProof/>
                <w:webHidden/>
              </w:rPr>
              <w:instrText xml:space="preserve"> PAGEREF _Toc80808231 \h </w:instrText>
            </w:r>
            <w:r>
              <w:rPr>
                <w:noProof/>
                <w:webHidden/>
              </w:rPr>
            </w:r>
            <w:r>
              <w:rPr>
                <w:noProof/>
                <w:webHidden/>
              </w:rPr>
              <w:fldChar w:fldCharType="separate"/>
            </w:r>
            <w:r>
              <w:rPr>
                <w:noProof/>
                <w:webHidden/>
              </w:rPr>
              <w:t>4</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2" w:history="1">
            <w:r w:rsidRPr="00892566">
              <w:rPr>
                <w:rStyle w:val="Hyperlink"/>
                <w:rFonts w:cs="Times New Roman"/>
                <w:noProof/>
              </w:rPr>
              <w:t>1.3.</w:t>
            </w:r>
            <w:r>
              <w:rPr>
                <w:rFonts w:cstheme="minorBidi"/>
                <w:b w:val="0"/>
                <w:bCs w:val="0"/>
                <w:smallCaps w:val="0"/>
                <w:noProof/>
                <w:sz w:val="24"/>
                <w:szCs w:val="24"/>
                <w:lang w:val="en-IE" w:eastAsia="en-GB"/>
              </w:rPr>
              <w:tab/>
            </w:r>
            <w:r w:rsidRPr="00892566">
              <w:rPr>
                <w:rStyle w:val="Hyperlink"/>
                <w:rFonts w:cs="Times New Roman"/>
                <w:noProof/>
              </w:rPr>
              <w:t>Significance of the Study</w:t>
            </w:r>
            <w:r>
              <w:rPr>
                <w:noProof/>
                <w:webHidden/>
              </w:rPr>
              <w:tab/>
            </w:r>
            <w:r>
              <w:rPr>
                <w:noProof/>
                <w:webHidden/>
              </w:rPr>
              <w:fldChar w:fldCharType="begin"/>
            </w:r>
            <w:r>
              <w:rPr>
                <w:noProof/>
                <w:webHidden/>
              </w:rPr>
              <w:instrText xml:space="preserve"> PAGEREF _Toc80808232 \h </w:instrText>
            </w:r>
            <w:r>
              <w:rPr>
                <w:noProof/>
                <w:webHidden/>
              </w:rPr>
            </w:r>
            <w:r>
              <w:rPr>
                <w:noProof/>
                <w:webHidden/>
              </w:rPr>
              <w:fldChar w:fldCharType="separate"/>
            </w:r>
            <w:r>
              <w:rPr>
                <w:noProof/>
                <w:webHidden/>
              </w:rPr>
              <w:t>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3" w:history="1">
            <w:r w:rsidRPr="00892566">
              <w:rPr>
                <w:rStyle w:val="Hyperlink"/>
                <w:rFonts w:cs="Times New Roman"/>
                <w:noProof/>
              </w:rPr>
              <w:t>1.4.</w:t>
            </w:r>
            <w:r>
              <w:rPr>
                <w:rFonts w:cstheme="minorBidi"/>
                <w:b w:val="0"/>
                <w:bCs w:val="0"/>
                <w:smallCaps w:val="0"/>
                <w:noProof/>
                <w:sz w:val="24"/>
                <w:szCs w:val="24"/>
                <w:lang w:val="en-IE" w:eastAsia="en-GB"/>
              </w:rPr>
              <w:tab/>
            </w:r>
            <w:r w:rsidRPr="00892566">
              <w:rPr>
                <w:rStyle w:val="Hyperlink"/>
                <w:rFonts w:cs="Times New Roman"/>
                <w:noProof/>
              </w:rPr>
              <w:t>Structure of the study</w:t>
            </w:r>
            <w:r>
              <w:rPr>
                <w:noProof/>
                <w:webHidden/>
              </w:rPr>
              <w:tab/>
            </w:r>
            <w:r>
              <w:rPr>
                <w:noProof/>
                <w:webHidden/>
              </w:rPr>
              <w:fldChar w:fldCharType="begin"/>
            </w:r>
            <w:r>
              <w:rPr>
                <w:noProof/>
                <w:webHidden/>
              </w:rPr>
              <w:instrText xml:space="preserve"> PAGEREF _Toc80808233 \h </w:instrText>
            </w:r>
            <w:r>
              <w:rPr>
                <w:noProof/>
                <w:webHidden/>
              </w:rPr>
            </w:r>
            <w:r>
              <w:rPr>
                <w:noProof/>
                <w:webHidden/>
              </w:rPr>
              <w:fldChar w:fldCharType="separate"/>
            </w:r>
            <w:r>
              <w:rPr>
                <w:noProof/>
                <w:webHidden/>
              </w:rPr>
              <w:t>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4" w:history="1">
            <w:r w:rsidRPr="00892566">
              <w:rPr>
                <w:rStyle w:val="Hyperlink"/>
                <w:rFonts w:cs="Times New Roman"/>
                <w:noProof/>
              </w:rPr>
              <w:t>1.5.</w:t>
            </w:r>
            <w:r>
              <w:rPr>
                <w:rFonts w:cstheme="minorBidi"/>
                <w:b w:val="0"/>
                <w:bCs w:val="0"/>
                <w:smallCaps w:val="0"/>
                <w:noProof/>
                <w:sz w:val="24"/>
                <w:szCs w:val="24"/>
                <w:lang w:val="en-IE" w:eastAsia="en-GB"/>
              </w:rPr>
              <w:tab/>
            </w:r>
            <w:r w:rsidRPr="00892566">
              <w:rPr>
                <w:rStyle w:val="Hyperlink"/>
                <w:rFonts w:cs="Times New Roman"/>
                <w:noProof/>
              </w:rPr>
              <w:t>Conclusion</w:t>
            </w:r>
            <w:r>
              <w:rPr>
                <w:noProof/>
                <w:webHidden/>
              </w:rPr>
              <w:tab/>
            </w:r>
            <w:r>
              <w:rPr>
                <w:noProof/>
                <w:webHidden/>
              </w:rPr>
              <w:fldChar w:fldCharType="begin"/>
            </w:r>
            <w:r>
              <w:rPr>
                <w:noProof/>
                <w:webHidden/>
              </w:rPr>
              <w:instrText xml:space="preserve"> PAGEREF _Toc80808234 \h </w:instrText>
            </w:r>
            <w:r>
              <w:rPr>
                <w:noProof/>
                <w:webHidden/>
              </w:rPr>
            </w:r>
            <w:r>
              <w:rPr>
                <w:noProof/>
                <w:webHidden/>
              </w:rPr>
              <w:fldChar w:fldCharType="separate"/>
            </w:r>
            <w:r>
              <w:rPr>
                <w:noProof/>
                <w:webHidden/>
              </w:rPr>
              <w:t>6</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35" w:history="1">
            <w:r w:rsidRPr="00892566">
              <w:rPr>
                <w:rStyle w:val="Hyperlink"/>
                <w:rFonts w:cs="Times New Roman"/>
                <w:noProof/>
              </w:rPr>
              <w:t>2</w:t>
            </w:r>
            <w:r>
              <w:rPr>
                <w:noProof/>
                <w:sz w:val="24"/>
                <w:szCs w:val="24"/>
                <w:lang w:val="en-IE" w:eastAsia="en-GB"/>
              </w:rPr>
              <w:tab/>
            </w:r>
            <w:r w:rsidRPr="00892566">
              <w:rPr>
                <w:rStyle w:val="Hyperlink"/>
                <w:rFonts w:cs="Times New Roman"/>
                <w:noProof/>
              </w:rPr>
              <w:t>CHAPTER TWO</w:t>
            </w:r>
            <w:r>
              <w:rPr>
                <w:noProof/>
                <w:webHidden/>
              </w:rPr>
              <w:tab/>
            </w:r>
            <w:r>
              <w:rPr>
                <w:noProof/>
                <w:webHidden/>
              </w:rPr>
              <w:fldChar w:fldCharType="begin"/>
            </w:r>
            <w:r>
              <w:rPr>
                <w:noProof/>
                <w:webHidden/>
              </w:rPr>
              <w:instrText xml:space="preserve"> PAGEREF _Toc80808235 \h </w:instrText>
            </w:r>
            <w:r>
              <w:rPr>
                <w:noProof/>
                <w:webHidden/>
              </w:rPr>
            </w:r>
            <w:r>
              <w:rPr>
                <w:noProof/>
                <w:webHidden/>
              </w:rPr>
              <w:fldChar w:fldCharType="separate"/>
            </w:r>
            <w:r>
              <w:rPr>
                <w:noProof/>
                <w:webHidden/>
              </w:rPr>
              <w:t>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6" w:history="1">
            <w:r w:rsidRPr="00892566">
              <w:rPr>
                <w:rStyle w:val="Hyperlink"/>
                <w:rFonts w:cs="Times New Roman"/>
                <w:noProof/>
              </w:rPr>
              <w:t>2.1</w:t>
            </w:r>
            <w:r>
              <w:rPr>
                <w:rFonts w:cstheme="minorBidi"/>
                <w:b w:val="0"/>
                <w:bCs w:val="0"/>
                <w:smallCaps w:val="0"/>
                <w:noProof/>
                <w:sz w:val="24"/>
                <w:szCs w:val="24"/>
                <w:lang w:val="en-IE" w:eastAsia="en-GB"/>
              </w:rPr>
              <w:tab/>
            </w:r>
            <w:r w:rsidRPr="00892566">
              <w:rPr>
                <w:rStyle w:val="Hyperlink"/>
                <w:rFonts w:cs="Times New Roman"/>
                <w:noProof/>
              </w:rPr>
              <w:t>Overview</w:t>
            </w:r>
            <w:r>
              <w:rPr>
                <w:noProof/>
                <w:webHidden/>
              </w:rPr>
              <w:tab/>
            </w:r>
            <w:r>
              <w:rPr>
                <w:noProof/>
                <w:webHidden/>
              </w:rPr>
              <w:fldChar w:fldCharType="begin"/>
            </w:r>
            <w:r>
              <w:rPr>
                <w:noProof/>
                <w:webHidden/>
              </w:rPr>
              <w:instrText xml:space="preserve"> PAGEREF _Toc80808236 \h </w:instrText>
            </w:r>
            <w:r>
              <w:rPr>
                <w:noProof/>
                <w:webHidden/>
              </w:rPr>
            </w:r>
            <w:r>
              <w:rPr>
                <w:noProof/>
                <w:webHidden/>
              </w:rPr>
              <w:fldChar w:fldCharType="separate"/>
            </w:r>
            <w:r>
              <w:rPr>
                <w:noProof/>
                <w:webHidden/>
              </w:rPr>
              <w:t>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7" w:history="1">
            <w:r w:rsidRPr="00892566">
              <w:rPr>
                <w:rStyle w:val="Hyperlink"/>
                <w:rFonts w:cs="Times New Roman"/>
                <w:noProof/>
              </w:rPr>
              <w:t>2.1.1</w:t>
            </w:r>
            <w:r>
              <w:rPr>
                <w:rFonts w:cstheme="minorBidi"/>
                <w:b w:val="0"/>
                <w:bCs w:val="0"/>
                <w:smallCaps w:val="0"/>
                <w:noProof/>
                <w:sz w:val="24"/>
                <w:szCs w:val="24"/>
                <w:lang w:val="en-IE" w:eastAsia="en-GB"/>
              </w:rPr>
              <w:tab/>
            </w:r>
            <w:r w:rsidRPr="00892566">
              <w:rPr>
                <w:rStyle w:val="Hyperlink"/>
                <w:rFonts w:cs="Times New Roman"/>
                <w:iCs/>
                <w:noProof/>
                <w:spacing w:val="20"/>
              </w:rPr>
              <w:t>Meaning of Arbitration</w:t>
            </w:r>
            <w:r>
              <w:rPr>
                <w:noProof/>
                <w:webHidden/>
              </w:rPr>
              <w:tab/>
            </w:r>
            <w:r>
              <w:rPr>
                <w:noProof/>
                <w:webHidden/>
              </w:rPr>
              <w:fldChar w:fldCharType="begin"/>
            </w:r>
            <w:r>
              <w:rPr>
                <w:noProof/>
                <w:webHidden/>
              </w:rPr>
              <w:instrText xml:space="preserve"> PAGEREF _Toc80808237 \h </w:instrText>
            </w:r>
            <w:r>
              <w:rPr>
                <w:noProof/>
                <w:webHidden/>
              </w:rPr>
            </w:r>
            <w:r>
              <w:rPr>
                <w:noProof/>
                <w:webHidden/>
              </w:rPr>
              <w:fldChar w:fldCharType="separate"/>
            </w:r>
            <w:r>
              <w:rPr>
                <w:noProof/>
                <w:webHidden/>
              </w:rPr>
              <w:t>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38" w:history="1">
            <w:r w:rsidRPr="00892566">
              <w:rPr>
                <w:rStyle w:val="Hyperlink"/>
                <w:rFonts w:cs="Times New Roman"/>
                <w:noProof/>
              </w:rPr>
              <w:t>2.2.</w:t>
            </w:r>
            <w:r>
              <w:rPr>
                <w:rFonts w:cstheme="minorBidi"/>
                <w:b w:val="0"/>
                <w:bCs w:val="0"/>
                <w:smallCaps w:val="0"/>
                <w:noProof/>
                <w:sz w:val="24"/>
                <w:szCs w:val="24"/>
                <w:lang w:val="en-IE" w:eastAsia="en-GB"/>
              </w:rPr>
              <w:tab/>
            </w:r>
            <w:r w:rsidRPr="00892566">
              <w:rPr>
                <w:rStyle w:val="Hyperlink"/>
                <w:rFonts w:cs="Times New Roman"/>
                <w:noProof/>
              </w:rPr>
              <w:t>The underlying concepts in international commercial arbitration</w:t>
            </w:r>
            <w:r>
              <w:rPr>
                <w:noProof/>
                <w:webHidden/>
              </w:rPr>
              <w:tab/>
            </w:r>
            <w:r>
              <w:rPr>
                <w:noProof/>
                <w:webHidden/>
              </w:rPr>
              <w:fldChar w:fldCharType="begin"/>
            </w:r>
            <w:r>
              <w:rPr>
                <w:noProof/>
                <w:webHidden/>
              </w:rPr>
              <w:instrText xml:space="preserve"> PAGEREF _Toc80808238 \h </w:instrText>
            </w:r>
            <w:r>
              <w:rPr>
                <w:noProof/>
                <w:webHidden/>
              </w:rPr>
            </w:r>
            <w:r>
              <w:rPr>
                <w:noProof/>
                <w:webHidden/>
              </w:rPr>
              <w:fldChar w:fldCharType="separate"/>
            </w:r>
            <w:r>
              <w:rPr>
                <w:noProof/>
                <w:webHidden/>
              </w:rPr>
              <w:t>8</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39" w:history="1">
            <w:r w:rsidRPr="00892566">
              <w:rPr>
                <w:rStyle w:val="Hyperlink"/>
                <w:rFonts w:cs="Times New Roman"/>
                <w:noProof/>
              </w:rPr>
              <w:t>2.2.1</w:t>
            </w:r>
            <w:r>
              <w:rPr>
                <w:rFonts w:cstheme="minorBidi"/>
                <w:smallCaps w:val="0"/>
                <w:noProof/>
                <w:sz w:val="24"/>
                <w:szCs w:val="24"/>
                <w:lang w:val="en-IE" w:eastAsia="en-GB"/>
              </w:rPr>
              <w:tab/>
            </w:r>
            <w:r w:rsidRPr="00892566">
              <w:rPr>
                <w:rStyle w:val="Hyperlink"/>
                <w:rFonts w:cs="Times New Roman"/>
                <w:noProof/>
              </w:rPr>
              <w:t>Party Autonomy</w:t>
            </w:r>
            <w:r>
              <w:rPr>
                <w:noProof/>
                <w:webHidden/>
              </w:rPr>
              <w:tab/>
            </w:r>
            <w:r>
              <w:rPr>
                <w:noProof/>
                <w:webHidden/>
              </w:rPr>
              <w:fldChar w:fldCharType="begin"/>
            </w:r>
            <w:r>
              <w:rPr>
                <w:noProof/>
                <w:webHidden/>
              </w:rPr>
              <w:instrText xml:space="preserve"> PAGEREF _Toc80808239 \h </w:instrText>
            </w:r>
            <w:r>
              <w:rPr>
                <w:noProof/>
                <w:webHidden/>
              </w:rPr>
            </w:r>
            <w:r>
              <w:rPr>
                <w:noProof/>
                <w:webHidden/>
              </w:rPr>
              <w:fldChar w:fldCharType="separate"/>
            </w:r>
            <w:r>
              <w:rPr>
                <w:noProof/>
                <w:webHidden/>
              </w:rPr>
              <w:t>8</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0" w:history="1">
            <w:r w:rsidRPr="00892566">
              <w:rPr>
                <w:rStyle w:val="Hyperlink"/>
                <w:rFonts w:cs="Times New Roman"/>
                <w:noProof/>
              </w:rPr>
              <w:t>2.2.2</w:t>
            </w:r>
            <w:r>
              <w:rPr>
                <w:rFonts w:cstheme="minorBidi"/>
                <w:smallCaps w:val="0"/>
                <w:noProof/>
                <w:sz w:val="24"/>
                <w:szCs w:val="24"/>
                <w:lang w:val="en-IE" w:eastAsia="en-GB"/>
              </w:rPr>
              <w:tab/>
            </w:r>
            <w:r w:rsidRPr="00892566">
              <w:rPr>
                <w:rStyle w:val="Hyperlink"/>
                <w:rFonts w:cs="Times New Roman"/>
                <w:noProof/>
              </w:rPr>
              <w:t>Doctrine of Separability</w:t>
            </w:r>
            <w:r>
              <w:rPr>
                <w:noProof/>
                <w:webHidden/>
              </w:rPr>
              <w:tab/>
            </w:r>
            <w:r>
              <w:rPr>
                <w:noProof/>
                <w:webHidden/>
              </w:rPr>
              <w:fldChar w:fldCharType="begin"/>
            </w:r>
            <w:r>
              <w:rPr>
                <w:noProof/>
                <w:webHidden/>
              </w:rPr>
              <w:instrText xml:space="preserve"> PAGEREF _Toc80808240 \h </w:instrText>
            </w:r>
            <w:r>
              <w:rPr>
                <w:noProof/>
                <w:webHidden/>
              </w:rPr>
            </w:r>
            <w:r>
              <w:rPr>
                <w:noProof/>
                <w:webHidden/>
              </w:rPr>
              <w:fldChar w:fldCharType="separate"/>
            </w:r>
            <w:r>
              <w:rPr>
                <w:noProof/>
                <w:webHidden/>
              </w:rPr>
              <w:t>10</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1" w:history="1">
            <w:r w:rsidRPr="00892566">
              <w:rPr>
                <w:rStyle w:val="Hyperlink"/>
                <w:rFonts w:cs="Times New Roman"/>
                <w:noProof/>
              </w:rPr>
              <w:t>2.2.3</w:t>
            </w:r>
            <w:r>
              <w:rPr>
                <w:rFonts w:cstheme="minorBidi"/>
                <w:smallCaps w:val="0"/>
                <w:noProof/>
                <w:sz w:val="24"/>
                <w:szCs w:val="24"/>
                <w:lang w:val="en-IE" w:eastAsia="en-GB"/>
              </w:rPr>
              <w:tab/>
            </w:r>
            <w:r w:rsidRPr="00892566">
              <w:rPr>
                <w:rStyle w:val="Hyperlink"/>
                <w:rFonts w:cs="Times New Roman"/>
                <w:noProof/>
              </w:rPr>
              <w:t>Competence-competence doctrine</w:t>
            </w:r>
            <w:r>
              <w:rPr>
                <w:noProof/>
                <w:webHidden/>
              </w:rPr>
              <w:tab/>
            </w:r>
            <w:r>
              <w:rPr>
                <w:noProof/>
                <w:webHidden/>
              </w:rPr>
              <w:fldChar w:fldCharType="begin"/>
            </w:r>
            <w:r>
              <w:rPr>
                <w:noProof/>
                <w:webHidden/>
              </w:rPr>
              <w:instrText xml:space="preserve"> PAGEREF _Toc80808241 \h </w:instrText>
            </w:r>
            <w:r>
              <w:rPr>
                <w:noProof/>
                <w:webHidden/>
              </w:rPr>
            </w:r>
            <w:r>
              <w:rPr>
                <w:noProof/>
                <w:webHidden/>
              </w:rPr>
              <w:fldChar w:fldCharType="separate"/>
            </w:r>
            <w:r>
              <w:rPr>
                <w:noProof/>
                <w:webHidden/>
              </w:rPr>
              <w:t>11</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2" w:history="1">
            <w:r w:rsidRPr="00892566">
              <w:rPr>
                <w:rStyle w:val="Hyperlink"/>
                <w:rFonts w:cs="Times New Roman"/>
                <w:noProof/>
              </w:rPr>
              <w:t>2.2.4</w:t>
            </w:r>
            <w:r>
              <w:rPr>
                <w:rFonts w:cstheme="minorBidi"/>
                <w:smallCaps w:val="0"/>
                <w:noProof/>
                <w:sz w:val="24"/>
                <w:szCs w:val="24"/>
                <w:lang w:val="en-IE" w:eastAsia="en-GB"/>
              </w:rPr>
              <w:tab/>
            </w:r>
            <w:r w:rsidRPr="00892566">
              <w:rPr>
                <w:rStyle w:val="Hyperlink"/>
                <w:rFonts w:cs="Times New Roman"/>
                <w:noProof/>
              </w:rPr>
              <w:t>The effects of an Arbitration Agreement</w:t>
            </w:r>
            <w:r>
              <w:rPr>
                <w:noProof/>
                <w:webHidden/>
              </w:rPr>
              <w:tab/>
            </w:r>
            <w:r>
              <w:rPr>
                <w:noProof/>
                <w:webHidden/>
              </w:rPr>
              <w:fldChar w:fldCharType="begin"/>
            </w:r>
            <w:r>
              <w:rPr>
                <w:noProof/>
                <w:webHidden/>
              </w:rPr>
              <w:instrText xml:space="preserve"> PAGEREF _Toc80808242 \h </w:instrText>
            </w:r>
            <w:r>
              <w:rPr>
                <w:noProof/>
                <w:webHidden/>
              </w:rPr>
            </w:r>
            <w:r>
              <w:rPr>
                <w:noProof/>
                <w:webHidden/>
              </w:rPr>
              <w:fldChar w:fldCharType="separate"/>
            </w:r>
            <w:r>
              <w:rPr>
                <w:noProof/>
                <w:webHidden/>
              </w:rPr>
              <w:t>11</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3" w:history="1">
            <w:r w:rsidRPr="00892566">
              <w:rPr>
                <w:rStyle w:val="Hyperlink"/>
                <w:rFonts w:cs="Times New Roman"/>
                <w:noProof/>
              </w:rPr>
              <w:t>2.2.5</w:t>
            </w:r>
            <w:r>
              <w:rPr>
                <w:rFonts w:cstheme="minorBidi"/>
                <w:smallCaps w:val="0"/>
                <w:noProof/>
                <w:sz w:val="24"/>
                <w:szCs w:val="24"/>
                <w:lang w:val="en-IE" w:eastAsia="en-GB"/>
              </w:rPr>
              <w:tab/>
            </w:r>
            <w:r w:rsidRPr="00892566">
              <w:rPr>
                <w:rStyle w:val="Hyperlink"/>
                <w:rFonts w:cs="Times New Roman"/>
                <w:noProof/>
              </w:rPr>
              <w:t>Scope of arbitration and arbitrability</w:t>
            </w:r>
            <w:r>
              <w:rPr>
                <w:noProof/>
                <w:webHidden/>
              </w:rPr>
              <w:tab/>
            </w:r>
            <w:r>
              <w:rPr>
                <w:noProof/>
                <w:webHidden/>
              </w:rPr>
              <w:fldChar w:fldCharType="begin"/>
            </w:r>
            <w:r>
              <w:rPr>
                <w:noProof/>
                <w:webHidden/>
              </w:rPr>
              <w:instrText xml:space="preserve"> PAGEREF _Toc80808243 \h </w:instrText>
            </w:r>
            <w:r>
              <w:rPr>
                <w:noProof/>
                <w:webHidden/>
              </w:rPr>
            </w:r>
            <w:r>
              <w:rPr>
                <w:noProof/>
                <w:webHidden/>
              </w:rPr>
              <w:fldChar w:fldCharType="separate"/>
            </w:r>
            <w:r>
              <w:rPr>
                <w:noProof/>
                <w:webHidden/>
              </w:rPr>
              <w:t>12</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4" w:history="1">
            <w:r w:rsidRPr="00892566">
              <w:rPr>
                <w:rStyle w:val="Hyperlink"/>
                <w:rFonts w:cs="Times New Roman"/>
                <w:noProof/>
              </w:rPr>
              <w:t>2.2.6</w:t>
            </w:r>
            <w:r>
              <w:rPr>
                <w:rFonts w:cstheme="minorBidi"/>
                <w:smallCaps w:val="0"/>
                <w:noProof/>
                <w:sz w:val="24"/>
                <w:szCs w:val="24"/>
                <w:lang w:val="en-IE" w:eastAsia="en-GB"/>
              </w:rPr>
              <w:tab/>
            </w:r>
            <w:r w:rsidRPr="00892566">
              <w:rPr>
                <w:rStyle w:val="Hyperlink"/>
                <w:rFonts w:cs="Times New Roman"/>
                <w:noProof/>
              </w:rPr>
              <w:t>The seat of arbitration</w:t>
            </w:r>
            <w:r>
              <w:rPr>
                <w:noProof/>
                <w:webHidden/>
              </w:rPr>
              <w:tab/>
            </w:r>
            <w:r>
              <w:rPr>
                <w:noProof/>
                <w:webHidden/>
              </w:rPr>
              <w:fldChar w:fldCharType="begin"/>
            </w:r>
            <w:r>
              <w:rPr>
                <w:noProof/>
                <w:webHidden/>
              </w:rPr>
              <w:instrText xml:space="preserve"> PAGEREF _Toc80808244 \h </w:instrText>
            </w:r>
            <w:r>
              <w:rPr>
                <w:noProof/>
                <w:webHidden/>
              </w:rPr>
            </w:r>
            <w:r>
              <w:rPr>
                <w:noProof/>
                <w:webHidden/>
              </w:rPr>
              <w:fldChar w:fldCharType="separate"/>
            </w:r>
            <w:r>
              <w:rPr>
                <w:noProof/>
                <w:webHidden/>
              </w:rPr>
              <w:t>13</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5" w:history="1">
            <w:r w:rsidRPr="00892566">
              <w:rPr>
                <w:rStyle w:val="Hyperlink"/>
                <w:rFonts w:cs="Times New Roman"/>
                <w:noProof/>
              </w:rPr>
              <w:t>2.2.7</w:t>
            </w:r>
            <w:r>
              <w:rPr>
                <w:rFonts w:cstheme="minorBidi"/>
                <w:smallCaps w:val="0"/>
                <w:noProof/>
                <w:sz w:val="24"/>
                <w:szCs w:val="24"/>
                <w:lang w:val="en-IE" w:eastAsia="en-GB"/>
              </w:rPr>
              <w:tab/>
            </w:r>
            <w:r w:rsidRPr="00892566">
              <w:rPr>
                <w:rStyle w:val="Hyperlink"/>
                <w:rFonts w:cs="Times New Roman"/>
                <w:noProof/>
              </w:rPr>
              <w:t>Judicial non-interference in arbitration</w:t>
            </w:r>
            <w:r>
              <w:rPr>
                <w:noProof/>
                <w:webHidden/>
              </w:rPr>
              <w:tab/>
            </w:r>
            <w:r>
              <w:rPr>
                <w:noProof/>
                <w:webHidden/>
              </w:rPr>
              <w:fldChar w:fldCharType="begin"/>
            </w:r>
            <w:r>
              <w:rPr>
                <w:noProof/>
                <w:webHidden/>
              </w:rPr>
              <w:instrText xml:space="preserve"> PAGEREF _Toc80808245 \h </w:instrText>
            </w:r>
            <w:r>
              <w:rPr>
                <w:noProof/>
                <w:webHidden/>
              </w:rPr>
            </w:r>
            <w:r>
              <w:rPr>
                <w:noProof/>
                <w:webHidden/>
              </w:rPr>
              <w:fldChar w:fldCharType="separate"/>
            </w:r>
            <w:r>
              <w:rPr>
                <w:noProof/>
                <w:webHidden/>
              </w:rPr>
              <w:t>13</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6" w:history="1">
            <w:r w:rsidRPr="00892566">
              <w:rPr>
                <w:rStyle w:val="Hyperlink"/>
                <w:rFonts w:cs="Times New Roman"/>
                <w:noProof/>
              </w:rPr>
              <w:t>2.2.8</w:t>
            </w:r>
            <w:r>
              <w:rPr>
                <w:rFonts w:cstheme="minorBidi"/>
                <w:smallCaps w:val="0"/>
                <w:noProof/>
                <w:sz w:val="24"/>
                <w:szCs w:val="24"/>
                <w:lang w:val="en-IE" w:eastAsia="en-GB"/>
              </w:rPr>
              <w:tab/>
            </w:r>
            <w:r w:rsidRPr="00892566">
              <w:rPr>
                <w:rStyle w:val="Hyperlink"/>
                <w:rFonts w:cs="Times New Roman"/>
                <w:noProof/>
              </w:rPr>
              <w:t>Judicial Intervention v Judicial Interference</w:t>
            </w:r>
            <w:r>
              <w:rPr>
                <w:noProof/>
                <w:webHidden/>
              </w:rPr>
              <w:tab/>
            </w:r>
            <w:r>
              <w:rPr>
                <w:noProof/>
                <w:webHidden/>
              </w:rPr>
              <w:fldChar w:fldCharType="begin"/>
            </w:r>
            <w:r>
              <w:rPr>
                <w:noProof/>
                <w:webHidden/>
              </w:rPr>
              <w:instrText xml:space="preserve"> PAGEREF _Toc80808246 \h </w:instrText>
            </w:r>
            <w:r>
              <w:rPr>
                <w:noProof/>
                <w:webHidden/>
              </w:rPr>
            </w:r>
            <w:r>
              <w:rPr>
                <w:noProof/>
                <w:webHidden/>
              </w:rPr>
              <w:fldChar w:fldCharType="separate"/>
            </w:r>
            <w:r>
              <w:rPr>
                <w:noProof/>
                <w:webHidden/>
              </w:rPr>
              <w:t>14</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47" w:history="1">
            <w:r w:rsidRPr="00892566">
              <w:rPr>
                <w:rStyle w:val="Hyperlink"/>
                <w:rFonts w:cs="Times New Roman"/>
                <w:noProof/>
              </w:rPr>
              <w:t>2.2.9</w:t>
            </w:r>
            <w:r>
              <w:rPr>
                <w:rFonts w:cstheme="minorBidi"/>
                <w:smallCaps w:val="0"/>
                <w:noProof/>
                <w:sz w:val="24"/>
                <w:szCs w:val="24"/>
                <w:lang w:val="en-IE" w:eastAsia="en-GB"/>
              </w:rPr>
              <w:tab/>
            </w:r>
            <w:r w:rsidRPr="00892566">
              <w:rPr>
                <w:rStyle w:val="Hyperlink"/>
                <w:rFonts w:cs="Times New Roman"/>
                <w:noProof/>
              </w:rPr>
              <w:t>Judicial Intervention in the arbitral process in Nigeria</w:t>
            </w:r>
            <w:r>
              <w:rPr>
                <w:noProof/>
                <w:webHidden/>
              </w:rPr>
              <w:tab/>
            </w:r>
            <w:r>
              <w:rPr>
                <w:noProof/>
                <w:webHidden/>
              </w:rPr>
              <w:fldChar w:fldCharType="begin"/>
            </w:r>
            <w:r>
              <w:rPr>
                <w:noProof/>
                <w:webHidden/>
              </w:rPr>
              <w:instrText xml:space="preserve"> PAGEREF _Toc80808247 \h </w:instrText>
            </w:r>
            <w:r>
              <w:rPr>
                <w:noProof/>
                <w:webHidden/>
              </w:rPr>
            </w:r>
            <w:r>
              <w:rPr>
                <w:noProof/>
                <w:webHidden/>
              </w:rPr>
              <w:fldChar w:fldCharType="separate"/>
            </w:r>
            <w:r>
              <w:rPr>
                <w:noProof/>
                <w:webHidden/>
              </w:rPr>
              <w:t>15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48" w:history="1">
            <w:r w:rsidRPr="00892566">
              <w:rPr>
                <w:rStyle w:val="Hyperlink"/>
                <w:rFonts w:cs="Times New Roman"/>
                <w:noProof/>
              </w:rPr>
              <w:t>2.3</w:t>
            </w:r>
            <w:r>
              <w:rPr>
                <w:rFonts w:cstheme="minorBidi"/>
                <w:b w:val="0"/>
                <w:bCs w:val="0"/>
                <w:smallCaps w:val="0"/>
                <w:noProof/>
                <w:sz w:val="24"/>
                <w:szCs w:val="24"/>
                <w:lang w:val="en-IE" w:eastAsia="en-GB"/>
              </w:rPr>
              <w:tab/>
            </w:r>
            <w:r w:rsidRPr="00892566">
              <w:rPr>
                <w:rStyle w:val="Hyperlink"/>
                <w:rFonts w:cs="Times New Roman"/>
                <w:noProof/>
              </w:rPr>
              <w:t>Conclusion</w:t>
            </w:r>
            <w:r>
              <w:rPr>
                <w:noProof/>
                <w:webHidden/>
              </w:rPr>
              <w:tab/>
            </w:r>
            <w:r>
              <w:rPr>
                <w:noProof/>
                <w:webHidden/>
              </w:rPr>
              <w:fldChar w:fldCharType="begin"/>
            </w:r>
            <w:r>
              <w:rPr>
                <w:noProof/>
                <w:webHidden/>
              </w:rPr>
              <w:instrText xml:space="preserve"> PAGEREF _Toc80808248 \h </w:instrText>
            </w:r>
            <w:r>
              <w:rPr>
                <w:noProof/>
                <w:webHidden/>
              </w:rPr>
            </w:r>
            <w:r>
              <w:rPr>
                <w:noProof/>
                <w:webHidden/>
              </w:rPr>
              <w:fldChar w:fldCharType="separate"/>
            </w:r>
            <w:r>
              <w:rPr>
                <w:noProof/>
                <w:webHidden/>
              </w:rPr>
              <w:t>16</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49" w:history="1">
            <w:r w:rsidRPr="00892566">
              <w:rPr>
                <w:rStyle w:val="Hyperlink"/>
                <w:rFonts w:cs="Times New Roman"/>
                <w:noProof/>
              </w:rPr>
              <w:t>3</w:t>
            </w:r>
            <w:r>
              <w:rPr>
                <w:noProof/>
                <w:sz w:val="24"/>
                <w:szCs w:val="24"/>
                <w:lang w:val="en-IE" w:eastAsia="en-GB"/>
              </w:rPr>
              <w:tab/>
            </w:r>
            <w:r w:rsidRPr="00892566">
              <w:rPr>
                <w:rStyle w:val="Hyperlink"/>
                <w:rFonts w:cs="Times New Roman"/>
                <w:noProof/>
              </w:rPr>
              <w:t>CHAPTER THREE</w:t>
            </w:r>
            <w:r>
              <w:rPr>
                <w:noProof/>
                <w:webHidden/>
              </w:rPr>
              <w:tab/>
            </w:r>
            <w:r>
              <w:rPr>
                <w:noProof/>
                <w:webHidden/>
              </w:rPr>
              <w:fldChar w:fldCharType="begin"/>
            </w:r>
            <w:r>
              <w:rPr>
                <w:noProof/>
                <w:webHidden/>
              </w:rPr>
              <w:instrText xml:space="preserve"> PAGEREF _Toc80808249 \h </w:instrText>
            </w:r>
            <w:r>
              <w:rPr>
                <w:noProof/>
                <w:webHidden/>
              </w:rPr>
            </w:r>
            <w:r>
              <w:rPr>
                <w:noProof/>
                <w:webHidden/>
              </w:rPr>
              <w:fldChar w:fldCharType="separate"/>
            </w:r>
            <w:r>
              <w:rPr>
                <w:noProof/>
                <w:webHidden/>
              </w:rPr>
              <w:t>17</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50" w:history="1">
            <w:r w:rsidRPr="00892566">
              <w:rPr>
                <w:rStyle w:val="Hyperlink"/>
                <w:rFonts w:eastAsiaTheme="minorHAnsi" w:cs="Times New Roman"/>
                <w:noProof/>
                <w:lang w:val="en-US"/>
              </w:rPr>
              <w:t>RESEARCH METHODOLOGY</w:t>
            </w:r>
            <w:r>
              <w:rPr>
                <w:noProof/>
                <w:webHidden/>
              </w:rPr>
              <w:tab/>
            </w:r>
            <w:r>
              <w:rPr>
                <w:noProof/>
                <w:webHidden/>
              </w:rPr>
              <w:fldChar w:fldCharType="begin"/>
            </w:r>
            <w:r>
              <w:rPr>
                <w:noProof/>
                <w:webHidden/>
              </w:rPr>
              <w:instrText xml:space="preserve"> PAGEREF _Toc80808250 \h </w:instrText>
            </w:r>
            <w:r>
              <w:rPr>
                <w:noProof/>
                <w:webHidden/>
              </w:rPr>
            </w:r>
            <w:r>
              <w:rPr>
                <w:noProof/>
                <w:webHidden/>
              </w:rPr>
              <w:fldChar w:fldCharType="separate"/>
            </w:r>
            <w:r>
              <w:rPr>
                <w:noProof/>
                <w:webHidden/>
              </w:rPr>
              <w:t>17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51" w:history="1">
            <w:r w:rsidRPr="00892566">
              <w:rPr>
                <w:rStyle w:val="Hyperlink"/>
                <w:rFonts w:cs="Times New Roman"/>
                <w:noProof/>
              </w:rPr>
              <w:t>3.1</w:t>
            </w:r>
            <w:r>
              <w:rPr>
                <w:rFonts w:cstheme="minorBidi"/>
                <w:b w:val="0"/>
                <w:bCs w:val="0"/>
                <w:smallCaps w:val="0"/>
                <w:noProof/>
                <w:sz w:val="24"/>
                <w:szCs w:val="24"/>
                <w:lang w:val="en-IE" w:eastAsia="en-GB"/>
              </w:rPr>
              <w:tab/>
            </w:r>
            <w:r w:rsidRPr="00892566">
              <w:rPr>
                <w:rStyle w:val="Hyperlink"/>
                <w:rFonts w:cs="Times New Roman"/>
                <w:noProof/>
              </w:rPr>
              <w:t>Overview</w:t>
            </w:r>
            <w:r>
              <w:rPr>
                <w:noProof/>
                <w:webHidden/>
              </w:rPr>
              <w:tab/>
            </w:r>
            <w:r>
              <w:rPr>
                <w:noProof/>
                <w:webHidden/>
              </w:rPr>
              <w:fldChar w:fldCharType="begin"/>
            </w:r>
            <w:r>
              <w:rPr>
                <w:noProof/>
                <w:webHidden/>
              </w:rPr>
              <w:instrText xml:space="preserve"> PAGEREF _Toc80808251 \h </w:instrText>
            </w:r>
            <w:r>
              <w:rPr>
                <w:noProof/>
                <w:webHidden/>
              </w:rPr>
            </w:r>
            <w:r>
              <w:rPr>
                <w:noProof/>
                <w:webHidden/>
              </w:rPr>
              <w:fldChar w:fldCharType="separate"/>
            </w:r>
            <w:r>
              <w:rPr>
                <w:noProof/>
                <w:webHidden/>
              </w:rPr>
              <w:t>17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52" w:history="1">
            <w:r w:rsidRPr="00892566">
              <w:rPr>
                <w:rStyle w:val="Hyperlink"/>
                <w:rFonts w:cs="Times New Roman"/>
                <w:noProof/>
              </w:rPr>
              <w:t>3.2</w:t>
            </w:r>
            <w:r>
              <w:rPr>
                <w:rFonts w:cstheme="minorBidi"/>
                <w:b w:val="0"/>
                <w:bCs w:val="0"/>
                <w:smallCaps w:val="0"/>
                <w:noProof/>
                <w:sz w:val="24"/>
                <w:szCs w:val="24"/>
                <w:lang w:val="en-IE" w:eastAsia="en-GB"/>
              </w:rPr>
              <w:tab/>
            </w:r>
            <w:r w:rsidRPr="00892566">
              <w:rPr>
                <w:rStyle w:val="Hyperlink"/>
                <w:rFonts w:cs="Times New Roman"/>
                <w:noProof/>
              </w:rPr>
              <w:t>Research Paradigm</w:t>
            </w:r>
            <w:r>
              <w:rPr>
                <w:noProof/>
                <w:webHidden/>
              </w:rPr>
              <w:tab/>
            </w:r>
            <w:r>
              <w:rPr>
                <w:noProof/>
                <w:webHidden/>
              </w:rPr>
              <w:fldChar w:fldCharType="begin"/>
            </w:r>
            <w:r>
              <w:rPr>
                <w:noProof/>
                <w:webHidden/>
              </w:rPr>
              <w:instrText xml:space="preserve"> PAGEREF _Toc80808252 \h </w:instrText>
            </w:r>
            <w:r>
              <w:rPr>
                <w:noProof/>
                <w:webHidden/>
              </w:rPr>
            </w:r>
            <w:r>
              <w:rPr>
                <w:noProof/>
                <w:webHidden/>
              </w:rPr>
              <w:fldChar w:fldCharType="separate"/>
            </w:r>
            <w:r>
              <w:rPr>
                <w:noProof/>
                <w:webHidden/>
              </w:rPr>
              <w:t>17</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3" w:history="1">
            <w:r w:rsidRPr="00892566">
              <w:rPr>
                <w:rStyle w:val="Hyperlink"/>
                <w:noProof/>
              </w:rPr>
              <w:t>3.3</w:t>
            </w:r>
            <w:r>
              <w:rPr>
                <w:rFonts w:cstheme="minorBidi"/>
                <w:smallCaps w:val="0"/>
                <w:noProof/>
                <w:sz w:val="24"/>
                <w:szCs w:val="24"/>
                <w:lang w:val="en-IE" w:eastAsia="en-GB"/>
              </w:rPr>
              <w:tab/>
            </w:r>
            <w:r w:rsidRPr="00892566">
              <w:rPr>
                <w:rStyle w:val="Hyperlink"/>
                <w:noProof/>
              </w:rPr>
              <w:t>Research Design</w:t>
            </w:r>
            <w:r>
              <w:rPr>
                <w:noProof/>
                <w:webHidden/>
              </w:rPr>
              <w:tab/>
            </w:r>
            <w:r>
              <w:rPr>
                <w:noProof/>
                <w:webHidden/>
              </w:rPr>
              <w:fldChar w:fldCharType="begin"/>
            </w:r>
            <w:r>
              <w:rPr>
                <w:noProof/>
                <w:webHidden/>
              </w:rPr>
              <w:instrText xml:space="preserve"> PAGEREF _Toc80808253 \h </w:instrText>
            </w:r>
            <w:r>
              <w:rPr>
                <w:noProof/>
                <w:webHidden/>
              </w:rPr>
            </w:r>
            <w:r>
              <w:rPr>
                <w:noProof/>
                <w:webHidden/>
              </w:rPr>
              <w:fldChar w:fldCharType="separate"/>
            </w:r>
            <w:r>
              <w:rPr>
                <w:noProof/>
                <w:webHidden/>
              </w:rPr>
              <w:t>23</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4" w:history="1">
            <w:r w:rsidRPr="00892566">
              <w:rPr>
                <w:rStyle w:val="Hyperlink"/>
                <w:noProof/>
              </w:rPr>
              <w:t>3.4</w:t>
            </w:r>
            <w:r>
              <w:rPr>
                <w:rFonts w:cstheme="minorBidi"/>
                <w:smallCaps w:val="0"/>
                <w:noProof/>
                <w:sz w:val="24"/>
                <w:szCs w:val="24"/>
                <w:lang w:val="en-IE" w:eastAsia="en-GB"/>
              </w:rPr>
              <w:tab/>
            </w:r>
            <w:r w:rsidRPr="00892566">
              <w:rPr>
                <w:rStyle w:val="Hyperlink"/>
                <w:noProof/>
              </w:rPr>
              <w:t>Sources of Data</w:t>
            </w:r>
            <w:r>
              <w:rPr>
                <w:noProof/>
                <w:webHidden/>
              </w:rPr>
              <w:tab/>
            </w:r>
            <w:r>
              <w:rPr>
                <w:noProof/>
                <w:webHidden/>
              </w:rPr>
              <w:fldChar w:fldCharType="begin"/>
            </w:r>
            <w:r>
              <w:rPr>
                <w:noProof/>
                <w:webHidden/>
              </w:rPr>
              <w:instrText xml:space="preserve"> PAGEREF _Toc80808254 \h </w:instrText>
            </w:r>
            <w:r>
              <w:rPr>
                <w:noProof/>
                <w:webHidden/>
              </w:rPr>
            </w:r>
            <w:r>
              <w:rPr>
                <w:noProof/>
                <w:webHidden/>
              </w:rPr>
              <w:fldChar w:fldCharType="separate"/>
            </w:r>
            <w:r>
              <w:rPr>
                <w:noProof/>
                <w:webHidden/>
              </w:rPr>
              <w:t>24</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5" w:history="1">
            <w:r w:rsidRPr="00892566">
              <w:rPr>
                <w:rStyle w:val="Hyperlink"/>
                <w:noProof/>
              </w:rPr>
              <w:t>3.5</w:t>
            </w:r>
            <w:r>
              <w:rPr>
                <w:rFonts w:cstheme="minorBidi"/>
                <w:smallCaps w:val="0"/>
                <w:noProof/>
                <w:sz w:val="24"/>
                <w:szCs w:val="24"/>
                <w:lang w:val="en-IE" w:eastAsia="en-GB"/>
              </w:rPr>
              <w:tab/>
            </w:r>
            <w:r w:rsidRPr="00892566">
              <w:rPr>
                <w:rStyle w:val="Hyperlink"/>
                <w:noProof/>
              </w:rPr>
              <w:t>Instrument of Data collection</w:t>
            </w:r>
            <w:r>
              <w:rPr>
                <w:noProof/>
                <w:webHidden/>
              </w:rPr>
              <w:tab/>
            </w:r>
            <w:r>
              <w:rPr>
                <w:noProof/>
                <w:webHidden/>
              </w:rPr>
              <w:fldChar w:fldCharType="begin"/>
            </w:r>
            <w:r>
              <w:rPr>
                <w:noProof/>
                <w:webHidden/>
              </w:rPr>
              <w:instrText xml:space="preserve"> PAGEREF _Toc80808255 \h </w:instrText>
            </w:r>
            <w:r>
              <w:rPr>
                <w:noProof/>
                <w:webHidden/>
              </w:rPr>
            </w:r>
            <w:r>
              <w:rPr>
                <w:noProof/>
                <w:webHidden/>
              </w:rPr>
              <w:fldChar w:fldCharType="separate"/>
            </w:r>
            <w:r>
              <w:rPr>
                <w:noProof/>
                <w:webHidden/>
              </w:rPr>
              <w:t>25</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6" w:history="1">
            <w:r w:rsidRPr="00892566">
              <w:rPr>
                <w:rStyle w:val="Hyperlink"/>
                <w:noProof/>
              </w:rPr>
              <w:t>3.6</w:t>
            </w:r>
            <w:r>
              <w:rPr>
                <w:rFonts w:cstheme="minorBidi"/>
                <w:smallCaps w:val="0"/>
                <w:noProof/>
                <w:sz w:val="24"/>
                <w:szCs w:val="24"/>
                <w:lang w:val="en-IE" w:eastAsia="en-GB"/>
              </w:rPr>
              <w:tab/>
            </w:r>
            <w:r w:rsidRPr="00892566">
              <w:rPr>
                <w:rStyle w:val="Hyperlink"/>
                <w:noProof/>
              </w:rPr>
              <w:t>Participants of the Study</w:t>
            </w:r>
            <w:r>
              <w:rPr>
                <w:noProof/>
                <w:webHidden/>
              </w:rPr>
              <w:tab/>
            </w:r>
            <w:r>
              <w:rPr>
                <w:noProof/>
                <w:webHidden/>
              </w:rPr>
              <w:fldChar w:fldCharType="begin"/>
            </w:r>
            <w:r>
              <w:rPr>
                <w:noProof/>
                <w:webHidden/>
              </w:rPr>
              <w:instrText xml:space="preserve"> PAGEREF _Toc80808256 \h </w:instrText>
            </w:r>
            <w:r>
              <w:rPr>
                <w:noProof/>
                <w:webHidden/>
              </w:rPr>
            </w:r>
            <w:r>
              <w:rPr>
                <w:noProof/>
                <w:webHidden/>
              </w:rPr>
              <w:fldChar w:fldCharType="separate"/>
            </w:r>
            <w:r>
              <w:rPr>
                <w:noProof/>
                <w:webHidden/>
              </w:rPr>
              <w:t>26</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7" w:history="1">
            <w:r w:rsidRPr="00892566">
              <w:rPr>
                <w:rStyle w:val="Hyperlink"/>
                <w:noProof/>
              </w:rPr>
              <w:t>3.7</w:t>
            </w:r>
            <w:r>
              <w:rPr>
                <w:rFonts w:cstheme="minorBidi"/>
                <w:smallCaps w:val="0"/>
                <w:noProof/>
                <w:sz w:val="24"/>
                <w:szCs w:val="24"/>
                <w:lang w:val="en-IE" w:eastAsia="en-GB"/>
              </w:rPr>
              <w:tab/>
            </w:r>
            <w:r w:rsidRPr="00892566">
              <w:rPr>
                <w:rStyle w:val="Hyperlink"/>
                <w:noProof/>
              </w:rPr>
              <w:t>Ethical Considerations</w:t>
            </w:r>
            <w:r>
              <w:rPr>
                <w:noProof/>
                <w:webHidden/>
              </w:rPr>
              <w:tab/>
            </w:r>
            <w:r>
              <w:rPr>
                <w:noProof/>
                <w:webHidden/>
              </w:rPr>
              <w:fldChar w:fldCharType="begin"/>
            </w:r>
            <w:r>
              <w:rPr>
                <w:noProof/>
                <w:webHidden/>
              </w:rPr>
              <w:instrText xml:space="preserve"> PAGEREF _Toc80808257 \h </w:instrText>
            </w:r>
            <w:r>
              <w:rPr>
                <w:noProof/>
                <w:webHidden/>
              </w:rPr>
            </w:r>
            <w:r>
              <w:rPr>
                <w:noProof/>
                <w:webHidden/>
              </w:rPr>
              <w:fldChar w:fldCharType="separate"/>
            </w:r>
            <w:r>
              <w:rPr>
                <w:noProof/>
                <w:webHidden/>
              </w:rPr>
              <w:t>26</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8" w:history="1">
            <w:r w:rsidRPr="00892566">
              <w:rPr>
                <w:rStyle w:val="Hyperlink"/>
                <w:noProof/>
              </w:rPr>
              <w:t>3.8</w:t>
            </w:r>
            <w:r>
              <w:rPr>
                <w:rFonts w:cstheme="minorBidi"/>
                <w:smallCaps w:val="0"/>
                <w:noProof/>
                <w:sz w:val="24"/>
                <w:szCs w:val="24"/>
                <w:lang w:val="en-IE" w:eastAsia="en-GB"/>
              </w:rPr>
              <w:tab/>
            </w:r>
            <w:r w:rsidRPr="00892566">
              <w:rPr>
                <w:rStyle w:val="Hyperlink"/>
                <w:noProof/>
              </w:rPr>
              <w:t>Analysis of data</w:t>
            </w:r>
            <w:r>
              <w:rPr>
                <w:noProof/>
                <w:webHidden/>
              </w:rPr>
              <w:tab/>
            </w:r>
            <w:r>
              <w:rPr>
                <w:noProof/>
                <w:webHidden/>
              </w:rPr>
              <w:fldChar w:fldCharType="begin"/>
            </w:r>
            <w:r>
              <w:rPr>
                <w:noProof/>
                <w:webHidden/>
              </w:rPr>
              <w:instrText xml:space="preserve"> PAGEREF _Toc80808258 \h </w:instrText>
            </w:r>
            <w:r>
              <w:rPr>
                <w:noProof/>
                <w:webHidden/>
              </w:rPr>
            </w:r>
            <w:r>
              <w:rPr>
                <w:noProof/>
                <w:webHidden/>
              </w:rPr>
              <w:fldChar w:fldCharType="separate"/>
            </w:r>
            <w:r>
              <w:rPr>
                <w:noProof/>
                <w:webHidden/>
              </w:rPr>
              <w:t>27</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59" w:history="1">
            <w:r w:rsidRPr="00892566">
              <w:rPr>
                <w:rStyle w:val="Hyperlink"/>
                <w:noProof/>
              </w:rPr>
              <w:t>3.9</w:t>
            </w:r>
            <w:r>
              <w:rPr>
                <w:rFonts w:cstheme="minorBidi"/>
                <w:smallCaps w:val="0"/>
                <w:noProof/>
                <w:sz w:val="24"/>
                <w:szCs w:val="24"/>
                <w:lang w:val="en-IE" w:eastAsia="en-GB"/>
              </w:rPr>
              <w:tab/>
            </w:r>
            <w:r w:rsidRPr="00892566">
              <w:rPr>
                <w:rStyle w:val="Hyperlink"/>
                <w:noProof/>
              </w:rPr>
              <w:t>Conclusion</w:t>
            </w:r>
            <w:r>
              <w:rPr>
                <w:noProof/>
                <w:webHidden/>
              </w:rPr>
              <w:tab/>
            </w:r>
            <w:r>
              <w:rPr>
                <w:noProof/>
                <w:webHidden/>
              </w:rPr>
              <w:fldChar w:fldCharType="begin"/>
            </w:r>
            <w:r>
              <w:rPr>
                <w:noProof/>
                <w:webHidden/>
              </w:rPr>
              <w:instrText xml:space="preserve"> PAGEREF _Toc80808259 \h </w:instrText>
            </w:r>
            <w:r>
              <w:rPr>
                <w:noProof/>
                <w:webHidden/>
              </w:rPr>
            </w:r>
            <w:r>
              <w:rPr>
                <w:noProof/>
                <w:webHidden/>
              </w:rPr>
              <w:fldChar w:fldCharType="separate"/>
            </w:r>
            <w:r>
              <w:rPr>
                <w:noProof/>
                <w:webHidden/>
              </w:rPr>
              <w:t>27</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60" w:history="1">
            <w:r w:rsidRPr="00892566">
              <w:rPr>
                <w:rStyle w:val="Hyperlink"/>
                <w:noProof/>
              </w:rPr>
              <w:t>3.9.1</w:t>
            </w:r>
            <w:r>
              <w:rPr>
                <w:rFonts w:cstheme="minorBidi"/>
                <w:smallCaps w:val="0"/>
                <w:noProof/>
                <w:sz w:val="24"/>
                <w:szCs w:val="24"/>
                <w:lang w:val="en-IE" w:eastAsia="en-GB"/>
              </w:rPr>
              <w:tab/>
            </w:r>
            <w:r w:rsidRPr="00892566">
              <w:rPr>
                <w:rStyle w:val="Hyperlink"/>
                <w:noProof/>
              </w:rPr>
              <w:t>Interview Questions</w:t>
            </w:r>
            <w:r>
              <w:rPr>
                <w:noProof/>
                <w:webHidden/>
              </w:rPr>
              <w:tab/>
            </w:r>
            <w:r>
              <w:rPr>
                <w:noProof/>
                <w:webHidden/>
              </w:rPr>
              <w:fldChar w:fldCharType="begin"/>
            </w:r>
            <w:r>
              <w:rPr>
                <w:noProof/>
                <w:webHidden/>
              </w:rPr>
              <w:instrText xml:space="preserve"> PAGEREF _Toc80808260 \h </w:instrText>
            </w:r>
            <w:r>
              <w:rPr>
                <w:noProof/>
                <w:webHidden/>
              </w:rPr>
            </w:r>
            <w:r>
              <w:rPr>
                <w:noProof/>
                <w:webHidden/>
              </w:rPr>
              <w:fldChar w:fldCharType="separate"/>
            </w:r>
            <w:r>
              <w:rPr>
                <w:noProof/>
                <w:webHidden/>
              </w:rPr>
              <w:t>28</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61" w:history="1">
            <w:r w:rsidRPr="00892566">
              <w:rPr>
                <w:rStyle w:val="Hyperlink"/>
                <w:rFonts w:cs="Times New Roman"/>
                <w:noProof/>
              </w:rPr>
              <w:t>4.</w:t>
            </w:r>
            <w:r>
              <w:rPr>
                <w:noProof/>
                <w:sz w:val="24"/>
                <w:szCs w:val="24"/>
                <w:lang w:val="en-IE" w:eastAsia="en-GB"/>
              </w:rPr>
              <w:tab/>
            </w:r>
            <w:r w:rsidRPr="00892566">
              <w:rPr>
                <w:rStyle w:val="Hyperlink"/>
                <w:rFonts w:cs="Times New Roman"/>
                <w:noProof/>
              </w:rPr>
              <w:t>CHAPTER FOUR</w:t>
            </w:r>
            <w:r>
              <w:rPr>
                <w:noProof/>
                <w:webHidden/>
              </w:rPr>
              <w:tab/>
            </w:r>
            <w:r>
              <w:rPr>
                <w:noProof/>
                <w:webHidden/>
              </w:rPr>
              <w:fldChar w:fldCharType="begin"/>
            </w:r>
            <w:r>
              <w:rPr>
                <w:noProof/>
                <w:webHidden/>
              </w:rPr>
              <w:instrText xml:space="preserve"> PAGEREF _Toc80808261 \h </w:instrText>
            </w:r>
            <w:r>
              <w:rPr>
                <w:noProof/>
                <w:webHidden/>
              </w:rPr>
            </w:r>
            <w:r>
              <w:rPr>
                <w:noProof/>
                <w:webHidden/>
              </w:rPr>
              <w:fldChar w:fldCharType="separate"/>
            </w:r>
            <w:r>
              <w:rPr>
                <w:noProof/>
                <w:webHidden/>
              </w:rPr>
              <w:t>30</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62" w:history="1">
            <w:r w:rsidRPr="00892566">
              <w:rPr>
                <w:rStyle w:val="Hyperlink"/>
                <w:rFonts w:eastAsiaTheme="minorHAnsi" w:cs="Times New Roman"/>
                <w:noProof/>
                <w:lang w:val="en-US"/>
              </w:rPr>
              <w:t>PRESENTATION AND DISCUSSION OF THE FINDINGS</w:t>
            </w:r>
            <w:r>
              <w:rPr>
                <w:noProof/>
                <w:webHidden/>
              </w:rPr>
              <w:tab/>
            </w:r>
            <w:r>
              <w:rPr>
                <w:noProof/>
                <w:webHidden/>
              </w:rPr>
              <w:fldChar w:fldCharType="begin"/>
            </w:r>
            <w:r>
              <w:rPr>
                <w:noProof/>
                <w:webHidden/>
              </w:rPr>
              <w:instrText xml:space="preserve"> PAGEREF _Toc80808262 \h </w:instrText>
            </w:r>
            <w:r>
              <w:rPr>
                <w:noProof/>
                <w:webHidden/>
              </w:rPr>
            </w:r>
            <w:r>
              <w:rPr>
                <w:noProof/>
                <w:webHidden/>
              </w:rPr>
              <w:fldChar w:fldCharType="separate"/>
            </w:r>
            <w:r>
              <w:rPr>
                <w:noProof/>
                <w:webHidden/>
              </w:rPr>
              <w:t>30</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63" w:history="1">
            <w:r w:rsidRPr="00892566">
              <w:rPr>
                <w:rStyle w:val="Hyperlink"/>
                <w:rFonts w:cs="Times New Roman"/>
                <w:noProof/>
              </w:rPr>
              <w:t>4.1</w:t>
            </w:r>
            <w:r>
              <w:rPr>
                <w:rFonts w:cstheme="minorBidi"/>
                <w:b w:val="0"/>
                <w:bCs w:val="0"/>
                <w:smallCaps w:val="0"/>
                <w:noProof/>
                <w:sz w:val="24"/>
                <w:szCs w:val="24"/>
                <w:lang w:val="en-IE" w:eastAsia="en-GB"/>
              </w:rPr>
              <w:tab/>
            </w:r>
            <w:r w:rsidRPr="00892566">
              <w:rPr>
                <w:rStyle w:val="Hyperlink"/>
                <w:rFonts w:cs="Times New Roman"/>
                <w:noProof/>
              </w:rPr>
              <w:t>Overview</w:t>
            </w:r>
            <w:r>
              <w:rPr>
                <w:noProof/>
                <w:webHidden/>
              </w:rPr>
              <w:tab/>
            </w:r>
            <w:r>
              <w:rPr>
                <w:noProof/>
                <w:webHidden/>
              </w:rPr>
              <w:fldChar w:fldCharType="begin"/>
            </w:r>
            <w:r>
              <w:rPr>
                <w:noProof/>
                <w:webHidden/>
              </w:rPr>
              <w:instrText xml:space="preserve"> PAGEREF _Toc80808263 \h </w:instrText>
            </w:r>
            <w:r>
              <w:rPr>
                <w:noProof/>
                <w:webHidden/>
              </w:rPr>
            </w:r>
            <w:r>
              <w:rPr>
                <w:noProof/>
                <w:webHidden/>
              </w:rPr>
              <w:fldChar w:fldCharType="separate"/>
            </w:r>
            <w:r>
              <w:rPr>
                <w:noProof/>
                <w:webHidden/>
              </w:rPr>
              <w:t>30</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64" w:history="1">
            <w:r w:rsidRPr="00892566">
              <w:rPr>
                <w:rStyle w:val="Hyperlink"/>
                <w:rFonts w:cs="Times New Roman"/>
                <w:noProof/>
              </w:rPr>
              <w:t>4.2</w:t>
            </w:r>
            <w:r>
              <w:rPr>
                <w:rFonts w:cstheme="minorBidi"/>
                <w:b w:val="0"/>
                <w:bCs w:val="0"/>
                <w:smallCaps w:val="0"/>
                <w:noProof/>
                <w:sz w:val="24"/>
                <w:szCs w:val="24"/>
                <w:lang w:val="en-IE" w:eastAsia="en-GB"/>
              </w:rPr>
              <w:tab/>
            </w:r>
            <w:r w:rsidRPr="00892566">
              <w:rPr>
                <w:rStyle w:val="Hyperlink"/>
                <w:rFonts w:cs="Times New Roman"/>
                <w:noProof/>
              </w:rPr>
              <w:t>Findings</w:t>
            </w:r>
            <w:r>
              <w:rPr>
                <w:noProof/>
                <w:webHidden/>
              </w:rPr>
              <w:tab/>
            </w:r>
            <w:r>
              <w:rPr>
                <w:noProof/>
                <w:webHidden/>
              </w:rPr>
              <w:fldChar w:fldCharType="begin"/>
            </w:r>
            <w:r>
              <w:rPr>
                <w:noProof/>
                <w:webHidden/>
              </w:rPr>
              <w:instrText xml:space="preserve"> PAGEREF _Toc80808264 \h </w:instrText>
            </w:r>
            <w:r>
              <w:rPr>
                <w:noProof/>
                <w:webHidden/>
              </w:rPr>
            </w:r>
            <w:r>
              <w:rPr>
                <w:noProof/>
                <w:webHidden/>
              </w:rPr>
              <w:fldChar w:fldCharType="separate"/>
            </w:r>
            <w:r>
              <w:rPr>
                <w:noProof/>
                <w:webHidden/>
              </w:rPr>
              <w:t>31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65" w:history="1">
            <w:r w:rsidRPr="00892566">
              <w:rPr>
                <w:rStyle w:val="Hyperlink"/>
                <w:noProof/>
              </w:rPr>
              <w:t>4.2.1</w:t>
            </w:r>
            <w:r>
              <w:rPr>
                <w:rFonts w:cstheme="minorBidi"/>
                <w:b w:val="0"/>
                <w:bCs w:val="0"/>
                <w:smallCaps w:val="0"/>
                <w:noProof/>
                <w:sz w:val="24"/>
                <w:szCs w:val="24"/>
                <w:lang w:val="en-IE" w:eastAsia="en-GB"/>
              </w:rPr>
              <w:tab/>
            </w:r>
            <w:r w:rsidRPr="00892566">
              <w:rPr>
                <w:rStyle w:val="Hyperlink"/>
                <w:noProof/>
              </w:rPr>
              <w:t>Statistical Data</w:t>
            </w:r>
            <w:r>
              <w:rPr>
                <w:noProof/>
                <w:webHidden/>
              </w:rPr>
              <w:tab/>
            </w:r>
            <w:r>
              <w:rPr>
                <w:noProof/>
                <w:webHidden/>
              </w:rPr>
              <w:fldChar w:fldCharType="begin"/>
            </w:r>
            <w:r>
              <w:rPr>
                <w:noProof/>
                <w:webHidden/>
              </w:rPr>
              <w:instrText xml:space="preserve"> PAGEREF _Toc80808265 \h </w:instrText>
            </w:r>
            <w:r>
              <w:rPr>
                <w:noProof/>
                <w:webHidden/>
              </w:rPr>
            </w:r>
            <w:r>
              <w:rPr>
                <w:noProof/>
                <w:webHidden/>
              </w:rPr>
              <w:fldChar w:fldCharType="separate"/>
            </w:r>
            <w:r>
              <w:rPr>
                <w:noProof/>
                <w:webHidden/>
              </w:rPr>
              <w:t>31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66" w:history="1">
            <w:r w:rsidRPr="00892566">
              <w:rPr>
                <w:rStyle w:val="Hyperlink"/>
                <w:noProof/>
              </w:rPr>
              <w:t>4.2.2</w:t>
            </w:r>
            <w:r>
              <w:rPr>
                <w:rFonts w:cstheme="minorBidi"/>
                <w:b w:val="0"/>
                <w:bCs w:val="0"/>
                <w:smallCaps w:val="0"/>
                <w:noProof/>
                <w:sz w:val="24"/>
                <w:szCs w:val="24"/>
                <w:lang w:val="en-IE" w:eastAsia="en-GB"/>
              </w:rPr>
              <w:tab/>
            </w:r>
            <w:r w:rsidRPr="00892566">
              <w:rPr>
                <w:rStyle w:val="Hyperlink"/>
                <w:noProof/>
              </w:rPr>
              <w:t>Demographical Data</w:t>
            </w:r>
            <w:r>
              <w:rPr>
                <w:noProof/>
                <w:webHidden/>
              </w:rPr>
              <w:tab/>
            </w:r>
            <w:r>
              <w:rPr>
                <w:noProof/>
                <w:webHidden/>
              </w:rPr>
              <w:fldChar w:fldCharType="begin"/>
            </w:r>
            <w:r>
              <w:rPr>
                <w:noProof/>
                <w:webHidden/>
              </w:rPr>
              <w:instrText xml:space="preserve"> PAGEREF _Toc80808266 \h </w:instrText>
            </w:r>
            <w:r>
              <w:rPr>
                <w:noProof/>
                <w:webHidden/>
              </w:rPr>
            </w:r>
            <w:r>
              <w:rPr>
                <w:noProof/>
                <w:webHidden/>
              </w:rPr>
              <w:fldChar w:fldCharType="separate"/>
            </w:r>
            <w:r>
              <w:rPr>
                <w:noProof/>
                <w:webHidden/>
              </w:rPr>
              <w:t>32</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67" w:history="1">
            <w:r w:rsidRPr="00892566">
              <w:rPr>
                <w:rStyle w:val="Hyperlink"/>
                <w:noProof/>
              </w:rPr>
              <w:t>Figure 1: Interview Result</w:t>
            </w:r>
            <w:r>
              <w:rPr>
                <w:noProof/>
                <w:webHidden/>
              </w:rPr>
              <w:tab/>
            </w:r>
            <w:r>
              <w:rPr>
                <w:noProof/>
                <w:webHidden/>
              </w:rPr>
              <w:fldChar w:fldCharType="begin"/>
            </w:r>
            <w:r>
              <w:rPr>
                <w:noProof/>
                <w:webHidden/>
              </w:rPr>
              <w:instrText xml:space="preserve"> PAGEREF _Toc80808267 \h </w:instrText>
            </w:r>
            <w:r>
              <w:rPr>
                <w:noProof/>
                <w:webHidden/>
              </w:rPr>
            </w:r>
            <w:r>
              <w:rPr>
                <w:noProof/>
                <w:webHidden/>
              </w:rPr>
              <w:fldChar w:fldCharType="separate"/>
            </w:r>
            <w:r>
              <w:rPr>
                <w:noProof/>
                <w:webHidden/>
              </w:rPr>
              <w:t>32</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68" w:history="1">
            <w:r w:rsidRPr="00892566">
              <w:rPr>
                <w:rStyle w:val="Hyperlink"/>
                <w:noProof/>
              </w:rPr>
              <w:t>4.2.3</w:t>
            </w:r>
            <w:r>
              <w:rPr>
                <w:rFonts w:cstheme="minorBidi"/>
                <w:b w:val="0"/>
                <w:bCs w:val="0"/>
                <w:smallCaps w:val="0"/>
                <w:noProof/>
                <w:sz w:val="24"/>
                <w:szCs w:val="24"/>
                <w:lang w:val="en-IE" w:eastAsia="en-GB"/>
              </w:rPr>
              <w:tab/>
            </w:r>
            <w:r w:rsidRPr="00892566">
              <w:rPr>
                <w:rStyle w:val="Hyperlink"/>
                <w:noProof/>
              </w:rPr>
              <w:t>Knowledge of Commercial Arbitration</w:t>
            </w:r>
            <w:r>
              <w:rPr>
                <w:noProof/>
                <w:webHidden/>
              </w:rPr>
              <w:tab/>
            </w:r>
            <w:r>
              <w:rPr>
                <w:noProof/>
                <w:webHidden/>
              </w:rPr>
              <w:fldChar w:fldCharType="begin"/>
            </w:r>
            <w:r>
              <w:rPr>
                <w:noProof/>
                <w:webHidden/>
              </w:rPr>
              <w:instrText xml:space="preserve"> PAGEREF _Toc80808268 \h </w:instrText>
            </w:r>
            <w:r>
              <w:rPr>
                <w:noProof/>
                <w:webHidden/>
              </w:rPr>
            </w:r>
            <w:r>
              <w:rPr>
                <w:noProof/>
                <w:webHidden/>
              </w:rPr>
              <w:fldChar w:fldCharType="separate"/>
            </w:r>
            <w:r>
              <w:rPr>
                <w:noProof/>
                <w:webHidden/>
              </w:rPr>
              <w:t>32</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69" w:history="1">
            <w:r w:rsidRPr="00892566">
              <w:rPr>
                <w:rStyle w:val="Hyperlink"/>
                <w:noProof/>
              </w:rPr>
              <w:t>Figure 2: Interview Result</w:t>
            </w:r>
            <w:r>
              <w:rPr>
                <w:noProof/>
                <w:webHidden/>
              </w:rPr>
              <w:tab/>
            </w:r>
            <w:r>
              <w:rPr>
                <w:noProof/>
                <w:webHidden/>
              </w:rPr>
              <w:fldChar w:fldCharType="begin"/>
            </w:r>
            <w:r>
              <w:rPr>
                <w:noProof/>
                <w:webHidden/>
              </w:rPr>
              <w:instrText xml:space="preserve"> PAGEREF _Toc80808269 \h </w:instrText>
            </w:r>
            <w:r>
              <w:rPr>
                <w:noProof/>
                <w:webHidden/>
              </w:rPr>
            </w:r>
            <w:r>
              <w:rPr>
                <w:noProof/>
                <w:webHidden/>
              </w:rPr>
              <w:fldChar w:fldCharType="separate"/>
            </w:r>
            <w:r>
              <w:rPr>
                <w:noProof/>
                <w:webHidden/>
              </w:rPr>
              <w:t>33</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70" w:history="1">
            <w:r w:rsidRPr="00892566">
              <w:rPr>
                <w:rStyle w:val="Hyperlink"/>
                <w:noProof/>
              </w:rPr>
              <w:t>Figure 3: Interview Result</w:t>
            </w:r>
            <w:r>
              <w:rPr>
                <w:noProof/>
                <w:webHidden/>
              </w:rPr>
              <w:tab/>
            </w:r>
            <w:r>
              <w:rPr>
                <w:noProof/>
                <w:webHidden/>
              </w:rPr>
              <w:fldChar w:fldCharType="begin"/>
            </w:r>
            <w:r>
              <w:rPr>
                <w:noProof/>
                <w:webHidden/>
              </w:rPr>
              <w:instrText xml:space="preserve"> PAGEREF _Toc80808270 \h </w:instrText>
            </w:r>
            <w:r>
              <w:rPr>
                <w:noProof/>
                <w:webHidden/>
              </w:rPr>
            </w:r>
            <w:r>
              <w:rPr>
                <w:noProof/>
                <w:webHidden/>
              </w:rPr>
              <w:fldChar w:fldCharType="separate"/>
            </w:r>
            <w:r>
              <w:rPr>
                <w:noProof/>
                <w:webHidden/>
              </w:rPr>
              <w:t>34</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1" w:history="1">
            <w:r w:rsidRPr="00892566">
              <w:rPr>
                <w:rStyle w:val="Hyperlink"/>
                <w:noProof/>
              </w:rPr>
              <w:t>4.2.4</w:t>
            </w:r>
            <w:r>
              <w:rPr>
                <w:rFonts w:cstheme="minorBidi"/>
                <w:b w:val="0"/>
                <w:bCs w:val="0"/>
                <w:smallCaps w:val="0"/>
                <w:noProof/>
                <w:sz w:val="24"/>
                <w:szCs w:val="24"/>
                <w:lang w:val="en-IE" w:eastAsia="en-GB"/>
              </w:rPr>
              <w:tab/>
            </w:r>
            <w:r w:rsidRPr="00892566">
              <w:rPr>
                <w:rStyle w:val="Hyperlink"/>
                <w:noProof/>
              </w:rPr>
              <w:t>Commercial Arbitration Experience</w:t>
            </w:r>
            <w:r>
              <w:rPr>
                <w:noProof/>
                <w:webHidden/>
              </w:rPr>
              <w:tab/>
            </w:r>
            <w:r>
              <w:rPr>
                <w:noProof/>
                <w:webHidden/>
              </w:rPr>
              <w:fldChar w:fldCharType="begin"/>
            </w:r>
            <w:r>
              <w:rPr>
                <w:noProof/>
                <w:webHidden/>
              </w:rPr>
              <w:instrText xml:space="preserve"> PAGEREF _Toc80808271 \h </w:instrText>
            </w:r>
            <w:r>
              <w:rPr>
                <w:noProof/>
                <w:webHidden/>
              </w:rPr>
            </w:r>
            <w:r>
              <w:rPr>
                <w:noProof/>
                <w:webHidden/>
              </w:rPr>
              <w:fldChar w:fldCharType="separate"/>
            </w:r>
            <w:r>
              <w:rPr>
                <w:noProof/>
                <w:webHidden/>
              </w:rPr>
              <w:t>34</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72" w:history="1">
            <w:r w:rsidRPr="00892566">
              <w:rPr>
                <w:rStyle w:val="Hyperlink"/>
                <w:noProof/>
              </w:rPr>
              <w:t>Figure 4: Interview Result</w:t>
            </w:r>
            <w:r>
              <w:rPr>
                <w:noProof/>
                <w:webHidden/>
              </w:rPr>
              <w:tab/>
            </w:r>
            <w:r>
              <w:rPr>
                <w:noProof/>
                <w:webHidden/>
              </w:rPr>
              <w:fldChar w:fldCharType="begin"/>
            </w:r>
            <w:r>
              <w:rPr>
                <w:noProof/>
                <w:webHidden/>
              </w:rPr>
              <w:instrText xml:space="preserve"> PAGEREF _Toc80808272 \h </w:instrText>
            </w:r>
            <w:r>
              <w:rPr>
                <w:noProof/>
                <w:webHidden/>
              </w:rPr>
            </w:r>
            <w:r>
              <w:rPr>
                <w:noProof/>
                <w:webHidden/>
              </w:rPr>
              <w:fldChar w:fldCharType="separate"/>
            </w:r>
            <w:r>
              <w:rPr>
                <w:noProof/>
                <w:webHidden/>
              </w:rPr>
              <w:t>35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3" w:history="1">
            <w:r w:rsidRPr="00892566">
              <w:rPr>
                <w:rStyle w:val="Hyperlink"/>
                <w:rFonts w:cs="Times New Roman"/>
                <w:noProof/>
              </w:rPr>
              <w:t>4.3</w:t>
            </w:r>
            <w:r>
              <w:rPr>
                <w:rFonts w:cstheme="minorBidi"/>
                <w:b w:val="0"/>
                <w:bCs w:val="0"/>
                <w:smallCaps w:val="0"/>
                <w:noProof/>
                <w:sz w:val="24"/>
                <w:szCs w:val="24"/>
                <w:lang w:val="en-IE" w:eastAsia="en-GB"/>
              </w:rPr>
              <w:tab/>
            </w:r>
            <w:r w:rsidRPr="00892566">
              <w:rPr>
                <w:rStyle w:val="Hyperlink"/>
                <w:rFonts w:cs="Times New Roman"/>
                <w:noProof/>
              </w:rPr>
              <w:t>Discussions</w:t>
            </w:r>
            <w:r>
              <w:rPr>
                <w:noProof/>
                <w:webHidden/>
              </w:rPr>
              <w:tab/>
            </w:r>
            <w:r>
              <w:rPr>
                <w:noProof/>
                <w:webHidden/>
              </w:rPr>
              <w:fldChar w:fldCharType="begin"/>
            </w:r>
            <w:r>
              <w:rPr>
                <w:noProof/>
                <w:webHidden/>
              </w:rPr>
              <w:instrText xml:space="preserve"> PAGEREF _Toc80808273 \h </w:instrText>
            </w:r>
            <w:r>
              <w:rPr>
                <w:noProof/>
                <w:webHidden/>
              </w:rPr>
            </w:r>
            <w:r>
              <w:rPr>
                <w:noProof/>
                <w:webHidden/>
              </w:rPr>
              <w:fldChar w:fldCharType="separate"/>
            </w:r>
            <w:r>
              <w:rPr>
                <w:noProof/>
                <w:webHidden/>
              </w:rPr>
              <w:t>38</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4" w:history="1">
            <w:r w:rsidRPr="00892566">
              <w:rPr>
                <w:rStyle w:val="Hyperlink"/>
                <w:rFonts w:cs="Times New Roman"/>
                <w:noProof/>
              </w:rPr>
              <w:t>4.4</w:t>
            </w:r>
            <w:r>
              <w:rPr>
                <w:rFonts w:cstheme="minorBidi"/>
                <w:b w:val="0"/>
                <w:bCs w:val="0"/>
                <w:smallCaps w:val="0"/>
                <w:noProof/>
                <w:sz w:val="24"/>
                <w:szCs w:val="24"/>
                <w:lang w:val="en-IE" w:eastAsia="en-GB"/>
              </w:rPr>
              <w:tab/>
            </w:r>
            <w:r w:rsidRPr="00892566">
              <w:rPr>
                <w:rStyle w:val="Hyperlink"/>
                <w:rFonts w:cs="Times New Roman"/>
                <w:noProof/>
              </w:rPr>
              <w:t>Conclusion</w:t>
            </w:r>
            <w:r>
              <w:rPr>
                <w:noProof/>
                <w:webHidden/>
              </w:rPr>
              <w:tab/>
            </w:r>
            <w:r>
              <w:rPr>
                <w:noProof/>
                <w:webHidden/>
              </w:rPr>
              <w:fldChar w:fldCharType="begin"/>
            </w:r>
            <w:r>
              <w:rPr>
                <w:noProof/>
                <w:webHidden/>
              </w:rPr>
              <w:instrText xml:space="preserve"> PAGEREF _Toc80808274 \h </w:instrText>
            </w:r>
            <w:r>
              <w:rPr>
                <w:noProof/>
                <w:webHidden/>
              </w:rPr>
            </w:r>
            <w:r>
              <w:rPr>
                <w:noProof/>
                <w:webHidden/>
              </w:rPr>
              <w:fldChar w:fldCharType="separate"/>
            </w:r>
            <w:r>
              <w:rPr>
                <w:noProof/>
                <w:webHidden/>
              </w:rPr>
              <w:t>41</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75" w:history="1">
            <w:r w:rsidRPr="00892566">
              <w:rPr>
                <w:rStyle w:val="Hyperlink"/>
                <w:rFonts w:cs="Times New Roman"/>
                <w:noProof/>
              </w:rPr>
              <w:t>5.</w:t>
            </w:r>
            <w:r>
              <w:rPr>
                <w:noProof/>
                <w:sz w:val="24"/>
                <w:szCs w:val="24"/>
                <w:lang w:val="en-IE" w:eastAsia="en-GB"/>
              </w:rPr>
              <w:tab/>
            </w:r>
            <w:r w:rsidRPr="00892566">
              <w:rPr>
                <w:rStyle w:val="Hyperlink"/>
                <w:rFonts w:cs="Times New Roman"/>
                <w:noProof/>
              </w:rPr>
              <w:t>CHAPTER FIVE</w:t>
            </w:r>
            <w:r>
              <w:rPr>
                <w:noProof/>
                <w:webHidden/>
              </w:rPr>
              <w:tab/>
            </w:r>
            <w:r>
              <w:rPr>
                <w:noProof/>
                <w:webHidden/>
              </w:rPr>
              <w:fldChar w:fldCharType="begin"/>
            </w:r>
            <w:r>
              <w:rPr>
                <w:noProof/>
                <w:webHidden/>
              </w:rPr>
              <w:instrText xml:space="preserve"> PAGEREF _Toc80808275 \h </w:instrText>
            </w:r>
            <w:r>
              <w:rPr>
                <w:noProof/>
                <w:webHidden/>
              </w:rPr>
            </w:r>
            <w:r>
              <w:rPr>
                <w:noProof/>
                <w:webHidden/>
              </w:rPr>
              <w:fldChar w:fldCharType="separate"/>
            </w:r>
            <w:r>
              <w:rPr>
                <w:noProof/>
                <w:webHidden/>
              </w:rPr>
              <w:t>43</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6" w:history="1">
            <w:r w:rsidRPr="00892566">
              <w:rPr>
                <w:rStyle w:val="Hyperlink"/>
                <w:rFonts w:eastAsiaTheme="minorHAnsi"/>
                <w:noProof/>
              </w:rPr>
              <w:t>5.1</w:t>
            </w:r>
            <w:r>
              <w:rPr>
                <w:rFonts w:cstheme="minorBidi"/>
                <w:b w:val="0"/>
                <w:bCs w:val="0"/>
                <w:smallCaps w:val="0"/>
                <w:noProof/>
                <w:sz w:val="24"/>
                <w:szCs w:val="24"/>
                <w:lang w:val="en-IE" w:eastAsia="en-GB"/>
              </w:rPr>
              <w:tab/>
            </w:r>
            <w:r w:rsidRPr="00892566">
              <w:rPr>
                <w:rStyle w:val="Hyperlink"/>
                <w:rFonts w:eastAsiaTheme="minorHAnsi"/>
                <w:noProof/>
              </w:rPr>
              <w:t>JUDICIAL INTERVENTION IN THE ARBITRAL PROCESS</w:t>
            </w:r>
            <w:r>
              <w:rPr>
                <w:noProof/>
                <w:webHidden/>
              </w:rPr>
              <w:tab/>
            </w:r>
            <w:r>
              <w:rPr>
                <w:noProof/>
                <w:webHidden/>
              </w:rPr>
              <w:fldChar w:fldCharType="begin"/>
            </w:r>
            <w:r>
              <w:rPr>
                <w:noProof/>
                <w:webHidden/>
              </w:rPr>
              <w:instrText xml:space="preserve"> PAGEREF _Toc80808276 \h </w:instrText>
            </w:r>
            <w:r>
              <w:rPr>
                <w:noProof/>
                <w:webHidden/>
              </w:rPr>
            </w:r>
            <w:r>
              <w:rPr>
                <w:noProof/>
                <w:webHidden/>
              </w:rPr>
              <w:fldChar w:fldCharType="separate"/>
            </w:r>
            <w:r>
              <w:rPr>
                <w:noProof/>
                <w:webHidden/>
              </w:rPr>
              <w:t>43</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77" w:history="1">
            <w:r w:rsidRPr="00892566">
              <w:rPr>
                <w:rStyle w:val="Hyperlink"/>
                <w:noProof/>
              </w:rPr>
              <w:t>5.1.1</w:t>
            </w:r>
            <w:r>
              <w:rPr>
                <w:rFonts w:cstheme="minorBidi"/>
                <w:smallCaps w:val="0"/>
                <w:noProof/>
                <w:sz w:val="24"/>
                <w:szCs w:val="24"/>
                <w:lang w:val="en-IE" w:eastAsia="en-GB"/>
              </w:rPr>
              <w:tab/>
            </w:r>
            <w:r w:rsidRPr="00892566">
              <w:rPr>
                <w:rStyle w:val="Hyperlink"/>
                <w:noProof/>
              </w:rPr>
              <w:t>Overview</w:t>
            </w:r>
            <w:r>
              <w:rPr>
                <w:noProof/>
                <w:webHidden/>
              </w:rPr>
              <w:tab/>
            </w:r>
            <w:r>
              <w:rPr>
                <w:noProof/>
                <w:webHidden/>
              </w:rPr>
              <w:fldChar w:fldCharType="begin"/>
            </w:r>
            <w:r>
              <w:rPr>
                <w:noProof/>
                <w:webHidden/>
              </w:rPr>
              <w:instrText xml:space="preserve"> PAGEREF _Toc80808277 \h </w:instrText>
            </w:r>
            <w:r>
              <w:rPr>
                <w:noProof/>
                <w:webHidden/>
              </w:rPr>
            </w:r>
            <w:r>
              <w:rPr>
                <w:noProof/>
                <w:webHidden/>
              </w:rPr>
              <w:fldChar w:fldCharType="separate"/>
            </w:r>
            <w:r>
              <w:rPr>
                <w:noProof/>
                <w:webHidden/>
              </w:rPr>
              <w:t>43</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8" w:history="1">
            <w:r w:rsidRPr="00892566">
              <w:rPr>
                <w:rStyle w:val="Hyperlink"/>
                <w:rFonts w:cs="Times New Roman"/>
                <w:noProof/>
              </w:rPr>
              <w:t>5.1.2</w:t>
            </w:r>
            <w:r>
              <w:rPr>
                <w:rFonts w:cstheme="minorBidi"/>
                <w:b w:val="0"/>
                <w:bCs w:val="0"/>
                <w:smallCaps w:val="0"/>
                <w:noProof/>
                <w:sz w:val="24"/>
                <w:szCs w:val="24"/>
                <w:lang w:val="en-IE" w:eastAsia="en-GB"/>
              </w:rPr>
              <w:tab/>
            </w:r>
            <w:r w:rsidRPr="00892566">
              <w:rPr>
                <w:rStyle w:val="Hyperlink"/>
                <w:rFonts w:cs="Times New Roman"/>
                <w:noProof/>
              </w:rPr>
              <w:t>Judicial Intervention before Commencement of Arbitration under the Arbitration and Conciliation Act</w:t>
            </w:r>
            <w:r>
              <w:rPr>
                <w:noProof/>
                <w:webHidden/>
              </w:rPr>
              <w:tab/>
            </w:r>
            <w:r>
              <w:rPr>
                <w:noProof/>
                <w:webHidden/>
              </w:rPr>
              <w:fldChar w:fldCharType="begin"/>
            </w:r>
            <w:r>
              <w:rPr>
                <w:noProof/>
                <w:webHidden/>
              </w:rPr>
              <w:instrText xml:space="preserve"> PAGEREF _Toc80808278 \h </w:instrText>
            </w:r>
            <w:r>
              <w:rPr>
                <w:noProof/>
                <w:webHidden/>
              </w:rPr>
            </w:r>
            <w:r>
              <w:rPr>
                <w:noProof/>
                <w:webHidden/>
              </w:rPr>
              <w:fldChar w:fldCharType="separate"/>
            </w:r>
            <w:r>
              <w:rPr>
                <w:noProof/>
                <w:webHidden/>
              </w:rPr>
              <w:t>45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79" w:history="1">
            <w:r w:rsidRPr="00892566">
              <w:rPr>
                <w:rStyle w:val="Hyperlink"/>
                <w:rFonts w:cs="Times New Roman"/>
                <w:noProof/>
              </w:rPr>
              <w:t>I.</w:t>
            </w:r>
            <w:r>
              <w:rPr>
                <w:rFonts w:cstheme="minorBidi"/>
                <w:b w:val="0"/>
                <w:bCs w:val="0"/>
                <w:smallCaps w:val="0"/>
                <w:noProof/>
                <w:sz w:val="24"/>
                <w:szCs w:val="24"/>
                <w:lang w:val="en-IE" w:eastAsia="en-GB"/>
              </w:rPr>
              <w:tab/>
            </w:r>
            <w:r w:rsidRPr="00892566">
              <w:rPr>
                <w:rStyle w:val="Hyperlink"/>
                <w:rFonts w:cs="Times New Roman"/>
                <w:noProof/>
              </w:rPr>
              <w:t>Revocation of arbitration agreement</w:t>
            </w:r>
            <w:r>
              <w:rPr>
                <w:noProof/>
                <w:webHidden/>
              </w:rPr>
              <w:tab/>
            </w:r>
            <w:r>
              <w:rPr>
                <w:noProof/>
                <w:webHidden/>
              </w:rPr>
              <w:fldChar w:fldCharType="begin"/>
            </w:r>
            <w:r>
              <w:rPr>
                <w:noProof/>
                <w:webHidden/>
              </w:rPr>
              <w:instrText xml:space="preserve"> PAGEREF _Toc80808279 \h </w:instrText>
            </w:r>
            <w:r>
              <w:rPr>
                <w:noProof/>
                <w:webHidden/>
              </w:rPr>
            </w:r>
            <w:r>
              <w:rPr>
                <w:noProof/>
                <w:webHidden/>
              </w:rPr>
              <w:fldChar w:fldCharType="separate"/>
            </w:r>
            <w:r>
              <w:rPr>
                <w:noProof/>
                <w:webHidden/>
              </w:rPr>
              <w:t>46</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0" w:history="1">
            <w:r w:rsidRPr="00892566">
              <w:rPr>
                <w:rStyle w:val="Hyperlink"/>
                <w:rFonts w:cs="Times New Roman"/>
                <w:noProof/>
              </w:rPr>
              <w:t>II.</w:t>
            </w:r>
            <w:r>
              <w:rPr>
                <w:rFonts w:cstheme="minorBidi"/>
                <w:b w:val="0"/>
                <w:bCs w:val="0"/>
                <w:smallCaps w:val="0"/>
                <w:noProof/>
                <w:sz w:val="24"/>
                <w:szCs w:val="24"/>
                <w:lang w:val="en-IE" w:eastAsia="en-GB"/>
              </w:rPr>
              <w:tab/>
            </w:r>
            <w:r w:rsidRPr="00892566">
              <w:rPr>
                <w:rStyle w:val="Hyperlink"/>
                <w:rFonts w:cs="Times New Roman"/>
                <w:noProof/>
              </w:rPr>
              <w:t>The obligation to refer parties to arbitration</w:t>
            </w:r>
            <w:r>
              <w:rPr>
                <w:noProof/>
                <w:webHidden/>
              </w:rPr>
              <w:tab/>
            </w:r>
            <w:r>
              <w:rPr>
                <w:noProof/>
                <w:webHidden/>
              </w:rPr>
              <w:fldChar w:fldCharType="begin"/>
            </w:r>
            <w:r>
              <w:rPr>
                <w:noProof/>
                <w:webHidden/>
              </w:rPr>
              <w:instrText xml:space="preserve"> PAGEREF _Toc80808280 \h </w:instrText>
            </w:r>
            <w:r>
              <w:rPr>
                <w:noProof/>
                <w:webHidden/>
              </w:rPr>
            </w:r>
            <w:r>
              <w:rPr>
                <w:noProof/>
                <w:webHidden/>
              </w:rPr>
              <w:fldChar w:fldCharType="separate"/>
            </w:r>
            <w:r>
              <w:rPr>
                <w:noProof/>
                <w:webHidden/>
              </w:rPr>
              <w:t>48</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1" w:history="1">
            <w:r w:rsidRPr="00892566">
              <w:rPr>
                <w:rStyle w:val="Hyperlink"/>
                <w:rFonts w:cs="Times New Roman"/>
                <w:noProof/>
              </w:rPr>
              <w:t>III.</w:t>
            </w:r>
            <w:r>
              <w:rPr>
                <w:rFonts w:cstheme="minorBidi"/>
                <w:b w:val="0"/>
                <w:bCs w:val="0"/>
                <w:smallCaps w:val="0"/>
                <w:noProof/>
                <w:sz w:val="24"/>
                <w:szCs w:val="24"/>
                <w:lang w:val="en-IE" w:eastAsia="en-GB"/>
              </w:rPr>
              <w:tab/>
            </w:r>
            <w:r w:rsidRPr="00892566">
              <w:rPr>
                <w:rStyle w:val="Hyperlink"/>
                <w:rFonts w:cs="Times New Roman"/>
                <w:noProof/>
              </w:rPr>
              <w:t>The appointment of arbitrators</w:t>
            </w:r>
            <w:r>
              <w:rPr>
                <w:noProof/>
                <w:webHidden/>
              </w:rPr>
              <w:tab/>
            </w:r>
            <w:r>
              <w:rPr>
                <w:noProof/>
                <w:webHidden/>
              </w:rPr>
              <w:fldChar w:fldCharType="begin"/>
            </w:r>
            <w:r>
              <w:rPr>
                <w:noProof/>
                <w:webHidden/>
              </w:rPr>
              <w:instrText xml:space="preserve"> PAGEREF _Toc80808281 \h </w:instrText>
            </w:r>
            <w:r>
              <w:rPr>
                <w:noProof/>
                <w:webHidden/>
              </w:rPr>
            </w:r>
            <w:r>
              <w:rPr>
                <w:noProof/>
                <w:webHidden/>
              </w:rPr>
              <w:fldChar w:fldCharType="separate"/>
            </w:r>
            <w:r>
              <w:rPr>
                <w:noProof/>
                <w:webHidden/>
              </w:rPr>
              <w:t>53</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2" w:history="1">
            <w:r w:rsidRPr="00892566">
              <w:rPr>
                <w:rStyle w:val="Hyperlink"/>
                <w:rFonts w:eastAsia="Times New Roman" w:cs="Times New Roman"/>
                <w:noProof/>
              </w:rPr>
              <w:t>IV.</w:t>
            </w:r>
            <w:r>
              <w:rPr>
                <w:rFonts w:cstheme="minorBidi"/>
                <w:b w:val="0"/>
                <w:bCs w:val="0"/>
                <w:smallCaps w:val="0"/>
                <w:noProof/>
                <w:sz w:val="24"/>
                <w:szCs w:val="24"/>
                <w:lang w:val="en-IE" w:eastAsia="en-GB"/>
              </w:rPr>
              <w:tab/>
            </w:r>
            <w:r w:rsidRPr="00892566">
              <w:rPr>
                <w:rStyle w:val="Hyperlink"/>
                <w:rFonts w:eastAsia="Times New Roman" w:cs="Times New Roman"/>
                <w:noProof/>
              </w:rPr>
              <w:t>Challenge and Replacement of Arbitrators</w:t>
            </w:r>
            <w:r>
              <w:rPr>
                <w:noProof/>
                <w:webHidden/>
              </w:rPr>
              <w:tab/>
            </w:r>
            <w:r>
              <w:rPr>
                <w:noProof/>
                <w:webHidden/>
              </w:rPr>
              <w:fldChar w:fldCharType="begin"/>
            </w:r>
            <w:r>
              <w:rPr>
                <w:noProof/>
                <w:webHidden/>
              </w:rPr>
              <w:instrText xml:space="preserve"> PAGEREF _Toc80808282 \h </w:instrText>
            </w:r>
            <w:r>
              <w:rPr>
                <w:noProof/>
                <w:webHidden/>
              </w:rPr>
            </w:r>
            <w:r>
              <w:rPr>
                <w:noProof/>
                <w:webHidden/>
              </w:rPr>
              <w:fldChar w:fldCharType="separate"/>
            </w:r>
            <w:r>
              <w:rPr>
                <w:noProof/>
                <w:webHidden/>
              </w:rPr>
              <w:t>55</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3" w:history="1">
            <w:r w:rsidRPr="00892566">
              <w:rPr>
                <w:rStyle w:val="Hyperlink"/>
                <w:rFonts w:eastAsia="Times New Roman" w:cs="Times New Roman"/>
                <w:noProof/>
              </w:rPr>
              <w:t>V.</w:t>
            </w:r>
            <w:r>
              <w:rPr>
                <w:rFonts w:cstheme="minorBidi"/>
                <w:b w:val="0"/>
                <w:bCs w:val="0"/>
                <w:smallCaps w:val="0"/>
                <w:noProof/>
                <w:sz w:val="24"/>
                <w:szCs w:val="24"/>
                <w:lang w:val="en-IE" w:eastAsia="en-GB"/>
              </w:rPr>
              <w:tab/>
            </w:r>
            <w:r w:rsidRPr="00892566">
              <w:rPr>
                <w:rStyle w:val="Hyperlink"/>
                <w:rFonts w:eastAsia="Times New Roman" w:cs="Times New Roman"/>
                <w:noProof/>
              </w:rPr>
              <w:t>Interim Measures of Protection</w:t>
            </w:r>
            <w:r>
              <w:rPr>
                <w:noProof/>
                <w:webHidden/>
              </w:rPr>
              <w:tab/>
            </w:r>
            <w:r>
              <w:rPr>
                <w:noProof/>
                <w:webHidden/>
              </w:rPr>
              <w:fldChar w:fldCharType="begin"/>
            </w:r>
            <w:r>
              <w:rPr>
                <w:noProof/>
                <w:webHidden/>
              </w:rPr>
              <w:instrText xml:space="preserve"> PAGEREF _Toc80808283 \h </w:instrText>
            </w:r>
            <w:r>
              <w:rPr>
                <w:noProof/>
                <w:webHidden/>
              </w:rPr>
            </w:r>
            <w:r>
              <w:rPr>
                <w:noProof/>
                <w:webHidden/>
              </w:rPr>
              <w:fldChar w:fldCharType="separate"/>
            </w:r>
            <w:r>
              <w:rPr>
                <w:noProof/>
                <w:webHidden/>
              </w:rPr>
              <w:t>57</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4" w:history="1">
            <w:r w:rsidRPr="00892566">
              <w:rPr>
                <w:rStyle w:val="Hyperlink"/>
                <w:rFonts w:cs="Times New Roman"/>
                <w:noProof/>
              </w:rPr>
              <w:t>5.1.3</w:t>
            </w:r>
            <w:r>
              <w:rPr>
                <w:rFonts w:cstheme="minorBidi"/>
                <w:b w:val="0"/>
                <w:bCs w:val="0"/>
                <w:smallCaps w:val="0"/>
                <w:noProof/>
                <w:sz w:val="24"/>
                <w:szCs w:val="24"/>
                <w:lang w:val="en-IE" w:eastAsia="en-GB"/>
              </w:rPr>
              <w:tab/>
            </w:r>
            <w:r w:rsidRPr="00892566">
              <w:rPr>
                <w:rStyle w:val="Hyperlink"/>
                <w:rFonts w:cs="Times New Roman"/>
                <w:noProof/>
              </w:rPr>
              <w:t>Judicial Intervention during Arbitration Proceedings under the Arbitration and Conciliation Act</w:t>
            </w:r>
            <w:r>
              <w:rPr>
                <w:noProof/>
                <w:webHidden/>
              </w:rPr>
              <w:tab/>
            </w:r>
            <w:r>
              <w:rPr>
                <w:noProof/>
                <w:webHidden/>
              </w:rPr>
              <w:fldChar w:fldCharType="begin"/>
            </w:r>
            <w:r>
              <w:rPr>
                <w:noProof/>
                <w:webHidden/>
              </w:rPr>
              <w:instrText xml:space="preserve"> PAGEREF _Toc80808284 \h </w:instrText>
            </w:r>
            <w:r>
              <w:rPr>
                <w:noProof/>
                <w:webHidden/>
              </w:rPr>
            </w:r>
            <w:r>
              <w:rPr>
                <w:noProof/>
                <w:webHidden/>
              </w:rPr>
              <w:fldChar w:fldCharType="separate"/>
            </w:r>
            <w:r>
              <w:rPr>
                <w:noProof/>
                <w:webHidden/>
              </w:rPr>
              <w:t>59</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85" w:history="1">
            <w:r w:rsidRPr="00892566">
              <w:rPr>
                <w:rStyle w:val="Hyperlink"/>
                <w:rFonts w:eastAsia="Times New Roman" w:cs="Times New Roman"/>
                <w:noProof/>
              </w:rPr>
              <w:t>I.</w:t>
            </w:r>
            <w:r>
              <w:rPr>
                <w:rFonts w:cstheme="minorBidi"/>
                <w:smallCaps w:val="0"/>
                <w:noProof/>
                <w:sz w:val="24"/>
                <w:szCs w:val="24"/>
                <w:lang w:val="en-IE" w:eastAsia="en-GB"/>
              </w:rPr>
              <w:tab/>
            </w:r>
            <w:r w:rsidRPr="00892566">
              <w:rPr>
                <w:rStyle w:val="Hyperlink"/>
                <w:rFonts w:eastAsia="Times New Roman" w:cs="Times New Roman"/>
                <w:noProof/>
              </w:rPr>
              <w:t>Power to order attendance of witnesses</w:t>
            </w:r>
            <w:r>
              <w:rPr>
                <w:noProof/>
                <w:webHidden/>
              </w:rPr>
              <w:tab/>
            </w:r>
            <w:r>
              <w:rPr>
                <w:noProof/>
                <w:webHidden/>
              </w:rPr>
              <w:fldChar w:fldCharType="begin"/>
            </w:r>
            <w:r>
              <w:rPr>
                <w:noProof/>
                <w:webHidden/>
              </w:rPr>
              <w:instrText xml:space="preserve"> PAGEREF _Toc80808285 \h </w:instrText>
            </w:r>
            <w:r>
              <w:rPr>
                <w:noProof/>
                <w:webHidden/>
              </w:rPr>
            </w:r>
            <w:r>
              <w:rPr>
                <w:noProof/>
                <w:webHidden/>
              </w:rPr>
              <w:fldChar w:fldCharType="separate"/>
            </w:r>
            <w:r>
              <w:rPr>
                <w:noProof/>
                <w:webHidden/>
              </w:rPr>
              <w:t>59</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86" w:history="1">
            <w:r w:rsidRPr="00892566">
              <w:rPr>
                <w:rStyle w:val="Hyperlink"/>
                <w:rFonts w:cs="Times New Roman"/>
                <w:noProof/>
              </w:rPr>
              <w:t>5.1.4</w:t>
            </w:r>
            <w:r>
              <w:rPr>
                <w:rFonts w:cstheme="minorBidi"/>
                <w:b w:val="0"/>
                <w:bCs w:val="0"/>
                <w:smallCaps w:val="0"/>
                <w:noProof/>
                <w:sz w:val="24"/>
                <w:szCs w:val="24"/>
                <w:lang w:val="en-IE" w:eastAsia="en-GB"/>
              </w:rPr>
              <w:tab/>
            </w:r>
            <w:r w:rsidRPr="00892566">
              <w:rPr>
                <w:rStyle w:val="Hyperlink"/>
                <w:rFonts w:cs="Times New Roman"/>
                <w:noProof/>
              </w:rPr>
              <w:t>Judicial Intervention during the Post Arbitration Stage under the Arbitration and Conciliation Act</w:t>
            </w:r>
            <w:r>
              <w:rPr>
                <w:noProof/>
                <w:webHidden/>
              </w:rPr>
              <w:tab/>
            </w:r>
            <w:r>
              <w:rPr>
                <w:noProof/>
                <w:webHidden/>
              </w:rPr>
              <w:fldChar w:fldCharType="begin"/>
            </w:r>
            <w:r>
              <w:rPr>
                <w:noProof/>
                <w:webHidden/>
              </w:rPr>
              <w:instrText xml:space="preserve"> PAGEREF _Toc80808286 \h </w:instrText>
            </w:r>
            <w:r>
              <w:rPr>
                <w:noProof/>
                <w:webHidden/>
              </w:rPr>
            </w:r>
            <w:r>
              <w:rPr>
                <w:noProof/>
                <w:webHidden/>
              </w:rPr>
              <w:fldChar w:fldCharType="separate"/>
            </w:r>
            <w:r>
              <w:rPr>
                <w:noProof/>
                <w:webHidden/>
              </w:rPr>
              <w:t>60</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87" w:history="1">
            <w:r w:rsidRPr="00892566">
              <w:rPr>
                <w:rStyle w:val="Hyperlink"/>
                <w:rFonts w:eastAsia="Times New Roman" w:cs="Times New Roman"/>
                <w:noProof/>
              </w:rPr>
              <w:t>I.</w:t>
            </w:r>
            <w:r>
              <w:rPr>
                <w:rFonts w:cstheme="minorBidi"/>
                <w:smallCaps w:val="0"/>
                <w:noProof/>
                <w:sz w:val="24"/>
                <w:szCs w:val="24"/>
                <w:lang w:val="en-IE" w:eastAsia="en-GB"/>
              </w:rPr>
              <w:tab/>
            </w:r>
            <w:r w:rsidRPr="00892566">
              <w:rPr>
                <w:rStyle w:val="Hyperlink"/>
                <w:rFonts w:eastAsia="Times New Roman" w:cs="Times New Roman"/>
                <w:noProof/>
              </w:rPr>
              <w:t>Recourse against Award</w:t>
            </w:r>
            <w:r>
              <w:rPr>
                <w:noProof/>
                <w:webHidden/>
              </w:rPr>
              <w:tab/>
            </w:r>
            <w:r>
              <w:rPr>
                <w:noProof/>
                <w:webHidden/>
              </w:rPr>
              <w:fldChar w:fldCharType="begin"/>
            </w:r>
            <w:r>
              <w:rPr>
                <w:noProof/>
                <w:webHidden/>
              </w:rPr>
              <w:instrText xml:space="preserve"> PAGEREF _Toc80808287 \h </w:instrText>
            </w:r>
            <w:r>
              <w:rPr>
                <w:noProof/>
                <w:webHidden/>
              </w:rPr>
            </w:r>
            <w:r>
              <w:rPr>
                <w:noProof/>
                <w:webHidden/>
              </w:rPr>
              <w:fldChar w:fldCharType="separate"/>
            </w:r>
            <w:r>
              <w:rPr>
                <w:noProof/>
                <w:webHidden/>
              </w:rPr>
              <w:t>60</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88" w:history="1">
            <w:r w:rsidRPr="00892566">
              <w:rPr>
                <w:rStyle w:val="Hyperlink"/>
                <w:rFonts w:eastAsia="Times New Roman" w:cs="Times New Roman"/>
                <w:noProof/>
              </w:rPr>
              <w:t>II.</w:t>
            </w:r>
            <w:r>
              <w:rPr>
                <w:rFonts w:cstheme="minorBidi"/>
                <w:smallCaps w:val="0"/>
                <w:noProof/>
                <w:sz w:val="24"/>
                <w:szCs w:val="24"/>
                <w:lang w:val="en-IE" w:eastAsia="en-GB"/>
              </w:rPr>
              <w:tab/>
            </w:r>
            <w:r w:rsidRPr="00892566">
              <w:rPr>
                <w:rStyle w:val="Hyperlink"/>
                <w:rFonts w:eastAsia="Times New Roman" w:cs="Times New Roman"/>
                <w:noProof/>
              </w:rPr>
              <w:t>Setting Award an Award in case of Arbitrator Misconduct etc.</w:t>
            </w:r>
            <w:r>
              <w:rPr>
                <w:noProof/>
                <w:webHidden/>
              </w:rPr>
              <w:tab/>
            </w:r>
            <w:r>
              <w:rPr>
                <w:noProof/>
                <w:webHidden/>
              </w:rPr>
              <w:fldChar w:fldCharType="begin"/>
            </w:r>
            <w:r>
              <w:rPr>
                <w:noProof/>
                <w:webHidden/>
              </w:rPr>
              <w:instrText xml:space="preserve"> PAGEREF _Toc80808288 \h </w:instrText>
            </w:r>
            <w:r>
              <w:rPr>
                <w:noProof/>
                <w:webHidden/>
              </w:rPr>
            </w:r>
            <w:r>
              <w:rPr>
                <w:noProof/>
                <w:webHidden/>
              </w:rPr>
              <w:fldChar w:fldCharType="separate"/>
            </w:r>
            <w:r>
              <w:rPr>
                <w:noProof/>
                <w:webHidden/>
              </w:rPr>
              <w:t>62</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89" w:history="1">
            <w:r w:rsidRPr="00892566">
              <w:rPr>
                <w:rStyle w:val="Hyperlink"/>
                <w:rFonts w:eastAsia="Times New Roman" w:cs="Times New Roman"/>
                <w:noProof/>
              </w:rPr>
              <w:t>III.</w:t>
            </w:r>
            <w:r>
              <w:rPr>
                <w:rFonts w:cstheme="minorBidi"/>
                <w:smallCaps w:val="0"/>
                <w:noProof/>
                <w:sz w:val="24"/>
                <w:szCs w:val="24"/>
                <w:lang w:val="en-IE" w:eastAsia="en-GB"/>
              </w:rPr>
              <w:tab/>
            </w:r>
            <w:r w:rsidRPr="00892566">
              <w:rPr>
                <w:rStyle w:val="Hyperlink"/>
                <w:rFonts w:eastAsia="Times New Roman" w:cs="Times New Roman"/>
                <w:noProof/>
              </w:rPr>
              <w:t>Recognition and Enforcement of Award</w:t>
            </w:r>
            <w:r>
              <w:rPr>
                <w:noProof/>
                <w:webHidden/>
              </w:rPr>
              <w:tab/>
            </w:r>
            <w:r>
              <w:rPr>
                <w:noProof/>
                <w:webHidden/>
              </w:rPr>
              <w:fldChar w:fldCharType="begin"/>
            </w:r>
            <w:r>
              <w:rPr>
                <w:noProof/>
                <w:webHidden/>
              </w:rPr>
              <w:instrText xml:space="preserve"> PAGEREF _Toc80808289 \h </w:instrText>
            </w:r>
            <w:r>
              <w:rPr>
                <w:noProof/>
                <w:webHidden/>
              </w:rPr>
            </w:r>
            <w:r>
              <w:rPr>
                <w:noProof/>
                <w:webHidden/>
              </w:rPr>
              <w:fldChar w:fldCharType="separate"/>
            </w:r>
            <w:r>
              <w:rPr>
                <w:noProof/>
                <w:webHidden/>
              </w:rPr>
              <w:t>65</w:t>
            </w:r>
            <w:r>
              <w:rPr>
                <w:noProof/>
                <w:webHidden/>
              </w:rPr>
              <w:fldChar w:fldCharType="end"/>
            </w:r>
          </w:hyperlink>
        </w:p>
        <w:p w:rsidR="001C2CCB" w:rsidRDefault="001C2CCB" w:rsidP="001C2CCB">
          <w:pPr>
            <w:pStyle w:val="TOC3"/>
            <w:tabs>
              <w:tab w:val="left" w:pos="720"/>
              <w:tab w:val="right" w:leader="dot" w:pos="9350"/>
            </w:tabs>
            <w:rPr>
              <w:rFonts w:cstheme="minorBidi"/>
              <w:smallCaps w:val="0"/>
              <w:noProof/>
              <w:sz w:val="24"/>
              <w:szCs w:val="24"/>
              <w:lang w:val="en-IE" w:eastAsia="en-GB"/>
            </w:rPr>
          </w:pPr>
          <w:hyperlink w:anchor="_Toc80808290" w:history="1">
            <w:r w:rsidRPr="00892566">
              <w:rPr>
                <w:rStyle w:val="Hyperlink"/>
                <w:rFonts w:eastAsia="Times New Roman" w:cs="Times New Roman"/>
                <w:noProof/>
              </w:rPr>
              <w:t>IV.</w:t>
            </w:r>
            <w:r>
              <w:rPr>
                <w:rFonts w:cstheme="minorBidi"/>
                <w:smallCaps w:val="0"/>
                <w:noProof/>
                <w:sz w:val="24"/>
                <w:szCs w:val="24"/>
                <w:lang w:val="en-IE" w:eastAsia="en-GB"/>
              </w:rPr>
              <w:tab/>
            </w:r>
            <w:r w:rsidRPr="00892566">
              <w:rPr>
                <w:rStyle w:val="Hyperlink"/>
                <w:rFonts w:eastAsia="Times New Roman" w:cs="Times New Roman"/>
                <w:noProof/>
              </w:rPr>
              <w:t>Refusal of Recognition or Enforcement of Award</w:t>
            </w:r>
            <w:r>
              <w:rPr>
                <w:noProof/>
                <w:webHidden/>
              </w:rPr>
              <w:tab/>
            </w:r>
            <w:r>
              <w:rPr>
                <w:noProof/>
                <w:webHidden/>
              </w:rPr>
              <w:fldChar w:fldCharType="begin"/>
            </w:r>
            <w:r>
              <w:rPr>
                <w:noProof/>
                <w:webHidden/>
              </w:rPr>
              <w:instrText xml:space="preserve"> PAGEREF _Toc80808290 \h </w:instrText>
            </w:r>
            <w:r>
              <w:rPr>
                <w:noProof/>
                <w:webHidden/>
              </w:rPr>
            </w:r>
            <w:r>
              <w:rPr>
                <w:noProof/>
                <w:webHidden/>
              </w:rPr>
              <w:fldChar w:fldCharType="separate"/>
            </w:r>
            <w:r>
              <w:rPr>
                <w:noProof/>
                <w:webHidden/>
              </w:rPr>
              <w:t>66</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91" w:history="1">
            <w:r w:rsidRPr="00892566">
              <w:rPr>
                <w:rStyle w:val="Hyperlink"/>
                <w:noProof/>
              </w:rPr>
              <w:t>5.2</w:t>
            </w:r>
            <w:r>
              <w:rPr>
                <w:rFonts w:cstheme="minorBidi"/>
                <w:b w:val="0"/>
                <w:bCs w:val="0"/>
                <w:smallCaps w:val="0"/>
                <w:noProof/>
                <w:sz w:val="24"/>
                <w:szCs w:val="24"/>
                <w:lang w:val="en-IE" w:eastAsia="en-GB"/>
              </w:rPr>
              <w:tab/>
            </w:r>
            <w:r w:rsidRPr="00892566">
              <w:rPr>
                <w:rStyle w:val="Hyperlink"/>
                <w:noProof/>
              </w:rPr>
              <w:t>Conclusion</w:t>
            </w:r>
            <w:r>
              <w:rPr>
                <w:noProof/>
                <w:webHidden/>
              </w:rPr>
              <w:tab/>
            </w:r>
            <w:r>
              <w:rPr>
                <w:noProof/>
                <w:webHidden/>
              </w:rPr>
              <w:fldChar w:fldCharType="begin"/>
            </w:r>
            <w:r>
              <w:rPr>
                <w:noProof/>
                <w:webHidden/>
              </w:rPr>
              <w:instrText xml:space="preserve"> PAGEREF _Toc80808291 \h </w:instrText>
            </w:r>
            <w:r>
              <w:rPr>
                <w:noProof/>
                <w:webHidden/>
              </w:rPr>
            </w:r>
            <w:r>
              <w:rPr>
                <w:noProof/>
                <w:webHidden/>
              </w:rPr>
              <w:fldChar w:fldCharType="separate"/>
            </w:r>
            <w:r>
              <w:rPr>
                <w:noProof/>
                <w:webHidden/>
              </w:rPr>
              <w:t>70</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292" w:history="1">
            <w:r w:rsidRPr="00892566">
              <w:rPr>
                <w:rStyle w:val="Hyperlink"/>
                <w:rFonts w:cs="Times New Roman"/>
                <w:noProof/>
              </w:rPr>
              <w:t>6.</w:t>
            </w:r>
            <w:r>
              <w:rPr>
                <w:noProof/>
                <w:sz w:val="24"/>
                <w:szCs w:val="24"/>
                <w:lang w:val="en-IE" w:eastAsia="en-GB"/>
              </w:rPr>
              <w:tab/>
            </w:r>
            <w:r w:rsidRPr="00892566">
              <w:rPr>
                <w:rStyle w:val="Hyperlink"/>
                <w:rFonts w:cs="Times New Roman"/>
                <w:noProof/>
              </w:rPr>
              <w:t>CHAPTER SIX</w:t>
            </w:r>
            <w:r>
              <w:rPr>
                <w:noProof/>
                <w:webHidden/>
              </w:rPr>
              <w:tab/>
            </w:r>
            <w:r>
              <w:rPr>
                <w:noProof/>
                <w:webHidden/>
              </w:rPr>
              <w:fldChar w:fldCharType="begin"/>
            </w:r>
            <w:r>
              <w:rPr>
                <w:noProof/>
                <w:webHidden/>
              </w:rPr>
              <w:instrText xml:space="preserve"> PAGEREF _Toc80808292 \h </w:instrText>
            </w:r>
            <w:r>
              <w:rPr>
                <w:noProof/>
                <w:webHidden/>
              </w:rPr>
            </w:r>
            <w:r>
              <w:rPr>
                <w:noProof/>
                <w:webHidden/>
              </w:rPr>
              <w:fldChar w:fldCharType="separate"/>
            </w:r>
            <w:r>
              <w:rPr>
                <w:noProof/>
                <w:webHidden/>
              </w:rPr>
              <w:t>71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93" w:history="1">
            <w:r w:rsidRPr="00892566">
              <w:rPr>
                <w:rStyle w:val="Hyperlink"/>
                <w:rFonts w:eastAsiaTheme="minorHAnsi" w:cs="Times New Roman"/>
                <w:noProof/>
              </w:rPr>
              <w:t>6.1</w:t>
            </w:r>
            <w:r>
              <w:rPr>
                <w:rFonts w:cstheme="minorBidi"/>
                <w:b w:val="0"/>
                <w:bCs w:val="0"/>
                <w:smallCaps w:val="0"/>
                <w:noProof/>
                <w:sz w:val="24"/>
                <w:szCs w:val="24"/>
                <w:lang w:val="en-IE" w:eastAsia="en-GB"/>
              </w:rPr>
              <w:tab/>
            </w:r>
            <w:r w:rsidRPr="00892566">
              <w:rPr>
                <w:rStyle w:val="Hyperlink"/>
                <w:rFonts w:eastAsiaTheme="minorHAnsi" w:cs="Times New Roman"/>
                <w:noProof/>
              </w:rPr>
              <w:t>CONCLUSION AND RECOMMENDATIONS</w:t>
            </w:r>
            <w:r>
              <w:rPr>
                <w:noProof/>
                <w:webHidden/>
              </w:rPr>
              <w:tab/>
            </w:r>
            <w:r>
              <w:rPr>
                <w:noProof/>
                <w:webHidden/>
              </w:rPr>
              <w:fldChar w:fldCharType="begin"/>
            </w:r>
            <w:r>
              <w:rPr>
                <w:noProof/>
                <w:webHidden/>
              </w:rPr>
              <w:instrText xml:space="preserve"> PAGEREF _Toc80808293 \h </w:instrText>
            </w:r>
            <w:r>
              <w:rPr>
                <w:noProof/>
                <w:webHidden/>
              </w:rPr>
            </w:r>
            <w:r>
              <w:rPr>
                <w:noProof/>
                <w:webHidden/>
              </w:rPr>
              <w:fldChar w:fldCharType="separate"/>
            </w:r>
            <w:r>
              <w:rPr>
                <w:noProof/>
                <w:webHidden/>
              </w:rPr>
              <w:t>71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94" w:history="1">
            <w:r w:rsidRPr="00892566">
              <w:rPr>
                <w:rStyle w:val="Hyperlink"/>
                <w:rFonts w:cs="Times New Roman"/>
                <w:noProof/>
              </w:rPr>
              <w:t>6.1.1</w:t>
            </w:r>
            <w:r>
              <w:rPr>
                <w:rFonts w:cstheme="minorBidi"/>
                <w:b w:val="0"/>
                <w:bCs w:val="0"/>
                <w:smallCaps w:val="0"/>
                <w:noProof/>
                <w:sz w:val="24"/>
                <w:szCs w:val="24"/>
                <w:lang w:val="en-IE" w:eastAsia="en-GB"/>
              </w:rPr>
              <w:tab/>
            </w:r>
            <w:r w:rsidRPr="00892566">
              <w:rPr>
                <w:rStyle w:val="Hyperlink"/>
                <w:rFonts w:cs="Times New Roman"/>
                <w:noProof/>
              </w:rPr>
              <w:t>Overview</w:t>
            </w:r>
            <w:r>
              <w:rPr>
                <w:noProof/>
                <w:webHidden/>
              </w:rPr>
              <w:tab/>
            </w:r>
            <w:r>
              <w:rPr>
                <w:noProof/>
                <w:webHidden/>
              </w:rPr>
              <w:fldChar w:fldCharType="begin"/>
            </w:r>
            <w:r>
              <w:rPr>
                <w:noProof/>
                <w:webHidden/>
              </w:rPr>
              <w:instrText xml:space="preserve"> PAGEREF _Toc80808294 \h </w:instrText>
            </w:r>
            <w:r>
              <w:rPr>
                <w:noProof/>
                <w:webHidden/>
              </w:rPr>
            </w:r>
            <w:r>
              <w:rPr>
                <w:noProof/>
                <w:webHidden/>
              </w:rPr>
              <w:fldChar w:fldCharType="separate"/>
            </w:r>
            <w:r>
              <w:rPr>
                <w:noProof/>
                <w:webHidden/>
              </w:rPr>
              <w:t>71</w:t>
            </w:r>
            <w:r>
              <w:rPr>
                <w:noProof/>
                <w:webHidden/>
              </w:rPr>
              <w:fldChar w:fldCharType="end"/>
            </w:r>
          </w:hyperlink>
        </w:p>
        <w:p w:rsidR="001C2CCB" w:rsidRDefault="001C2CCB" w:rsidP="001C2CCB">
          <w:pPr>
            <w:pStyle w:val="TOC2"/>
            <w:tabs>
              <w:tab w:val="left" w:pos="720"/>
              <w:tab w:val="right" w:leader="dot" w:pos="9350"/>
            </w:tabs>
            <w:rPr>
              <w:rFonts w:cstheme="minorBidi"/>
              <w:b w:val="0"/>
              <w:bCs w:val="0"/>
              <w:smallCaps w:val="0"/>
              <w:noProof/>
              <w:sz w:val="24"/>
              <w:szCs w:val="24"/>
              <w:lang w:val="en-IE" w:eastAsia="en-GB"/>
            </w:rPr>
          </w:pPr>
          <w:hyperlink w:anchor="_Toc80808295" w:history="1">
            <w:r w:rsidRPr="00892566">
              <w:rPr>
                <w:rStyle w:val="Hyperlink"/>
                <w:rFonts w:cs="Times New Roman"/>
                <w:noProof/>
              </w:rPr>
              <w:t>6.2</w:t>
            </w:r>
            <w:r>
              <w:rPr>
                <w:rFonts w:cstheme="minorBidi"/>
                <w:b w:val="0"/>
                <w:bCs w:val="0"/>
                <w:smallCaps w:val="0"/>
                <w:noProof/>
                <w:sz w:val="24"/>
                <w:szCs w:val="24"/>
                <w:lang w:val="en-IE" w:eastAsia="en-GB"/>
              </w:rPr>
              <w:tab/>
            </w:r>
            <w:r w:rsidRPr="00892566">
              <w:rPr>
                <w:rStyle w:val="Hyperlink"/>
                <w:rFonts w:cs="Times New Roman"/>
                <w:noProof/>
              </w:rPr>
              <w:t>Recommendations</w:t>
            </w:r>
            <w:r>
              <w:rPr>
                <w:noProof/>
                <w:webHidden/>
              </w:rPr>
              <w:tab/>
            </w:r>
            <w:r>
              <w:rPr>
                <w:noProof/>
                <w:webHidden/>
              </w:rPr>
              <w:fldChar w:fldCharType="begin"/>
            </w:r>
            <w:r>
              <w:rPr>
                <w:noProof/>
                <w:webHidden/>
              </w:rPr>
              <w:instrText xml:space="preserve"> PAGEREF _Toc80808295 \h </w:instrText>
            </w:r>
            <w:r>
              <w:rPr>
                <w:noProof/>
                <w:webHidden/>
              </w:rPr>
            </w:r>
            <w:r>
              <w:rPr>
                <w:noProof/>
                <w:webHidden/>
              </w:rPr>
              <w:fldChar w:fldCharType="separate"/>
            </w:r>
            <w:r>
              <w:rPr>
                <w:noProof/>
                <w:webHidden/>
              </w:rPr>
              <w:t>71</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96" w:history="1">
            <w:r w:rsidRPr="00892566">
              <w:rPr>
                <w:rStyle w:val="Hyperlink"/>
                <w:rFonts w:cs="Times New Roman"/>
                <w:noProof/>
              </w:rPr>
              <w:t>REFERENCES</w:t>
            </w:r>
            <w:r>
              <w:rPr>
                <w:noProof/>
                <w:webHidden/>
              </w:rPr>
              <w:tab/>
            </w:r>
            <w:r>
              <w:rPr>
                <w:noProof/>
                <w:webHidden/>
              </w:rPr>
              <w:fldChar w:fldCharType="begin"/>
            </w:r>
            <w:r>
              <w:rPr>
                <w:noProof/>
                <w:webHidden/>
              </w:rPr>
              <w:instrText xml:space="preserve"> PAGEREF _Toc80808296 \h </w:instrText>
            </w:r>
            <w:r>
              <w:rPr>
                <w:noProof/>
                <w:webHidden/>
              </w:rPr>
            </w:r>
            <w:r>
              <w:rPr>
                <w:noProof/>
                <w:webHidden/>
              </w:rPr>
              <w:fldChar w:fldCharType="separate"/>
            </w:r>
            <w:r>
              <w:rPr>
                <w:noProof/>
                <w:webHidden/>
              </w:rPr>
              <w:t>75</w:t>
            </w:r>
            <w:r>
              <w:rPr>
                <w:noProof/>
                <w:webHidden/>
              </w:rPr>
              <w:fldChar w:fldCharType="end"/>
            </w:r>
          </w:hyperlink>
        </w:p>
        <w:p w:rsidR="001C2CCB" w:rsidRDefault="001C2CCB" w:rsidP="001C2CCB">
          <w:pPr>
            <w:pStyle w:val="TOC1"/>
            <w:tabs>
              <w:tab w:val="right" w:leader="dot" w:pos="9350"/>
            </w:tabs>
            <w:rPr>
              <w:noProof/>
              <w:sz w:val="24"/>
              <w:szCs w:val="24"/>
              <w:lang w:val="en-IE" w:eastAsia="en-GB"/>
            </w:rPr>
          </w:pPr>
          <w:hyperlink w:anchor="_Toc80808297" w:history="1">
            <w:r w:rsidRPr="00892566">
              <w:rPr>
                <w:rStyle w:val="Hyperlink"/>
                <w:noProof/>
              </w:rPr>
              <w:t>APPENDICES</w:t>
            </w:r>
            <w:r>
              <w:rPr>
                <w:noProof/>
                <w:webHidden/>
              </w:rPr>
              <w:tab/>
            </w:r>
            <w:r>
              <w:rPr>
                <w:noProof/>
                <w:webHidden/>
              </w:rPr>
              <w:fldChar w:fldCharType="begin"/>
            </w:r>
            <w:r>
              <w:rPr>
                <w:noProof/>
                <w:webHidden/>
              </w:rPr>
              <w:instrText xml:space="preserve"> PAGEREF _Toc80808297 \h </w:instrText>
            </w:r>
            <w:r>
              <w:rPr>
                <w:noProof/>
                <w:webHidden/>
              </w:rPr>
            </w:r>
            <w:r>
              <w:rPr>
                <w:noProof/>
                <w:webHidden/>
              </w:rPr>
              <w:fldChar w:fldCharType="separate"/>
            </w:r>
            <w:r>
              <w:rPr>
                <w:noProof/>
                <w:webHidden/>
              </w:rPr>
              <w:t>i</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98" w:history="1">
            <w:r w:rsidRPr="00892566">
              <w:rPr>
                <w:rStyle w:val="Hyperlink"/>
                <w:noProof/>
              </w:rPr>
              <w:t>Appendix A- Transcript of responses</w:t>
            </w:r>
            <w:r>
              <w:rPr>
                <w:noProof/>
                <w:webHidden/>
              </w:rPr>
              <w:tab/>
            </w:r>
            <w:r>
              <w:rPr>
                <w:noProof/>
                <w:webHidden/>
              </w:rPr>
              <w:fldChar w:fldCharType="begin"/>
            </w:r>
            <w:r>
              <w:rPr>
                <w:noProof/>
                <w:webHidden/>
              </w:rPr>
              <w:instrText xml:space="preserve"> PAGEREF _Toc80808298 \h </w:instrText>
            </w:r>
            <w:r>
              <w:rPr>
                <w:noProof/>
                <w:webHidden/>
              </w:rPr>
            </w:r>
            <w:r>
              <w:rPr>
                <w:noProof/>
                <w:webHidden/>
              </w:rPr>
              <w:fldChar w:fldCharType="separate"/>
            </w:r>
            <w:r>
              <w:rPr>
                <w:noProof/>
                <w:webHidden/>
              </w:rPr>
              <w:t>i</w:t>
            </w:r>
            <w:r>
              <w:rPr>
                <w:noProof/>
                <w:webHidden/>
              </w:rPr>
              <w:fldChar w:fldCharType="end"/>
            </w:r>
          </w:hyperlink>
        </w:p>
        <w:p w:rsidR="001C2CCB" w:rsidRDefault="001C2CCB" w:rsidP="001C2CCB">
          <w:pPr>
            <w:pStyle w:val="TOC2"/>
            <w:tabs>
              <w:tab w:val="right" w:leader="dot" w:pos="9350"/>
            </w:tabs>
            <w:rPr>
              <w:rFonts w:cstheme="minorBidi"/>
              <w:b w:val="0"/>
              <w:bCs w:val="0"/>
              <w:smallCaps w:val="0"/>
              <w:noProof/>
              <w:sz w:val="24"/>
              <w:szCs w:val="24"/>
              <w:lang w:val="en-IE" w:eastAsia="en-GB"/>
            </w:rPr>
          </w:pPr>
          <w:hyperlink w:anchor="_Toc80808299" w:history="1">
            <w:r w:rsidRPr="00892566">
              <w:rPr>
                <w:rStyle w:val="Hyperlink"/>
                <w:noProof/>
              </w:rPr>
              <w:t>Appendix B- Z (d) - Interview Responses</w:t>
            </w:r>
            <w:r>
              <w:rPr>
                <w:noProof/>
                <w:webHidden/>
              </w:rPr>
              <w:tab/>
            </w:r>
            <w:r>
              <w:rPr>
                <w:noProof/>
                <w:webHidden/>
              </w:rPr>
              <w:fldChar w:fldCharType="begin"/>
            </w:r>
            <w:r>
              <w:rPr>
                <w:noProof/>
                <w:webHidden/>
              </w:rPr>
              <w:instrText xml:space="preserve"> PAGEREF _Toc80808299 \h </w:instrText>
            </w:r>
            <w:r>
              <w:rPr>
                <w:noProof/>
                <w:webHidden/>
              </w:rPr>
            </w:r>
            <w:r>
              <w:rPr>
                <w:noProof/>
                <w:webHidden/>
              </w:rPr>
              <w:fldChar w:fldCharType="separate"/>
            </w:r>
            <w:r>
              <w:rPr>
                <w:noProof/>
                <w:webHidden/>
              </w:rPr>
              <w:t>xxix</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300" w:history="1">
            <w:r w:rsidRPr="00892566">
              <w:rPr>
                <w:rStyle w:val="Hyperlink"/>
                <w:noProof/>
              </w:rPr>
              <w:t>1</w:t>
            </w:r>
            <w:r>
              <w:rPr>
                <w:noProof/>
                <w:sz w:val="24"/>
                <w:szCs w:val="24"/>
                <w:lang w:val="en-IE" w:eastAsia="en-GB"/>
              </w:rPr>
              <w:tab/>
            </w:r>
            <w:r w:rsidRPr="00892566">
              <w:rPr>
                <w:rStyle w:val="Hyperlink"/>
                <w:noProof/>
              </w:rPr>
              <w:t>Clarification of the purpose of the research</w:t>
            </w:r>
            <w:r>
              <w:rPr>
                <w:noProof/>
                <w:webHidden/>
              </w:rPr>
              <w:tab/>
            </w:r>
            <w:r>
              <w:rPr>
                <w:noProof/>
                <w:webHidden/>
              </w:rPr>
              <w:fldChar w:fldCharType="begin"/>
            </w:r>
            <w:r>
              <w:rPr>
                <w:noProof/>
                <w:webHidden/>
              </w:rPr>
              <w:instrText xml:space="preserve"> PAGEREF _Toc80808300 \h </w:instrText>
            </w:r>
            <w:r>
              <w:rPr>
                <w:noProof/>
                <w:webHidden/>
              </w:rPr>
            </w:r>
            <w:r>
              <w:rPr>
                <w:noProof/>
                <w:webHidden/>
              </w:rPr>
              <w:fldChar w:fldCharType="separate"/>
            </w:r>
            <w:r>
              <w:rPr>
                <w:noProof/>
                <w:webHidden/>
              </w:rPr>
              <w:t>xxxii</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301" w:history="1">
            <w:r w:rsidRPr="00892566">
              <w:rPr>
                <w:rStyle w:val="Hyperlink"/>
                <w:noProof/>
              </w:rPr>
              <w:t>2</w:t>
            </w:r>
            <w:r>
              <w:rPr>
                <w:noProof/>
                <w:sz w:val="24"/>
                <w:szCs w:val="24"/>
                <w:lang w:val="en-IE" w:eastAsia="en-GB"/>
              </w:rPr>
              <w:tab/>
            </w:r>
            <w:r w:rsidRPr="00892566">
              <w:rPr>
                <w:rStyle w:val="Hyperlink"/>
                <w:noProof/>
              </w:rPr>
              <w:t>Confirmation of particular requirements as highlighted in the Plain Language Statement</w:t>
            </w:r>
            <w:r>
              <w:rPr>
                <w:noProof/>
                <w:webHidden/>
              </w:rPr>
              <w:tab/>
            </w:r>
            <w:r>
              <w:rPr>
                <w:noProof/>
                <w:webHidden/>
              </w:rPr>
              <w:fldChar w:fldCharType="begin"/>
            </w:r>
            <w:r>
              <w:rPr>
                <w:noProof/>
                <w:webHidden/>
              </w:rPr>
              <w:instrText xml:space="preserve"> PAGEREF _Toc80808301 \h </w:instrText>
            </w:r>
            <w:r>
              <w:rPr>
                <w:noProof/>
                <w:webHidden/>
              </w:rPr>
            </w:r>
            <w:r>
              <w:rPr>
                <w:noProof/>
                <w:webHidden/>
              </w:rPr>
              <w:fldChar w:fldCharType="separate"/>
            </w:r>
            <w:r>
              <w:rPr>
                <w:noProof/>
                <w:webHidden/>
              </w:rPr>
              <w:t>xxxii</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302" w:history="1">
            <w:r w:rsidRPr="00892566">
              <w:rPr>
                <w:rStyle w:val="Hyperlink"/>
                <w:noProof/>
              </w:rPr>
              <w:t>3</w:t>
            </w:r>
            <w:r>
              <w:rPr>
                <w:noProof/>
                <w:sz w:val="24"/>
                <w:szCs w:val="24"/>
                <w:lang w:val="en-IE" w:eastAsia="en-GB"/>
              </w:rPr>
              <w:tab/>
            </w:r>
            <w:r w:rsidRPr="00892566">
              <w:rPr>
                <w:rStyle w:val="Hyperlink"/>
                <w:noProof/>
              </w:rPr>
              <w:t>Confirmation that involvement in the Research Study is voluntary</w:t>
            </w:r>
            <w:r>
              <w:rPr>
                <w:noProof/>
                <w:webHidden/>
              </w:rPr>
              <w:tab/>
            </w:r>
            <w:r>
              <w:rPr>
                <w:noProof/>
                <w:webHidden/>
              </w:rPr>
              <w:fldChar w:fldCharType="begin"/>
            </w:r>
            <w:r>
              <w:rPr>
                <w:noProof/>
                <w:webHidden/>
              </w:rPr>
              <w:instrText xml:space="preserve"> PAGEREF _Toc80808302 \h </w:instrText>
            </w:r>
            <w:r>
              <w:rPr>
                <w:noProof/>
                <w:webHidden/>
              </w:rPr>
            </w:r>
            <w:r>
              <w:rPr>
                <w:noProof/>
                <w:webHidden/>
              </w:rPr>
              <w:fldChar w:fldCharType="separate"/>
            </w:r>
            <w:r>
              <w:rPr>
                <w:noProof/>
                <w:webHidden/>
              </w:rPr>
              <w:t>xxxiii</w:t>
            </w:r>
            <w:r>
              <w:rPr>
                <w:noProof/>
                <w:webHidden/>
              </w:rPr>
              <w:fldChar w:fldCharType="end"/>
            </w:r>
          </w:hyperlink>
        </w:p>
        <w:p w:rsidR="001C2CCB" w:rsidRDefault="001C2CCB" w:rsidP="001C2CCB">
          <w:pPr>
            <w:pStyle w:val="TOC1"/>
            <w:tabs>
              <w:tab w:val="left" w:pos="720"/>
              <w:tab w:val="right" w:leader="dot" w:pos="9350"/>
            </w:tabs>
            <w:rPr>
              <w:noProof/>
              <w:sz w:val="24"/>
              <w:szCs w:val="24"/>
              <w:lang w:val="en-IE" w:eastAsia="en-GB"/>
            </w:rPr>
          </w:pPr>
          <w:hyperlink w:anchor="_Toc80808303" w:history="1">
            <w:r w:rsidRPr="00892566">
              <w:rPr>
                <w:rStyle w:val="Hyperlink"/>
                <w:noProof/>
              </w:rPr>
              <w:t>4</w:t>
            </w:r>
            <w:r>
              <w:rPr>
                <w:noProof/>
                <w:sz w:val="24"/>
                <w:szCs w:val="24"/>
                <w:lang w:val="en-IE" w:eastAsia="en-GB"/>
              </w:rPr>
              <w:tab/>
            </w:r>
            <w:r w:rsidRPr="00892566">
              <w:rPr>
                <w:rStyle w:val="Hyperlink"/>
                <w:noProof/>
              </w:rPr>
              <w:t>Advice as to arrangements to be made to protect confidentiality of data, including that confidentiality of information provided is subject to legal limitations</w:t>
            </w:r>
            <w:r>
              <w:rPr>
                <w:noProof/>
                <w:webHidden/>
              </w:rPr>
              <w:tab/>
            </w:r>
            <w:r>
              <w:rPr>
                <w:noProof/>
                <w:webHidden/>
              </w:rPr>
              <w:fldChar w:fldCharType="begin"/>
            </w:r>
            <w:r>
              <w:rPr>
                <w:noProof/>
                <w:webHidden/>
              </w:rPr>
              <w:instrText xml:space="preserve"> PAGEREF _Toc80808303 \h </w:instrText>
            </w:r>
            <w:r>
              <w:rPr>
                <w:noProof/>
                <w:webHidden/>
              </w:rPr>
            </w:r>
            <w:r>
              <w:rPr>
                <w:noProof/>
                <w:webHidden/>
              </w:rPr>
              <w:fldChar w:fldCharType="separate"/>
            </w:r>
            <w:r>
              <w:rPr>
                <w:noProof/>
                <w:webHidden/>
              </w:rPr>
              <w:t>xxxiii</w:t>
            </w:r>
            <w:r>
              <w:rPr>
                <w:noProof/>
                <w:webHidden/>
              </w:rPr>
              <w:fldChar w:fldCharType="end"/>
            </w:r>
          </w:hyperlink>
        </w:p>
        <w:p w:rsidR="001C2CCB" w:rsidRPr="00944EB8" w:rsidRDefault="001C2CCB" w:rsidP="001C2CCB">
          <w:p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fldChar w:fldCharType="end"/>
          </w:r>
        </w:p>
      </w:sdtContent>
    </w:sdt>
    <w:p w:rsidR="001C2CCB" w:rsidRDefault="001C2CCB" w:rsidP="001C2CCB">
      <w:pPr>
        <w:spacing w:before="0" w:after="0" w:line="360" w:lineRule="auto"/>
        <w:jc w:val="both"/>
        <w:rPr>
          <w:rFonts w:ascii="Bookman Old Style" w:hAnsi="Bookman Old Style"/>
          <w:sz w:val="24"/>
          <w:szCs w:val="24"/>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pPr>
    </w:p>
    <w:p w:rsidR="001C2CCB" w:rsidRDefault="001C2CCB" w:rsidP="001C2CCB">
      <w:pPr>
        <w:spacing w:before="0" w:after="0" w:line="360" w:lineRule="auto"/>
        <w:jc w:val="both"/>
        <w:rPr>
          <w:rFonts w:cstheme="minorHAnsi"/>
          <w:b/>
          <w:sz w:val="22"/>
          <w:szCs w:val="22"/>
        </w:rPr>
        <w:sectPr w:rsidR="001C2CCB" w:rsidSect="00F62DE9">
          <w:footerReference w:type="default" r:id="rId11"/>
          <w:pgSz w:w="12240" w:h="15840"/>
          <w:pgMar w:top="1440" w:right="1440" w:bottom="1440" w:left="1440" w:header="720" w:footer="720" w:gutter="0"/>
          <w:pgNumType w:fmt="upperLetter" w:start="1"/>
          <w:cols w:space="720"/>
          <w:docGrid w:linePitch="360"/>
        </w:sectPr>
      </w:pPr>
    </w:p>
    <w:p w:rsidR="001C2CCB" w:rsidRDefault="001C2CCB" w:rsidP="001C2CCB">
      <w:pPr>
        <w:spacing w:before="0" w:after="0" w:line="360" w:lineRule="auto"/>
        <w:jc w:val="both"/>
        <w:rPr>
          <w:rFonts w:cstheme="minorHAnsi"/>
          <w:b/>
          <w:sz w:val="22"/>
          <w:szCs w:val="22"/>
        </w:rPr>
      </w:pPr>
    </w:p>
    <w:p w:rsidR="001C2CCB" w:rsidRPr="00944EB8" w:rsidRDefault="001C2CCB" w:rsidP="001C2CCB">
      <w:pPr>
        <w:pStyle w:val="Heading1"/>
        <w:numPr>
          <w:ilvl w:val="0"/>
          <w:numId w:val="1"/>
        </w:numPr>
        <w:spacing w:before="0"/>
        <w:jc w:val="center"/>
        <w:rPr>
          <w:rFonts w:cs="Times New Roman"/>
          <w:color w:val="auto"/>
          <w:szCs w:val="24"/>
        </w:rPr>
      </w:pPr>
      <w:bookmarkStart w:id="6" w:name="_Toc67515372"/>
      <w:bookmarkStart w:id="7" w:name="_Toc67523176"/>
      <w:bookmarkStart w:id="8" w:name="_Toc80808227"/>
      <w:r w:rsidRPr="00944EB8">
        <w:rPr>
          <w:rFonts w:cs="Times New Roman"/>
          <w:color w:val="auto"/>
          <w:szCs w:val="24"/>
        </w:rPr>
        <w:t>CHAPTER ONE</w:t>
      </w:r>
      <w:bookmarkEnd w:id="6"/>
      <w:bookmarkEnd w:id="7"/>
      <w:bookmarkEnd w:id="8"/>
    </w:p>
    <w:p w:rsidR="001C2CCB" w:rsidRPr="00944EB8" w:rsidRDefault="001C2CCB" w:rsidP="001C2CCB">
      <w:pPr>
        <w:spacing w:after="0"/>
        <w:rPr>
          <w:rFonts w:ascii="Times New Roman" w:hAnsi="Times New Roman" w:cs="Times New Roman"/>
        </w:rPr>
      </w:pPr>
    </w:p>
    <w:p w:rsidR="001C2CCB" w:rsidRPr="00944EB8" w:rsidRDefault="001C2CCB" w:rsidP="001C2CCB">
      <w:pPr>
        <w:pStyle w:val="Heading2"/>
        <w:numPr>
          <w:ilvl w:val="0"/>
          <w:numId w:val="0"/>
        </w:numPr>
        <w:spacing w:before="0"/>
        <w:ind w:left="576"/>
        <w:rPr>
          <w:rFonts w:cs="Times New Roman"/>
          <w:color w:val="auto"/>
        </w:rPr>
      </w:pPr>
      <w:bookmarkStart w:id="9" w:name="_Toc67508701"/>
      <w:bookmarkStart w:id="10" w:name="_Toc67512506"/>
      <w:bookmarkStart w:id="11" w:name="_Toc80808228"/>
      <w:r w:rsidRPr="00944EB8">
        <w:rPr>
          <w:rFonts w:cs="Times New Roman"/>
          <w:color w:val="auto"/>
        </w:rPr>
        <w:t>INTRODUCTION TO THE CONCEPT OF JUDICIAL INTERVENTION IN ARBITRATION</w:t>
      </w:r>
      <w:bookmarkEnd w:id="9"/>
      <w:bookmarkEnd w:id="10"/>
      <w:bookmarkEnd w:id="11"/>
    </w:p>
    <w:p w:rsidR="001C2CCB" w:rsidRPr="00944EB8" w:rsidRDefault="001C2CCB" w:rsidP="001C2CCB">
      <w:pPr>
        <w:spacing w:before="0" w:after="0"/>
        <w:ind w:left="576"/>
        <w:rPr>
          <w:rFonts w:ascii="Times New Roman" w:hAnsi="Times New Roman" w:cs="Times New Roman"/>
          <w:lang w:val="en-US"/>
        </w:rPr>
      </w:pPr>
    </w:p>
    <w:p w:rsidR="001C2CCB" w:rsidRPr="00944EB8" w:rsidRDefault="001C2CCB" w:rsidP="001C2CCB">
      <w:pPr>
        <w:pStyle w:val="Heading2"/>
        <w:numPr>
          <w:ilvl w:val="0"/>
          <w:numId w:val="19"/>
        </w:numPr>
        <w:spacing w:before="0"/>
        <w:rPr>
          <w:rFonts w:cs="Times New Roman"/>
          <w:color w:val="auto"/>
        </w:rPr>
      </w:pPr>
      <w:bookmarkStart w:id="12" w:name="_Toc67512507"/>
      <w:bookmarkStart w:id="13" w:name="_Toc80808229"/>
      <w:r w:rsidRPr="00944EB8">
        <w:rPr>
          <w:rFonts w:cs="Times New Roman"/>
          <w:color w:val="auto"/>
        </w:rPr>
        <w:t>Overview</w:t>
      </w:r>
      <w:bookmarkEnd w:id="12"/>
      <w:bookmarkEnd w:id="13"/>
    </w:p>
    <w:p w:rsidR="001C2CCB" w:rsidRPr="00944EB8" w:rsidRDefault="001C2CCB" w:rsidP="001C2CCB">
      <w:pPr>
        <w:spacing w:before="0" w:after="0" w:line="360" w:lineRule="auto"/>
        <w:ind w:left="630"/>
        <w:contextualSpacing/>
        <w:jc w:val="both"/>
        <w:rPr>
          <w:rFonts w:ascii="Times New Roman" w:hAnsi="Times New Roman" w:cs="Times New Roman"/>
          <w:iCs/>
          <w:spacing w:val="20"/>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International commercial arbitration has, especially in the last half-century, emerged as the most preferred means for the resolution of business and commercial disputes particularly in the case of cross border transactions. The latest testament to the overwhelming popularity of international commercial arbitration as a dispute resolution mechanism is the recent announcement by the International Court of Arbitration of the International Chamber of Commerce (ICC) that it </w:t>
      </w:r>
      <w:r w:rsidRPr="00944EB8">
        <w:rPr>
          <w:rFonts w:ascii="Times New Roman" w:hAnsi="Times New Roman" w:cs="Times New Roman"/>
          <w:sz w:val="24"/>
          <w:szCs w:val="24"/>
          <w:shd w:val="clear" w:color="auto" w:fill="FFFFFF"/>
        </w:rPr>
        <w:t>recorded a total of 946 new arbitration cases in 2020 – the highest number of cases registered since 2016, when a complex cluster of small disputes effectuated a marked increase in the statistics</w:t>
      </w:r>
      <w:r w:rsidRPr="00944EB8">
        <w:rPr>
          <w:rFonts w:ascii="Times New Roman" w:hAnsi="Times New Roman" w:cs="Times New Roman"/>
          <w:sz w:val="24"/>
          <w:szCs w:val="24"/>
        </w:rPr>
        <w:t xml:space="preserve">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{"citationID":"SSJ63pKa","properties":{"formattedCitation":"(\\uc0\\u8220{}ICC announces record 2020 caseloads in Arbitration and ADR,\\uc0\\u8221{} 2021)","plainCitation":"(“ICC announces record 2020 caseloads in Arbitration and ADR,” 2021)","noteIndex":0},"citationItems":[{"id":531,"uris":["http://zotero.org/users/local/arLofKbg/items/2YXY7VKN"],"uri":["http://zotero.org/users/local/arLofKbg/items/2YXY7VKN"],"itemData":{"id":531,"type":"post-weblog","abstract":"The ICC International Court of Arbitration recorded a total of 946 new arbitration cases in 2020 – the highest number of cases registered since 2016.","container-title":"ICC - International Chamber of Commerce","language":"lang=","note":"section: Arbitration &amp; ADR","title":"ICC announces record 2020 caseloads in Arbitration and ADR","URL":"https://iccwbo.org/media-wall/news-speeches/icc-announces-record-2020-caseloads-in-arbitration-and-adr/","accessed":{"date-parts":[["2021",1,26]]},"issued":{"date-parts":[["2021",1,12]]}}}],"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(“ICC announces record 2020 caseloads in Arbitration and ADR,” 2021)</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This all the more remarkable when considered against the backdrop of the devastating effect that the Covid-19 pandemic had on different sectors of the economy in 2020.</w:t>
      </w:r>
    </w:p>
    <w:p w:rsidR="001C2CCB" w:rsidRPr="00944EB8" w:rsidRDefault="001C2CCB" w:rsidP="001C2CCB">
      <w:pPr>
        <w:pStyle w:val="ListParagraph"/>
        <w:spacing w:before="0" w:after="0" w:line="360" w:lineRule="auto"/>
        <w:ind w:hanging="720"/>
        <w:jc w:val="both"/>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Indeed, there is demonstrable proof of the success of arbitration as a means of dispute resolution as reflected in huge rise in the volume of disputes referred to arbitration; the number of arbitrations actually conducted each year; the growing number of contracts that stipulate arbitration as the parties’ preferred dispute resolution mechanism; the establishment of arbitral institutions in many parts of world; the conscious efforts of governments to be perceived as pro-arbitration; and the increasing use of arbitration to resolve new categories of disputes that were previously considered to be the exclusive preserve of national courts and therefore outside the purview of arbitration (including disputes pertaining to anti-trust, competition, securities, intellectual property, taxation and investor-state disputes, etc),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{"citationID":"jCotz94q","properties":{"formattedCitation":"(\\uc0\\u8220{}International Arbitration,\\uc0\\u8221{} n.d.)","plainCitation":"(“International Arbitration,” n.d.)","noteIndex":0},"citationItems":[{"id":535,"uris":["http://zotero.org/users/local/arLofKbg/items/NKDDRC3C"],"uri":["http://zotero.org/users/local/arLofKbg/items/NKDDRC3C"],"itemData":{"id":535,"type":"webpage","abstract":"International Arbitration: Law and Practice provides detailed coverage of the basic principles and legal doctrines, and the practice, of international arbitration.","container-title":"Wolters Kluwer Legal &amp; Regulatory","language":"en-US","title":"International Arbitration: Law and Practice","title-short":"International Arbitration","URL":"https://lrus.wolterskluwer.com/store/product/international-arbitration-law-and-practice-second-edition/","accessed":{"date-parts":[["2021",1,26]]}}}],"schema":"https://github.com/citation-style-language/schema/raw/master/csl-citation.json"}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(“International Arbitration,”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Part of the reasons why parties generally prefer arbitration to the traditional forms of justice delivery i.e. litigation before national courts, include the flexibility that arbitration offers; </w:t>
      </w:r>
      <w:r w:rsidRPr="00944EB8">
        <w:rPr>
          <w:rFonts w:ascii="Times New Roman" w:hAnsi="Times New Roman" w:cs="Times New Roman"/>
          <w:sz w:val="24"/>
          <w:szCs w:val="24"/>
        </w:rPr>
        <w:lastRenderedPageBreak/>
        <w:t xml:space="preserve">the opportunity for the parties to select bespoke adjudicators for their disputes, especially arbitrators with requisite expertise; the autonomy that the arbitral process accords to the parties to determine the applicable law and procedure for their dispute; the element of privacy and confidentiality that arbitration affords; and importantly too, the greater capacity for enforceability of arbitral awards using the instrumentality of the New York Convention 1958,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{"citationID":"gviofjI4","properties":{"formattedCitation":"(\\uc0\\u8220{}2018 International Arbitration Survey: The Evolution of International Arbitration - School of International Arbitration,\\uc0\\u8221{} n.d.)","plainCitation":"(“2018 International Arbitration Survey: The Evolution of International Arbitration - School of International Arbitration,” n.d.)","noteIndex":0},"citationItems":[{"id":533,"uris":["http://zotero.org/users/local/arLofKbg/items/DMGQP646"],"uri":["http://zotero.org/users/local/arLofKbg/items/DMGQP646"],"itemData":{"id":533,"type":"webpage","title":"2018 International Arbitration Survey: The Evolution of International Arbitration - School of International Arbitration","URL":"http://www.arbitration.qmul.ac.uk/research/2018/","accessed":{"date-parts":[["2021",1,26]]}}}],"schema":"https://github.com/citation-style-language/schema/raw/master/csl-citation.json"}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(“2018 International Arbitration Survey: The Evolution of International Arbitration - School of International Arbitration,”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pStyle w:val="ListParagraph"/>
        <w:spacing w:before="0" w:after="0" w:line="360" w:lineRule="auto"/>
        <w:ind w:hanging="720"/>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above notwithstanding, there is, however, near consensus that a limited intervention of national courts in the arbitral process in a way that facilitates the process is a necessity. As Lord Hoffmann of the UK House of Lords explained in the case of </w:t>
      </w:r>
      <w:r w:rsidRPr="00944EB8">
        <w:rPr>
          <w:rFonts w:ascii="Times New Roman" w:hAnsi="Times New Roman" w:cs="Times New Roman"/>
          <w:i/>
          <w:iCs/>
          <w:sz w:val="24"/>
          <w:szCs w:val="24"/>
        </w:rPr>
        <w:t xml:space="preserve">West Tankers Inc v RAS Riunione Adriatica di Sicurta SpA </w:t>
      </w:r>
      <w:r w:rsidRPr="00944EB8">
        <w:rPr>
          <w:rFonts w:ascii="Times New Roman" w:hAnsi="Times New Roman" w:cs="Times New Roman"/>
          <w:i/>
          <w:iCs/>
          <w:sz w:val="24"/>
          <w:szCs w:val="24"/>
        </w:rPr>
        <w:fldChar w:fldCharType="begin"/>
      </w:r>
      <w:r w:rsidRPr="00944EB8">
        <w:rPr>
          <w:rFonts w:ascii="Times New Roman" w:hAnsi="Times New Roman" w:cs="Times New Roman"/>
          <w:i/>
          <w:iCs/>
          <w:sz w:val="24"/>
          <w:szCs w:val="24"/>
        </w:rPr>
        <w:instrText xml:space="preserve"> ADDIN ZOTERO_ITEM CSL_CITATION {"citationID":"hGQoPuAb","properties":{"formattedCitation":"(\\uc0\\u8220{}West Tankers Inc v RAS Riunione Adriatica di Sicurta SpA [2007] UKHL 4 \\uc0\\u8211{} anti-suit injunctions in support of arbitration | Lexology,\\uc0\\u8221{} n.d.)","plainCitation":"(“West Tankers Inc v RAS Riunione Adriatica di Sicurta SpA [2007] UKHL 4 – anti-suit injunctions in support of arbitration | Lexology,” n.d.)","noteIndex":0},"citationItems":[{"id":525,"uris":["http://zotero.org/users/local/arLofKbg/items/LT94MY8B"],"uri":["http://zotero.org/users/local/arLofKbg/items/LT94MY8B"],"itemData":{"id":525,"type":"webpage","abstract":"On 21 February 2007, the House of Lords delivered a decision in which they requested the European Court of Justice (&amp;quot;ECJ&amp;quot;) to consider whether it is &amp;quot;consistent with EC Regulation 44/2001 for a court of a Member State to make an order to restrain a person from commencing or continuing proceedings in another Member State on the ground that such proceedings are in breach of an arbitration agreement.&amp;quot;","language":"en","title":"West Tankers Inc v RAS Riunione Adriatica di Sicurta SpA [2007] UKHL 4 – anti-suit injunctions in support of arbitration | Lexology","URL":"https://www.lexology.com/library/detail.aspx?g=5accb6dc-b442-4aa9-a67e-3f4b7d472960","accessed":{"date-parts":[["2021",1,18]]}}}],"schema":"https://github.com/citation-style-language/schema/raw/master/csl-citation.json"} </w:instrText>
      </w:r>
      <w:r w:rsidRPr="00944EB8">
        <w:rPr>
          <w:rFonts w:ascii="Times New Roman" w:hAnsi="Times New Roman" w:cs="Times New Roman"/>
          <w:i/>
          <w:iCs/>
          <w:sz w:val="24"/>
          <w:szCs w:val="24"/>
        </w:rPr>
        <w:fldChar w:fldCharType="separate"/>
      </w:r>
      <w:r w:rsidRPr="00944EB8">
        <w:rPr>
          <w:rFonts w:ascii="Times New Roman" w:hAnsi="Times New Roman" w:cs="Times New Roman"/>
          <w:sz w:val="24"/>
          <w:szCs w:val="24"/>
        </w:rPr>
        <w:t>(“West Tankers Inc v RAS Riunione Adriatica di Sicurta SpA [2007] UKHL 4 – anti-suit injunctions in support of arbitration | Lexology,” n.d.)</w:t>
      </w:r>
      <w:r w:rsidRPr="00944EB8">
        <w:rPr>
          <w:rFonts w:ascii="Times New Roman" w:hAnsi="Times New Roman" w:cs="Times New Roman"/>
          <w:i/>
          <w:iCs/>
          <w:sz w:val="24"/>
          <w:szCs w:val="24"/>
        </w:rPr>
        <w:fldChar w:fldCharType="end"/>
      </w:r>
      <w:r w:rsidRPr="00944EB8">
        <w:rPr>
          <w:rFonts w:ascii="Times New Roman" w:hAnsi="Times New Roman" w:cs="Times New Roman"/>
          <w:sz w:val="24"/>
          <w:szCs w:val="24"/>
        </w:rPr>
        <w:t>:</w:t>
      </w:r>
    </w:p>
    <w:p w:rsidR="001C2CCB" w:rsidRPr="00944EB8" w:rsidRDefault="001C2CCB" w:rsidP="001C2CCB">
      <w:pPr>
        <w:spacing w:before="0" w:after="0" w:line="360" w:lineRule="auto"/>
        <w:ind w:left="1152" w:right="576"/>
        <w:jc w:val="both"/>
        <w:rPr>
          <w:rFonts w:ascii="Times New Roman" w:hAnsi="Times New Roman" w:cs="Times New Roman"/>
          <w:sz w:val="24"/>
          <w:szCs w:val="24"/>
        </w:rPr>
      </w:pPr>
    </w:p>
    <w:p w:rsidR="001C2CCB" w:rsidRPr="00944EB8" w:rsidRDefault="001C2CCB" w:rsidP="001C2CCB">
      <w:pPr>
        <w:spacing w:before="0" w:after="0" w:line="360" w:lineRule="auto"/>
        <w:ind w:left="1152" w:right="576"/>
        <w:jc w:val="both"/>
        <w:rPr>
          <w:rFonts w:ascii="Times New Roman" w:hAnsi="Times New Roman" w:cs="Times New Roman"/>
          <w:sz w:val="24"/>
          <w:szCs w:val="24"/>
        </w:rPr>
      </w:pPr>
      <w:r w:rsidRPr="00944EB8">
        <w:rPr>
          <w:rFonts w:ascii="Times New Roman" w:hAnsi="Times New Roman" w:cs="Times New Roman"/>
          <w:sz w:val="24"/>
          <w:szCs w:val="24"/>
        </w:rPr>
        <w:t>Of course, arbitration cannot be self-sustaining. It needs the support of the courts … Different national systems give support in different ways and an important aspect of the autonomy of the parties is the right to choose the governing law and seat of the arbitration according to what they consider will best serve their interests.</w:t>
      </w:r>
    </w:p>
    <w:p w:rsidR="001C2CCB" w:rsidRPr="00944EB8" w:rsidRDefault="001C2CCB" w:rsidP="001C2CCB">
      <w:pPr>
        <w:pStyle w:val="ListParagraph"/>
        <w:spacing w:before="0" w:after="0" w:line="360" w:lineRule="auto"/>
        <w:ind w:hanging="720"/>
        <w:rPr>
          <w:rFonts w:ascii="Times New Roman" w:eastAsiaTheme="minorHAnsi"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eastAsiaTheme="minorHAnsi" w:hAnsi="Times New Roman" w:cs="Times New Roman"/>
          <w:sz w:val="24"/>
          <w:szCs w:val="24"/>
        </w:rPr>
        <w:t>Similarly, Ajay Sharma accurately stated that, intervention by</w:t>
      </w:r>
      <w:r w:rsidRPr="00944EB8">
        <w:rPr>
          <w:rFonts w:ascii="Times New Roman" w:eastAsiaTheme="minorHAnsi" w:hAnsi="Times New Roman" w:cs="Times New Roman"/>
          <w:b/>
          <w:bCs/>
          <w:sz w:val="24"/>
          <w:szCs w:val="24"/>
        </w:rPr>
        <w:t xml:space="preserve"> </w:t>
      </w:r>
      <w:r w:rsidRPr="00944EB8">
        <w:rPr>
          <w:rFonts w:ascii="Times New Roman" w:eastAsiaTheme="minorHAnsi" w:hAnsi="Times New Roman" w:cs="Times New Roman"/>
          <w:sz w:val="24"/>
          <w:szCs w:val="24"/>
        </w:rPr>
        <w:t>a country’s national courts, if</w:t>
      </w:r>
      <w:r w:rsidRPr="00944EB8">
        <w:rPr>
          <w:rFonts w:ascii="Times New Roman" w:eastAsiaTheme="minorHAnsi" w:hAnsi="Times New Roman" w:cs="Times New Roman"/>
          <w:b/>
          <w:bCs/>
          <w:sz w:val="24"/>
          <w:szCs w:val="24"/>
        </w:rPr>
        <w:t xml:space="preserve"> </w:t>
      </w:r>
      <w:r w:rsidRPr="00944EB8">
        <w:rPr>
          <w:rFonts w:ascii="Times New Roman" w:eastAsiaTheme="minorHAnsi" w:hAnsi="Times New Roman" w:cs="Times New Roman"/>
          <w:sz w:val="24"/>
          <w:szCs w:val="24"/>
        </w:rPr>
        <w:t xml:space="preserve">excessive or too intrusive, can defeat the whole arbitration process, destroying its sanctity and benefits; and in the long term may lead to crumbling of the institution of arbitration in that country, </w:t>
      </w:r>
      <w:r w:rsidRPr="00944EB8">
        <w:rPr>
          <w:rFonts w:ascii="Times New Roman" w:eastAsiaTheme="minorHAnsi" w:hAnsi="Times New Roman" w:cs="Times New Roman"/>
          <w:sz w:val="24"/>
          <w:szCs w:val="24"/>
        </w:rPr>
        <w:fldChar w:fldCharType="begin"/>
      </w:r>
      <w:r w:rsidRPr="00944EB8">
        <w:rPr>
          <w:rFonts w:ascii="Times New Roman" w:eastAsiaTheme="minorHAnsi" w:hAnsi="Times New Roman" w:cs="Times New Roman"/>
          <w:sz w:val="24"/>
          <w:szCs w:val="24"/>
        </w:rPr>
        <w:instrText xml:space="preserve"> ADDIN ZOTERO_ITEM CSL_CITATION {"citationID":"CjJWZPBE","properties":{"formattedCitation":"(Sharma, 2014)","plainCitation":"(Sharma, 2014)","noteIndex":0},"citationItems":[{"id":529,"uris":["http://zotero.org/users/local/arLofKbg/items/5ZLR62M3"],"uri":["http://zotero.org/users/local/arLofKbg/items/5ZLR62M3"],"itemData":{"id":529,"type":"article-journal","container-title":"Indian J. Arb. L.","note":"publisher: HeinOnline","page":"6","source":"Google Scholar","title":"Judicial Intervention in International Commercial Arbitration: Critiquing the Indian Supreme Court's Interpretation of the Arbitration and Conciliation Act, 1996","title-short":"Judicial Intervention in International Commercial Arbitration","volume":"3","author":[{"family":"Sharma","given":"Ajay Kr"}],"issued":{"date-parts":[["2014"]]}}}],"schema":"https://github.com/citation-style-language/schema/raw/master/csl-citation.json"} </w:instrText>
      </w:r>
      <w:r w:rsidRPr="00944EB8">
        <w:rPr>
          <w:rFonts w:ascii="Times New Roman" w:eastAsiaTheme="minorHAnsi" w:hAnsi="Times New Roman" w:cs="Times New Roman"/>
          <w:sz w:val="24"/>
          <w:szCs w:val="24"/>
        </w:rPr>
        <w:fldChar w:fldCharType="separate"/>
      </w:r>
      <w:r w:rsidRPr="00944EB8">
        <w:rPr>
          <w:rFonts w:ascii="Times New Roman" w:hAnsi="Times New Roman" w:cs="Times New Roman"/>
          <w:sz w:val="24"/>
          <w:szCs w:val="24"/>
        </w:rPr>
        <w:t>(Sharma, 2014)</w:t>
      </w:r>
      <w:r w:rsidRPr="00944EB8">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From the above, it follows that what differentiates national court systems is the manner in, and the extent to, which the courts intervene or interfere with the arbitral process. Consequently, different jurisdictions are measured, from the pro arbitration jurisdictions to the repressive or anti-arbitration jurisdictions, by reason of the extent to which they interfere with the arbitral process. It is for this reason that this research aims to comprehensively analyse the concept of judicial intervention in the arbitral process from a Nigerian law </w:t>
      </w:r>
      <w:r w:rsidRPr="00944EB8">
        <w:rPr>
          <w:rFonts w:ascii="Times New Roman" w:hAnsi="Times New Roman" w:cs="Times New Roman"/>
          <w:sz w:val="24"/>
          <w:szCs w:val="24"/>
        </w:rPr>
        <w:lastRenderedPageBreak/>
        <w:t>perspective with a view to identifying descriptive solutions for the practical challenges that judges confront when faced with decisions that can potentially affect the practice of arbitration in Nigeria.</w:t>
      </w:r>
      <w:bookmarkEnd w:id="5"/>
    </w:p>
    <w:p w:rsidR="001C2CCB" w:rsidRPr="00944EB8" w:rsidRDefault="001C2CCB" w:rsidP="001C2CCB">
      <w:pPr>
        <w:pStyle w:val="ListParagraph"/>
        <w:spacing w:before="0" w:after="0"/>
        <w:rPr>
          <w:rFonts w:ascii="Times New Roman" w:hAnsi="Times New Roman" w:cs="Times New Roman"/>
          <w:sz w:val="24"/>
          <w:szCs w:val="24"/>
        </w:rPr>
      </w:pPr>
    </w:p>
    <w:p w:rsidR="001C2CCB" w:rsidRPr="00944EB8" w:rsidRDefault="001C2CCB" w:rsidP="001C2CCB">
      <w:pPr>
        <w:pStyle w:val="Heading2"/>
        <w:numPr>
          <w:ilvl w:val="1"/>
          <w:numId w:val="19"/>
        </w:numPr>
        <w:spacing w:before="0"/>
        <w:rPr>
          <w:rFonts w:cs="Times New Roman"/>
          <w:color w:val="auto"/>
        </w:rPr>
      </w:pPr>
      <w:bookmarkStart w:id="14" w:name="_Toc67512508"/>
      <w:bookmarkStart w:id="15" w:name="_Toc80808230"/>
      <w:r w:rsidRPr="00944EB8">
        <w:rPr>
          <w:rFonts w:cs="Times New Roman"/>
          <w:color w:val="auto"/>
        </w:rPr>
        <w:t>Research Purpose</w:t>
      </w:r>
      <w:bookmarkEnd w:id="14"/>
      <w:bookmarkEnd w:id="15"/>
    </w:p>
    <w:p w:rsidR="001C2CCB" w:rsidRPr="00944EB8" w:rsidRDefault="001C2CCB" w:rsidP="001C2CCB">
      <w:pPr>
        <w:spacing w:before="0" w:after="0" w:line="360" w:lineRule="auto"/>
        <w:ind w:left="720"/>
        <w:contextualSpacing/>
        <w:jc w:val="both"/>
        <w:rPr>
          <w:rFonts w:ascii="Times New Roman" w:hAnsi="Times New Roman" w:cs="Times New Roman"/>
          <w:iCs/>
          <w:spacing w:val="20"/>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Despite the well documented successes of international commercial arbitration as a means of dispute resolution especially those arising from cross border transactions, one recurring controversy has been the question of the necessity or otherwise of the intervention of national courts in the arbitral process. As noted above, it is a cardinal characteristic of arbitration that the parties have ultimate control of the dispute resolution system and procedural rules; known as the concept of party autonomy. This is part of the attraction of international arbitration.</w:t>
      </w:r>
    </w:p>
    <w:p w:rsidR="001C2CCB" w:rsidRPr="00944EB8" w:rsidRDefault="001C2CCB" w:rsidP="001C2CCB">
      <w:pPr>
        <w:pStyle w:val="ListParagraph"/>
        <w:spacing w:before="0" w:after="0" w:line="360" w:lineRule="auto"/>
        <w:ind w:left="1440" w:hanging="720"/>
        <w:jc w:val="both"/>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For this reason, the overriding principle in international arbitration is that of a judicial non-interference in the ongoing conduct of the arbitral proceedings, especially international arbitration. This is a fundamental principle central to the efficacy of the arbitral process and ensures that an arbitration can proceed as envisaged by the parties’ agreement without the delays and other problems associated with the interlocutory judicial review of procedural decisions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{"citationID":"z9kTWoqb","properties":{"formattedCitation":"(Gary Born author, 2014)","plainCitation":"(Gary Born author, 2014)","noteIndex":0},"citationItems":[{"id":573,"uris":["http://zotero.org/users/local/arLofKbg/items/WFW6Q8AX"],"uri":["http://zotero.org/users/local/arLofKbg/items/WFW6Q8AX"],"itemData":{"id":573,"type":"book","abstract":"Contents: v. 1. International arbitration agreements -- v. 2. International arbitral procedures -- v. 3. International arbitral awards.","call-number":"YC.2014.a.14204, YC.2014.a.14203, YC.2014.a.14205","edition":"Second edition","event-place":"Alphen aan den Rijn, The Netherlands","ISBN":"978-90-411-5219-0","language":"eng","publisher":"Wolters Kluwer, Law &amp; Business, 2014","publisher-place":"Alphen aan den Rijn, The Netherlands","source":"explore.bl.uk","title":"International commercial arbitration / Gary B. Born.","author":[{"literal":"Gary Born author"}],"issued":{"date-parts":[["2014"]]}}}],"schema":"https://github.com/citation-style-language/schema/raw/master/csl-citation.json"}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(Gary Born author, 2014)</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Under Nigerian law, theoretically speaking, the extent to which a court can intervene in arbitration matters is limited by the provisions of section 34 of the Nigerian Arbitration and Conciliation Act 1988 which provides in no unclear terms that a court shall not intervene in any matter governed by the Act except where so provided in the Act (Dimgba N, 2020). The Nigerian Court of Appeal reinforced this position in </w:t>
      </w:r>
      <w:r w:rsidRPr="00944EB8">
        <w:rPr>
          <w:rFonts w:ascii="Times New Roman" w:hAnsi="Times New Roman" w:cs="Times New Roman"/>
          <w:i/>
          <w:iCs/>
          <w:sz w:val="24"/>
          <w:szCs w:val="24"/>
        </w:rPr>
        <w:t xml:space="preserve">Statoil Nig Ltd &amp; Anor v NNPC &amp; 2 Ors </w:t>
      </w:r>
      <w:r w:rsidRPr="00944EB8">
        <w:rPr>
          <w:rFonts w:ascii="Times New Roman" w:hAnsi="Times New Roman" w:cs="Times New Roman"/>
          <w:i/>
          <w:iCs/>
          <w:sz w:val="24"/>
          <w:szCs w:val="24"/>
        </w:rPr>
        <w:fldChar w:fldCharType="begin"/>
      </w:r>
      <w:r w:rsidRPr="00944EB8">
        <w:rPr>
          <w:rFonts w:ascii="Times New Roman" w:hAnsi="Times New Roman" w:cs="Times New Roman"/>
          <w:i/>
          <w:iCs/>
          <w:sz w:val="24"/>
          <w:szCs w:val="24"/>
        </w:rPr>
        <w:instrText xml:space="preserve"> ADDIN ZOTERO_ITEM CSL_CITATION {"citationID":"RM9RYz6V","properties":{"formattedCitation":"(\\uc0\\u8220{}Statoil (Nig.) Ltd &amp; Anor v. NNPC &amp; 3 Ors | Commercial Law Reports Nigeria,\\uc0\\u8221{} n.d.)","plainCitation":"(“Statoil (Nig.) Ltd &amp; Anor v. NNPC &amp; 3 Ors | Commercial Law Reports Nigeria,” n.d.)","noteIndex":0},"citationItems":[{"id":539,"uris":["http://zotero.org/users/local/arLofKbg/items/BVBSZDAT"],"uri":["http://zotero.org/users/local/arLofKbg/items/BVBSZDAT"],"itemData":{"id":539,"type":"webpage","title":"Statoil (Nig.) Ltd &amp; Anor v. NNPC &amp; 3 Ors | Commercial Law Reports Nigeria","URL":"https://www.clrndirect.com/content/statoil-nig-ltd-anor-v-nnpc-3-ors","accessed":{"date-parts":[["2021",1,26]]}}}],"schema":"https://github.com/citation-style-language/schema/raw/master/csl-citation.json"} </w:instrText>
      </w:r>
      <w:r w:rsidRPr="00944EB8">
        <w:rPr>
          <w:rFonts w:ascii="Times New Roman" w:hAnsi="Times New Roman" w:cs="Times New Roman"/>
          <w:i/>
          <w:iCs/>
          <w:sz w:val="24"/>
          <w:szCs w:val="24"/>
        </w:rPr>
        <w:fldChar w:fldCharType="separate"/>
      </w:r>
      <w:r w:rsidRPr="00944EB8">
        <w:rPr>
          <w:rFonts w:ascii="Times New Roman" w:hAnsi="Times New Roman" w:cs="Times New Roman"/>
          <w:sz w:val="24"/>
          <w:szCs w:val="24"/>
        </w:rPr>
        <w:t>(“Statoil (Nig.) Ltd &amp; Anor v. NNPC &amp; 3 Ors | Commercial Law Reports Nigeria,” n.d.)</w:t>
      </w:r>
      <w:r w:rsidRPr="00944EB8">
        <w:rPr>
          <w:rFonts w:ascii="Times New Roman" w:hAnsi="Times New Roman" w:cs="Times New Roman"/>
          <w:i/>
          <w:iCs/>
          <w:sz w:val="24"/>
          <w:szCs w:val="24"/>
        </w:rPr>
        <w:fldChar w:fldCharType="end"/>
      </w:r>
      <w:r w:rsidRPr="00944EB8">
        <w:rPr>
          <w:rFonts w:ascii="Times New Roman" w:hAnsi="Times New Roman" w:cs="Times New Roman"/>
          <w:sz w:val="24"/>
          <w:szCs w:val="24"/>
        </w:rPr>
        <w:t xml:space="preserve">. Where the court stated that the intention of the legislature in enacting the above referenced provision in the Arbitration and Conciliation Act is to protect the mechanism of arbitration and to prevent courts from intervening in arbitral proceedings outside the circumstances specified in the Act (Dimgba N, 2020). This must however be counterbalanced by the view expressed by Lord Hoffmann in </w:t>
      </w:r>
      <w:r w:rsidRPr="00944EB8">
        <w:rPr>
          <w:rFonts w:ascii="Times New Roman" w:hAnsi="Times New Roman" w:cs="Times New Roman"/>
          <w:i/>
          <w:iCs/>
          <w:sz w:val="24"/>
          <w:szCs w:val="24"/>
        </w:rPr>
        <w:t xml:space="preserve">West Tankers Inc v RAS </w:t>
      </w:r>
      <w:r w:rsidRPr="00944EB8">
        <w:rPr>
          <w:rFonts w:ascii="Times New Roman" w:hAnsi="Times New Roman" w:cs="Times New Roman"/>
          <w:i/>
          <w:iCs/>
          <w:sz w:val="24"/>
          <w:szCs w:val="24"/>
        </w:rPr>
        <w:lastRenderedPageBreak/>
        <w:t xml:space="preserve">Riunione Adriatica di Sicurta SpA </w:t>
      </w:r>
      <w:r w:rsidRPr="00944EB8">
        <w:rPr>
          <w:rFonts w:ascii="Times New Roman" w:hAnsi="Times New Roman" w:cs="Times New Roman"/>
          <w:i/>
          <w:iCs/>
          <w:sz w:val="24"/>
          <w:szCs w:val="24"/>
        </w:rPr>
        <w:fldChar w:fldCharType="begin"/>
      </w:r>
      <w:r w:rsidRPr="00944EB8">
        <w:rPr>
          <w:rFonts w:ascii="Times New Roman" w:hAnsi="Times New Roman" w:cs="Times New Roman"/>
          <w:i/>
          <w:iCs/>
          <w:sz w:val="24"/>
          <w:szCs w:val="24"/>
        </w:rPr>
        <w:instrText xml:space="preserve"> ADDIN ZOTERO_ITEM CSL_CITATION {"citationID":"uLJzwQQi","properties":{"formattedCitation":"(\\uc0\\u8220{}West Tankers Inc v RAS Riunione Adriatica di Sicurta SpA [2007] UKHL 4 \\uc0\\u8211{} anti-suit injunctions in support of arbitration | Lexology,\\uc0\\u8221{} n.d.)","plainCitation":"(“West Tankers Inc v RAS Riunione Adriatica di Sicurta SpA [2007] UKHL 4 – anti-suit injunctions in support of arbitration | Lexology,” n.d.)","noteIndex":0},"citationItems":[{"id":525,"uris":["http://zotero.org/users/local/arLofKbg/items/LT94MY8B"],"uri":["http://zotero.org/users/local/arLofKbg/items/LT94MY8B"],"itemData":{"id":525,"type":"webpage","abstract":"On 21 February 2007, the House of Lords delivered a decision in which they requested the European Court of Justice (&amp;quot;ECJ&amp;quot;) to consider whether it is &amp;quot;consistent with EC Regulation 44/2001 for a court of a Member State to make an order to restrain a person from commencing or continuing proceedings in another Member State on the ground that such proceedings are in breach of an arbitration agreement.&amp;quot;","language":"en","title":"West Tankers Inc v RAS Riunione Adriatica di Sicurta SpA [2007] UKHL 4 – anti-suit injunctions in support of arbitration | Lexology","URL":"https://www.lexology.com/library/detail.aspx?g=5accb6dc-b442-4aa9-a67e-3f4b7d472960","accessed":{"date-parts":[["2021",1,18]]}}}],"schema":"https://github.com/citation-style-language/schema/raw/master/csl-citation.json"} </w:instrText>
      </w:r>
      <w:r w:rsidRPr="00944EB8">
        <w:rPr>
          <w:rFonts w:ascii="Times New Roman" w:hAnsi="Times New Roman" w:cs="Times New Roman"/>
          <w:i/>
          <w:iCs/>
          <w:sz w:val="24"/>
          <w:szCs w:val="24"/>
        </w:rPr>
        <w:fldChar w:fldCharType="separate"/>
      </w:r>
      <w:r w:rsidRPr="00944EB8">
        <w:rPr>
          <w:rFonts w:ascii="Times New Roman" w:hAnsi="Times New Roman" w:cs="Times New Roman"/>
          <w:sz w:val="24"/>
          <w:szCs w:val="24"/>
        </w:rPr>
        <w:t>(“West Tankers Inc v RAS Riunione Adriatica di Sicurta SpA [2007] UKHL 4 – anti-suit injunctions in support of arbitration | Lexology,” n.d.)</w:t>
      </w:r>
      <w:r w:rsidRPr="00944EB8">
        <w:rPr>
          <w:rFonts w:ascii="Times New Roman" w:hAnsi="Times New Roman" w:cs="Times New Roman"/>
          <w:i/>
          <w:iCs/>
          <w:sz w:val="24"/>
          <w:szCs w:val="24"/>
        </w:rPr>
        <w:fldChar w:fldCharType="end"/>
      </w:r>
      <w:r w:rsidRPr="00944EB8">
        <w:rPr>
          <w:rFonts w:ascii="Times New Roman" w:hAnsi="Times New Roman" w:cs="Times New Roman"/>
          <w:sz w:val="24"/>
          <w:szCs w:val="24"/>
        </w:rPr>
        <w:t>, that "of course, arbitration cannot be self-sustaining. It needs the support of the courts." The historic challenge has always been how to strike the perfect balance and determine the extent of intervention of national courts in the arbitral process that facilitates rather than inhibits the process.</w:t>
      </w:r>
    </w:p>
    <w:p w:rsidR="001C2CCB" w:rsidRPr="00944EB8" w:rsidRDefault="001C2CCB" w:rsidP="001C2CCB">
      <w:pPr>
        <w:pStyle w:val="ListParagraph"/>
        <w:spacing w:before="0" w:after="0" w:line="360" w:lineRule="auto"/>
        <w:rPr>
          <w:rFonts w:ascii="Times New Roman" w:hAnsi="Times New Roman" w:cs="Times New Roman"/>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Although, as noted above, the approach of Nigerian law is to limit the extent to which a court can intervene in arbitration matters. It is however necessary to interrogate whether this obtains in practice, by analysing available data to reveal whether or not national courts routinely interfere with, and thereby inhibit, the arbitral process. To actualise the above, it becomes imperative to provide a comprehensive analysis of the concept of judicial intervention in the arbitral process and to undertake a </w:t>
      </w:r>
      <w:r w:rsidRPr="00944EB8">
        <w:rPr>
          <w:rFonts w:ascii="Times New Roman" w:eastAsiaTheme="minorHAnsi" w:hAnsi="Times New Roman" w:cs="Times New Roman"/>
          <w:sz w:val="24"/>
          <w:szCs w:val="24"/>
        </w:rPr>
        <w:t>careful analysis of academic writings and important judicial</w:t>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decisions</w:t>
      </w:r>
      <w:r w:rsidRPr="00944EB8">
        <w:rPr>
          <w:rFonts w:ascii="Times New Roman" w:hAnsi="Times New Roman" w:cs="Times New Roman"/>
          <w:sz w:val="24"/>
          <w:szCs w:val="24"/>
        </w:rPr>
        <w:t xml:space="preserve"> on the concept of judicial interference in the arbitral process. This is what the research aims to achieve.</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Heading2"/>
        <w:numPr>
          <w:ilvl w:val="1"/>
          <w:numId w:val="19"/>
        </w:numPr>
        <w:spacing w:before="0"/>
        <w:rPr>
          <w:rFonts w:cs="Times New Roman"/>
          <w:color w:val="auto"/>
        </w:rPr>
      </w:pPr>
      <w:bookmarkStart w:id="16" w:name="_Toc80808231"/>
      <w:r w:rsidRPr="00944EB8">
        <w:rPr>
          <w:rFonts w:cs="Times New Roman"/>
          <w:color w:val="auto"/>
        </w:rPr>
        <w:t>Research Objectives</w:t>
      </w:r>
      <w:bookmarkEnd w:id="16"/>
    </w:p>
    <w:p w:rsidR="001C2CCB" w:rsidRPr="00944EB8" w:rsidRDefault="001C2CCB" w:rsidP="001C2CCB">
      <w:pPr>
        <w:spacing w:before="0" w:after="0" w:line="360" w:lineRule="auto"/>
        <w:ind w:left="720"/>
        <w:contextualSpacing/>
        <w:jc w:val="both"/>
        <w:rPr>
          <w:rFonts w:ascii="Times New Roman" w:hAnsi="Times New Roman" w:cs="Times New Roman"/>
          <w:iCs/>
          <w:spacing w:val="20"/>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It is against the foregoing backdrop that this research aspires to provide a comprehensive analysis of the concept of judicial intervention in the arbitral process from a Nigerian law perspective. Specifically, the research aims amongst other things, to interrogate the correct extent to which national courts can, under applicable law, intervene or intercede in the arbitral process so as to facilitate rather than inhibit the process. The research also aims to identify descriptive solutions for the conceptual and practical challenges that Nigerian judges confront when presented with actions that can potentially affect the practice of arbitration. In answering this question, this research will also consider the following sub-questions including:</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t>What is the overall attitude of Nigerian courts to the question of party autonomy and the necessity or otherwise of judicial intervention in the arbitral process?</w:t>
      </w:r>
    </w:p>
    <w:p w:rsidR="001C2CCB" w:rsidRPr="00944EB8"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lastRenderedPageBreak/>
        <w:t>What are the relevant provisions of the Nigerian Arbitration and Conciliation Act relating to the question of judicial intervention in the arbitral process?</w:t>
      </w:r>
    </w:p>
    <w:p w:rsidR="001C2CCB" w:rsidRPr="00944EB8"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t>To what extent is the current Nigerian arbitration legal framework a barrier to the observance of the doctrine of non-intervention of national courts in the arbitral process and what are the prospects for reform?</w:t>
      </w:r>
    </w:p>
    <w:p w:rsidR="001C2CCB" w:rsidRPr="00944EB8" w:rsidRDefault="001C2CCB" w:rsidP="001C2CCB">
      <w:pPr>
        <w:pStyle w:val="ListParagraph"/>
        <w:spacing w:before="0" w:after="0" w:line="360" w:lineRule="auto"/>
        <w:ind w:left="1080"/>
        <w:jc w:val="both"/>
        <w:rPr>
          <w:rFonts w:ascii="Times New Roman" w:hAnsi="Times New Roman" w:cs="Times New Roman"/>
          <w:sz w:val="24"/>
          <w:szCs w:val="24"/>
        </w:rPr>
      </w:pPr>
    </w:p>
    <w:p w:rsidR="001C2CCB" w:rsidRPr="00944EB8" w:rsidRDefault="001C2CCB" w:rsidP="001C2CCB">
      <w:pPr>
        <w:pStyle w:val="Heading2"/>
        <w:numPr>
          <w:ilvl w:val="1"/>
          <w:numId w:val="19"/>
        </w:numPr>
        <w:spacing w:before="0"/>
        <w:rPr>
          <w:rFonts w:cs="Times New Roman"/>
          <w:color w:val="auto"/>
        </w:rPr>
      </w:pPr>
      <w:bookmarkStart w:id="17" w:name="_Toc80808232"/>
      <w:r w:rsidRPr="00944EB8">
        <w:rPr>
          <w:rFonts w:cs="Times New Roman"/>
          <w:color w:val="auto"/>
        </w:rPr>
        <w:t>Significance of the Study</w:t>
      </w:r>
      <w:bookmarkEnd w:id="17"/>
    </w:p>
    <w:p w:rsidR="001C2CCB" w:rsidRPr="00944EB8" w:rsidRDefault="001C2CCB" w:rsidP="001C2CCB">
      <w:pPr>
        <w:spacing w:before="0" w:after="0" w:line="360" w:lineRule="auto"/>
        <w:ind w:left="792"/>
        <w:contextualSpacing/>
        <w:jc w:val="both"/>
        <w:rPr>
          <w:rFonts w:ascii="Times New Roman" w:hAnsi="Times New Roman" w:cs="Times New Roman"/>
          <w:b/>
          <w:bCs/>
          <w:iCs/>
          <w:spacing w:val="20"/>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This research aims to contribute to the Nigerian and global economy by helping to provide solutions to one of the major impediments to the practice of international and domestic arbitration in Nigeria in particular and in sub-Saharan Africa in general. There are certainly discussions in existing literature on the concept of judicial interference in the arbitral process. However, there appears to be a gap on the critical question of the extent to which Nigerian courts intervene or intercede in the arbitral process so as to facilitate rather than inhibit the process. It is this gap that this research seeks to fill and to this extent, this research will make original contribution to the existing body of works on international commercial arbitration in general and commercial arbitration in Nigeria in particular.</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Heading2"/>
        <w:numPr>
          <w:ilvl w:val="1"/>
          <w:numId w:val="19"/>
        </w:numPr>
        <w:spacing w:before="0"/>
        <w:rPr>
          <w:rFonts w:cs="Times New Roman"/>
          <w:color w:val="auto"/>
        </w:rPr>
      </w:pPr>
      <w:bookmarkStart w:id="18" w:name="_Toc72365116"/>
      <w:bookmarkStart w:id="19" w:name="_Toc80808233"/>
      <w:r w:rsidRPr="00944EB8">
        <w:rPr>
          <w:rFonts w:cs="Times New Roman"/>
          <w:color w:val="auto"/>
        </w:rPr>
        <w:t>Structure of the study</w:t>
      </w:r>
      <w:bookmarkEnd w:id="18"/>
      <w:bookmarkEnd w:id="19"/>
    </w:p>
    <w:p w:rsidR="001C2CCB" w:rsidRPr="00944EB8" w:rsidRDefault="001C2CCB" w:rsidP="001C2CCB">
      <w:pPr>
        <w:spacing w:before="0" w:after="0" w:line="360" w:lineRule="auto"/>
        <w:contextualSpacing/>
        <w:jc w:val="both"/>
        <w:rPr>
          <w:rFonts w:ascii="Times New Roman" w:hAnsi="Times New Roman" w:cs="Times New Roman"/>
          <w:b/>
          <w:bCs/>
          <w:iCs/>
          <w:spacing w:val="20"/>
          <w:sz w:val="24"/>
          <w:szCs w:val="24"/>
        </w:rPr>
      </w:pPr>
    </w:p>
    <w:p w:rsidR="001C2CCB" w:rsidRPr="00944EB8" w:rsidRDefault="001C2CCB" w:rsidP="001C2CCB">
      <w:pPr>
        <w:pStyle w:val="ListParagraph"/>
        <w:numPr>
          <w:ilvl w:val="0"/>
          <w:numId w:val="3"/>
        </w:numPr>
        <w:spacing w:before="0" w:after="0" w:line="360" w:lineRule="auto"/>
        <w:jc w:val="both"/>
        <w:rPr>
          <w:rFonts w:ascii="Times New Roman" w:hAnsi="Times New Roman" w:cs="Times New Roman"/>
          <w:b/>
          <w:bCs/>
          <w:iCs/>
          <w:spacing w:val="20"/>
          <w:sz w:val="24"/>
          <w:szCs w:val="24"/>
        </w:rPr>
      </w:pPr>
      <w:r w:rsidRPr="00944EB8">
        <w:rPr>
          <w:rFonts w:ascii="Times New Roman" w:hAnsi="Times New Roman" w:cs="Times New Roman"/>
          <w:sz w:val="24"/>
          <w:szCs w:val="24"/>
        </w:rPr>
        <w:t>This research is divided into 5 (five) chapters. Chapter 1 introduces the research, sets the background, and highlights the research questions, the contribution to literature and the research objectives. Chapter 2 undertakes an in-depth review of the relevant literature to be relied on and sets the conceptual framework for the research. Chapter 3 outlines the research methodology adopted</w:t>
      </w:r>
      <w:r w:rsidRPr="00D6236A">
        <w:rPr>
          <w:rFonts w:ascii="Times New Roman" w:hAnsi="Times New Roman" w:cs="Times New Roman"/>
          <w:sz w:val="24"/>
          <w:szCs w:val="24"/>
        </w:rPr>
        <w:t xml:space="preserve">. </w:t>
      </w:r>
      <w:r>
        <w:rPr>
          <w:rFonts w:ascii="Times New Roman" w:hAnsi="Times New Roman" w:cs="Times New Roman"/>
          <w:sz w:val="24"/>
          <w:szCs w:val="24"/>
        </w:rPr>
        <w:t>The research adopts a</w:t>
      </w:r>
      <w:r w:rsidRPr="00D6236A">
        <w:rPr>
          <w:rFonts w:ascii="Times New Roman" w:hAnsi="Times New Roman" w:cs="Times New Roman"/>
          <w:color w:val="0E101A"/>
          <w:sz w:val="24"/>
          <w:szCs w:val="24"/>
        </w:rPr>
        <w:t xml:space="preserve"> non-experimental qualitative research design </w:t>
      </w:r>
      <w:r>
        <w:rPr>
          <w:rFonts w:ascii="Times New Roman" w:hAnsi="Times New Roman" w:cs="Times New Roman"/>
          <w:color w:val="0E101A"/>
          <w:sz w:val="24"/>
          <w:szCs w:val="24"/>
        </w:rPr>
        <w:t xml:space="preserve">and </w:t>
      </w:r>
      <w:r w:rsidRPr="00D6236A">
        <w:rPr>
          <w:rFonts w:ascii="Times New Roman" w:hAnsi="Times New Roman" w:cs="Times New Roman"/>
          <w:color w:val="0E101A"/>
          <w:sz w:val="24"/>
          <w:szCs w:val="24"/>
        </w:rPr>
        <w:t xml:space="preserve">specifically </w:t>
      </w:r>
      <w:r>
        <w:rPr>
          <w:rFonts w:ascii="Times New Roman" w:hAnsi="Times New Roman" w:cs="Times New Roman"/>
          <w:color w:val="0E101A"/>
          <w:sz w:val="24"/>
          <w:szCs w:val="24"/>
        </w:rPr>
        <w:t>makes</w:t>
      </w:r>
      <w:r w:rsidRPr="00D6236A">
        <w:rPr>
          <w:rFonts w:ascii="Times New Roman" w:hAnsi="Times New Roman" w:cs="Times New Roman"/>
          <w:color w:val="0E101A"/>
          <w:sz w:val="24"/>
          <w:szCs w:val="24"/>
        </w:rPr>
        <w:t xml:space="preserve"> use of semi-structured questionnaires </w:t>
      </w:r>
      <w:r>
        <w:rPr>
          <w:rFonts w:ascii="Times New Roman" w:hAnsi="Times New Roman" w:cs="Times New Roman"/>
          <w:color w:val="0E101A"/>
          <w:sz w:val="24"/>
          <w:szCs w:val="24"/>
        </w:rPr>
        <w:t xml:space="preserve">in order to </w:t>
      </w:r>
      <w:r w:rsidRPr="00D6236A">
        <w:rPr>
          <w:rFonts w:ascii="Times New Roman" w:hAnsi="Times New Roman" w:cs="Times New Roman"/>
          <w:color w:val="0E101A"/>
          <w:sz w:val="24"/>
          <w:szCs w:val="24"/>
        </w:rPr>
        <w:t xml:space="preserve">ensure in-depth and detailed responses by the participants and increased materials for the ultimate analysis in the research. </w:t>
      </w:r>
      <w:r w:rsidRPr="00944EB8">
        <w:rPr>
          <w:rFonts w:ascii="Times New Roman" w:hAnsi="Times New Roman" w:cs="Times New Roman"/>
          <w:sz w:val="24"/>
          <w:szCs w:val="24"/>
        </w:rPr>
        <w:t xml:space="preserve">Chapter 4 </w:t>
      </w:r>
      <w:r>
        <w:rPr>
          <w:rFonts w:ascii="Times New Roman" w:hAnsi="Times New Roman" w:cs="Times New Roman"/>
          <w:sz w:val="24"/>
          <w:szCs w:val="24"/>
        </w:rPr>
        <w:t xml:space="preserve">elaborates on the empirical findings from the responses to the </w:t>
      </w:r>
      <w:r w:rsidRPr="00D6236A">
        <w:rPr>
          <w:rFonts w:ascii="Times New Roman" w:hAnsi="Times New Roman" w:cs="Times New Roman"/>
          <w:color w:val="0E101A"/>
          <w:sz w:val="24"/>
          <w:szCs w:val="24"/>
        </w:rPr>
        <w:t xml:space="preserve">semi-structured questionnaires </w:t>
      </w:r>
      <w:r>
        <w:rPr>
          <w:rFonts w:ascii="Times New Roman" w:hAnsi="Times New Roman" w:cs="Times New Roman"/>
          <w:color w:val="0E101A"/>
          <w:sz w:val="24"/>
          <w:szCs w:val="24"/>
        </w:rPr>
        <w:t xml:space="preserve">to </w:t>
      </w:r>
      <w:r w:rsidRPr="00944EB8">
        <w:rPr>
          <w:rFonts w:ascii="Times New Roman" w:hAnsi="Times New Roman" w:cs="Times New Roman"/>
          <w:sz w:val="24"/>
          <w:szCs w:val="24"/>
        </w:rPr>
        <w:t>highlight</w:t>
      </w:r>
      <w:r>
        <w:rPr>
          <w:rFonts w:ascii="Times New Roman" w:hAnsi="Times New Roman" w:cs="Times New Roman"/>
          <w:sz w:val="24"/>
          <w:szCs w:val="24"/>
        </w:rPr>
        <w:t xml:space="preserve"> </w:t>
      </w:r>
      <w:r w:rsidRPr="00944EB8">
        <w:rPr>
          <w:rFonts w:ascii="Times New Roman" w:hAnsi="Times New Roman" w:cs="Times New Roman"/>
          <w:sz w:val="24"/>
          <w:szCs w:val="24"/>
        </w:rPr>
        <w:t xml:space="preserve">instances of judicial intervention at different stages of the arbitral process, to wit: before arbitration, during arbitration proceedings proper and at the post award stage and </w:t>
      </w:r>
      <w:r>
        <w:rPr>
          <w:rFonts w:ascii="Times New Roman" w:hAnsi="Times New Roman" w:cs="Times New Roman"/>
          <w:sz w:val="24"/>
          <w:szCs w:val="24"/>
        </w:rPr>
        <w:t xml:space="preserve">ultimately </w:t>
      </w:r>
      <w:r w:rsidRPr="00944EB8">
        <w:rPr>
          <w:rFonts w:ascii="Times New Roman" w:hAnsi="Times New Roman" w:cs="Times New Roman"/>
          <w:sz w:val="24"/>
          <w:szCs w:val="24"/>
        </w:rPr>
        <w:t>reveal</w:t>
      </w:r>
      <w:r>
        <w:rPr>
          <w:rFonts w:ascii="Times New Roman" w:hAnsi="Times New Roman" w:cs="Times New Roman"/>
          <w:sz w:val="24"/>
          <w:szCs w:val="24"/>
        </w:rPr>
        <w:t>s</w:t>
      </w:r>
      <w:r w:rsidRPr="00944EB8">
        <w:rPr>
          <w:rFonts w:ascii="Times New Roman" w:hAnsi="Times New Roman" w:cs="Times New Roman"/>
          <w:sz w:val="24"/>
          <w:szCs w:val="24"/>
        </w:rPr>
        <w:t xml:space="preserve"> the true extent to which national courts in Nigeria have intervened or interceded in the arbitral process to determine whether, beyond </w:t>
      </w:r>
      <w:r w:rsidRPr="00944EB8">
        <w:rPr>
          <w:rFonts w:ascii="Times New Roman" w:hAnsi="Times New Roman" w:cs="Times New Roman"/>
          <w:sz w:val="24"/>
          <w:szCs w:val="24"/>
        </w:rPr>
        <w:lastRenderedPageBreak/>
        <w:t>the rhetoric they have facilitated or inhibited the process. Chapter 5 concludes the research and proffers some recommendations.</w:t>
      </w:r>
    </w:p>
    <w:p w:rsidR="001C2CCB" w:rsidRDefault="001C2CCB" w:rsidP="001C2CCB">
      <w:pPr>
        <w:spacing w:before="0" w:after="0" w:line="360" w:lineRule="auto"/>
        <w:jc w:val="both"/>
        <w:rPr>
          <w:rFonts w:ascii="Times New Roman" w:hAnsi="Times New Roman" w:cs="Times New Roman"/>
          <w:b/>
          <w:bCs/>
          <w:iCs/>
          <w:spacing w:val="20"/>
          <w:sz w:val="24"/>
          <w:szCs w:val="24"/>
        </w:rPr>
      </w:pPr>
    </w:p>
    <w:p w:rsidR="001C2CCB" w:rsidRPr="00944EB8" w:rsidRDefault="001C2CCB" w:rsidP="001C2CCB">
      <w:pPr>
        <w:pStyle w:val="Heading2"/>
        <w:numPr>
          <w:ilvl w:val="1"/>
          <w:numId w:val="19"/>
        </w:numPr>
        <w:spacing w:before="0"/>
        <w:rPr>
          <w:rFonts w:cs="Times New Roman"/>
          <w:color w:val="auto"/>
        </w:rPr>
      </w:pPr>
      <w:bookmarkStart w:id="20" w:name="_Toc80808234"/>
      <w:r w:rsidRPr="00944EB8">
        <w:rPr>
          <w:rFonts w:cs="Times New Roman"/>
          <w:color w:val="auto"/>
        </w:rPr>
        <w:t>Conclusion</w:t>
      </w:r>
      <w:bookmarkEnd w:id="20"/>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1D03FB" w:rsidRDefault="001C2CCB" w:rsidP="001C2CCB">
      <w:pPr>
        <w:pStyle w:val="ListParagraph"/>
        <w:numPr>
          <w:ilvl w:val="0"/>
          <w:numId w:val="3"/>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This Chapter has set the tone for the research by introducing the research and highlighting its contribution to literature and the research objectives. The next chapter will now an in-depth review of the relevant literature to be relied on and sets the conceptual framework for the research.</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spacing w:before="0"/>
        <w:rPr>
          <w:rFonts w:ascii="Times New Roman" w:hAnsi="Times New Roman" w:cs="Times New Roman"/>
          <w:sz w:val="24"/>
          <w:szCs w:val="24"/>
        </w:rPr>
      </w:pPr>
      <w:r w:rsidRPr="00944EB8">
        <w:rPr>
          <w:rFonts w:ascii="Times New Roman" w:hAnsi="Times New Roman" w:cs="Times New Roman"/>
          <w:sz w:val="24"/>
          <w:szCs w:val="24"/>
        </w:rPr>
        <w:br w:type="page"/>
      </w:r>
    </w:p>
    <w:p w:rsidR="001C2CCB" w:rsidRPr="00944EB8" w:rsidRDefault="001C2CCB" w:rsidP="001C2CCB">
      <w:pPr>
        <w:pStyle w:val="Heading1"/>
        <w:numPr>
          <w:ilvl w:val="0"/>
          <w:numId w:val="6"/>
        </w:numPr>
        <w:spacing w:before="0" w:line="360" w:lineRule="auto"/>
        <w:jc w:val="center"/>
        <w:rPr>
          <w:rFonts w:cs="Times New Roman"/>
          <w:color w:val="auto"/>
          <w:szCs w:val="24"/>
        </w:rPr>
      </w:pPr>
      <w:bookmarkStart w:id="21" w:name="_Toc80808235"/>
      <w:r w:rsidRPr="00944EB8">
        <w:rPr>
          <w:rFonts w:cs="Times New Roman"/>
          <w:color w:val="auto"/>
          <w:szCs w:val="24"/>
        </w:rPr>
        <w:lastRenderedPageBreak/>
        <w:t>CHAPTER TWO</w:t>
      </w:r>
      <w:bookmarkEnd w:id="21"/>
    </w:p>
    <w:p w:rsidR="001C2CCB" w:rsidRPr="00944EB8" w:rsidRDefault="001C2CCB" w:rsidP="001C2CCB">
      <w:pPr>
        <w:spacing w:before="0" w:after="0"/>
        <w:rPr>
          <w:rFonts w:ascii="Times New Roman" w:hAnsi="Times New Roman" w:cs="Times New Roman"/>
        </w:rPr>
      </w:pPr>
    </w:p>
    <w:p w:rsidR="001C2CCB" w:rsidRPr="00944EB8" w:rsidRDefault="001C2CCB" w:rsidP="001C2CCB">
      <w:pPr>
        <w:autoSpaceDE w:val="0"/>
        <w:autoSpaceDN w:val="0"/>
        <w:adjustRightInd w:val="0"/>
        <w:spacing w:before="0" w:after="0" w:line="360" w:lineRule="auto"/>
        <w:jc w:val="center"/>
        <w:rPr>
          <w:rFonts w:ascii="Times New Roman" w:eastAsiaTheme="minorHAnsi" w:hAnsi="Times New Roman" w:cs="Times New Roman"/>
          <w:b/>
          <w:bCs/>
          <w:sz w:val="24"/>
          <w:szCs w:val="24"/>
        </w:rPr>
      </w:pPr>
      <w:r w:rsidRPr="00944EB8">
        <w:rPr>
          <w:rFonts w:ascii="Times New Roman" w:eastAsiaTheme="minorHAnsi" w:hAnsi="Times New Roman" w:cs="Times New Roman"/>
          <w:b/>
          <w:bCs/>
          <w:sz w:val="24"/>
          <w:szCs w:val="24"/>
        </w:rPr>
        <w:t>LITERATURE REVIEW</w:t>
      </w:r>
    </w:p>
    <w:p w:rsidR="001C2CCB" w:rsidRPr="00944EB8" w:rsidRDefault="001C2CCB" w:rsidP="001C2CCB">
      <w:pPr>
        <w:pStyle w:val="Heading2"/>
        <w:numPr>
          <w:ilvl w:val="1"/>
          <w:numId w:val="6"/>
        </w:numPr>
        <w:spacing w:before="0"/>
        <w:ind w:hanging="792"/>
        <w:rPr>
          <w:rFonts w:cs="Times New Roman"/>
          <w:color w:val="auto"/>
          <w:szCs w:val="24"/>
          <w:lang w:val="en-GB"/>
        </w:rPr>
      </w:pPr>
      <w:bookmarkStart w:id="22" w:name="_Toc80808236"/>
      <w:r w:rsidRPr="00944EB8">
        <w:rPr>
          <w:rFonts w:cs="Times New Roman"/>
          <w:color w:val="auto"/>
          <w:szCs w:val="24"/>
          <w:lang w:val="en-GB"/>
        </w:rPr>
        <w:t>Overview</w:t>
      </w:r>
      <w:bookmarkEnd w:id="22"/>
    </w:p>
    <w:p w:rsidR="001C2CCB" w:rsidRPr="00944EB8" w:rsidRDefault="001C2CCB" w:rsidP="001C2CCB">
      <w:pPr>
        <w:spacing w:before="0" w:after="0"/>
        <w:rPr>
          <w:rFonts w:ascii="Times New Roman" w:hAnsi="Times New Roman" w:cs="Times New Roman"/>
        </w:rPr>
      </w:pPr>
    </w:p>
    <w:p w:rsidR="001C2CCB" w:rsidRPr="00944EB8" w:rsidRDefault="001C2CCB" w:rsidP="001C2CCB">
      <w:pPr>
        <w:pStyle w:val="Heading2"/>
        <w:numPr>
          <w:ilvl w:val="2"/>
          <w:numId w:val="6"/>
        </w:numPr>
        <w:spacing w:before="0"/>
        <w:ind w:left="540" w:hanging="540"/>
        <w:rPr>
          <w:rFonts w:cs="Times New Roman"/>
          <w:color w:val="auto"/>
          <w:szCs w:val="24"/>
          <w:lang w:val="en-GB"/>
        </w:rPr>
      </w:pPr>
      <w:bookmarkStart w:id="23" w:name="_Toc80808237"/>
      <w:r w:rsidRPr="00944EB8">
        <w:rPr>
          <w:rFonts w:cs="Times New Roman"/>
          <w:iCs/>
          <w:color w:val="auto"/>
          <w:spacing w:val="20"/>
          <w:szCs w:val="24"/>
          <w:lang w:val="en-GB"/>
        </w:rPr>
        <w:t>Meaning of Arbitration</w:t>
      </w:r>
      <w:bookmarkEnd w:id="23"/>
    </w:p>
    <w:p w:rsidR="001C2CCB" w:rsidRPr="00944EB8" w:rsidRDefault="001C2CCB" w:rsidP="001C2CCB">
      <w:pPr>
        <w:spacing w:before="0" w:after="0" w:line="360" w:lineRule="auto"/>
        <w:ind w:left="630"/>
        <w:contextualSpacing/>
        <w:jc w:val="both"/>
        <w:rPr>
          <w:rFonts w:ascii="Times New Roman" w:hAnsi="Times New Roman" w:cs="Times New Roman"/>
          <w:iCs/>
          <w:spacing w:val="20"/>
        </w:rPr>
      </w:pPr>
    </w:p>
    <w:p w:rsidR="001C2CCB" w:rsidRPr="00944EB8" w:rsidRDefault="001C2CCB" w:rsidP="001C2CCB">
      <w:pPr>
        <w:pStyle w:val="FootnoteText"/>
        <w:numPr>
          <w:ilvl w:val="0"/>
          <w:numId w:val="34"/>
        </w:numPr>
        <w:spacing w:line="360" w:lineRule="auto"/>
        <w:jc w:val="both"/>
        <w:rPr>
          <w:rFonts w:ascii="Times New Roman" w:hAnsi="Times New Roman"/>
          <w:sz w:val="24"/>
          <w:szCs w:val="24"/>
        </w:rPr>
      </w:pPr>
      <w:r w:rsidRPr="00944EB8">
        <w:rPr>
          <w:rFonts w:ascii="Times New Roman" w:hAnsi="Times New Roman"/>
          <w:sz w:val="24"/>
          <w:szCs w:val="24"/>
        </w:rPr>
        <w:t xml:space="preserve">As with most concepts in the social sciences, arbitration is dynamic and does not admit of a single universally accepted definition. Nevertheless, some authors have made spirited attempts to proffer definitions to the concept. Lew </w:t>
      </w:r>
      <w:r w:rsidRPr="00944EB8">
        <w:rPr>
          <w:rFonts w:ascii="Times New Roman" w:hAnsi="Times New Roman"/>
          <w:i/>
          <w:iCs/>
          <w:sz w:val="24"/>
          <w:szCs w:val="24"/>
        </w:rPr>
        <w:t xml:space="preserve">et al </w:t>
      </w:r>
      <w:r w:rsidRPr="00944EB8">
        <w:rPr>
          <w:rFonts w:ascii="Times New Roman" w:hAnsi="Times New Roman"/>
          <w:sz w:val="24"/>
          <w:szCs w:val="24"/>
        </w:rPr>
        <w:t xml:space="preserve">(2003) define arbitration as a specially established mechanism for the final and binding determination of disputes, concerning a contractual or other relationship, by independent arbitrators, in accordance with procedures, structures and substantive legal or non-legal standards chosen directly or indirectly by the parties,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{"citationID":"MOTUZ4Rf","properties":{"formattedCitation":"(Julian D M  Lew, 2003)","plainCitation":"(Julian D M  Lew, 2003)","noteIndex":0},"citationItems":[{"id":574,"uris":["http://zotero.org/users/local/arLofKbg/items/RSXS3LEC"],"uri":["http://zotero.org/users/local/arLofKbg/items/RSXS3LEC"],"itemData":{"id":574,"type":"book","call-number":"YC.2004.a.1798, m04/31671","event-place":"The Hague ; London","ISBN":"978-90-411-1568-3","language":"eng","number-of-pages":"xxxv+953","publisher":"Kluwer Law International","publisher-place":"The Hague ; London","source":"explore.bl.uk","title":"Comparative international commercial arbitration / by Julian D.M. Lew, Loukas A. Mistelis, Stefan M. Kröll.","author":[{"literal":"Julian D M  Lew"}],"issued":{"date-parts":[["2003"]]}}}],"schema":"https://github.com/citation-style-language/schema/raw/master/csl-citation.json"}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(Julian D M  Lew, 2003)</w:t>
      </w:r>
      <w:r w:rsidRPr="00944EB8">
        <w:rPr>
          <w:rFonts w:ascii="Times New Roman" w:hAnsi="Times New Roman"/>
          <w:sz w:val="24"/>
          <w:szCs w:val="24"/>
        </w:rPr>
        <w:fldChar w:fldCharType="end"/>
      </w:r>
      <w:r w:rsidRPr="00944EB8">
        <w:rPr>
          <w:rFonts w:ascii="Times New Roman" w:hAnsi="Times New Roman"/>
          <w:sz w:val="24"/>
          <w:szCs w:val="24"/>
        </w:rPr>
        <w:t xml:space="preserve">. On his part, Born (2014) after observing that the label adopted by the parties for a dispute resolution mechanism is not decisive in defining the true character of that mechanism, nevertheless proceeded to posit that virtually all authorities accept that arbitration is – and only is – a process by which parties consensually submit a dispute to a non-governmental decision-maker, selected by or for the parties, to render a binding decision resolving a dispute in accordance with neutral, adjudicatory procedures affording each party an opportunity to present its case,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{"citationID":"8736szmA","properties":{"formattedCitation":"(Gary Born author, 2014)","plainCitation":"(Gary Born author, 2014)","noteIndex":0},"citationItems":[{"id":573,"uris":["http://zotero.org/users/local/arLofKbg/items/WFW6Q8AX"],"uri":["http://zotero.org/users/local/arLofKbg/items/WFW6Q8AX"],"itemData":{"id":573,"type":"book","abstract":"Contents: v. 1. International arbitration agreements -- v. 2. International arbitral procedures -- v. 3. International arbitral awards.","call-number":"YC.2014.a.14204, YC.2014.a.14203, YC.2014.a.14205","edition":"Second edition","event-place":"Alphen aan den Rijn, The Netherlands","ISBN":"978-90-411-5219-0","language":"eng","publisher":"Wolters Kluwer, Law &amp; Business, 2014","publisher-place":"Alphen aan den Rijn, The Netherlands","source":"explore.bl.uk","title":"International commercial arbitration / Gary B. Born.","author":[{"literal":"Gary Born author"}],"issued":{"date-parts":[["2014"]]}}}],"schema":"https://github.com/citation-style-language/schema/raw/master/csl-citation.json"}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(Gary Born author, 2014)</w:t>
      </w:r>
      <w:r w:rsidRPr="00944EB8">
        <w:rPr>
          <w:rFonts w:ascii="Times New Roman" w:hAnsi="Times New Roman"/>
          <w:sz w:val="24"/>
          <w:szCs w:val="24"/>
        </w:rPr>
        <w:fldChar w:fldCharType="end"/>
      </w:r>
      <w:r w:rsidRPr="00944EB8">
        <w:rPr>
          <w:rFonts w:ascii="Times New Roman" w:hAnsi="Times New Roman"/>
          <w:sz w:val="24"/>
          <w:szCs w:val="24"/>
        </w:rPr>
        <w:t xml:space="preserve">. Nigerian authorities adopt a similar approach,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{"citationID":"ZyH4tNTI","properties":{"formattedCitation":"(Oyekunle and Ojo, 2018)","plainCitation":"(Oyekunle and Ojo, 2018)","noteIndex":0},"citationItems":[{"id":576,"uris":["http://zotero.org/users/local/arLofKbg/items/867AI5GU"],"uri":["http://zotero.org/users/local/arLofKbg/items/867AI5GU"],"itemData":{"id":576,"type":"book","ISBN":"978-0-639-00355-9","language":"en","note":"Google-Books-ID: VvG7xQEACAAJ","number-of-pages":"521","publisher":"LexisNexis","source":"Google Books","title":"Handbook of Arbitration and ADR Practice in Nigeria","author":[{"family":"Oyekunle","given":"Tinuade"},{"family":"Ojo","given":"Bayo"}],"issued":{"date-parts":[["2018"]]}}}],"schema":"https://github.com/citation-style-language/schema/raw/master/csl-citation.json"}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(Oyekunle and Ojo, 2018)</w:t>
      </w:r>
      <w:r w:rsidRPr="00944EB8">
        <w:rPr>
          <w:rFonts w:ascii="Times New Roman" w:hAnsi="Times New Roman"/>
          <w:sz w:val="24"/>
          <w:szCs w:val="24"/>
        </w:rPr>
        <w:fldChar w:fldCharType="end"/>
      </w:r>
      <w:r w:rsidRPr="00944EB8">
        <w:rPr>
          <w:rFonts w:ascii="Times New Roman" w:hAnsi="Times New Roman"/>
          <w:sz w:val="24"/>
          <w:szCs w:val="24"/>
        </w:rPr>
        <w:t>.</w:t>
      </w:r>
    </w:p>
    <w:p w:rsidR="001C2CCB" w:rsidRPr="00944EB8" w:rsidRDefault="001C2CCB" w:rsidP="001C2CCB">
      <w:pPr>
        <w:pStyle w:val="ListParagraph"/>
        <w:spacing w:before="0" w:after="0"/>
        <w:ind w:left="567" w:hanging="567"/>
        <w:rPr>
          <w:rFonts w:ascii="Times New Roman" w:hAnsi="Times New Roman" w:cs="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Consistent with the above, international arbitration conventions and most national arbitration laws avoid a definition of arbitration. The Nigerian Arbitration and Conciliation Act 1988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{"citationID":"pLmkp4Y5","properties":{"formattedCitation":"(\\uc0\\u8220{}Arbitration and Conciliation Act (Cap. A18).,\\uc0\\u8221{} n.d.)","plainCitation":"(“Arbitration and Conciliation Act (Cap. A18).,” n.d.)","noteIndex":0},"citationItems":[{"id":579,"uris":["http://zotero.org/users/local/arLofKbg/items/CT9XPZIB"],"uri":["http://zotero.org/users/local/arLofKbg/items/CT9XPZIB"],"itemData":{"id":579,"type":"article","title":"Arbitration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(“Arbitration and Conciliation Act (Cap. A18)</w:t>
      </w:r>
      <w:proofErr w:type="gramStart"/>
      <w:r w:rsidRPr="00944EB8">
        <w:rPr>
          <w:rFonts w:ascii="Times New Roman" w:hAnsi="Times New Roman"/>
          <w:sz w:val="24"/>
          <w:szCs w:val="24"/>
        </w:rPr>
        <w:t>.,</w:t>
      </w:r>
      <w:proofErr w:type="gramEnd"/>
      <w:r w:rsidRPr="00944EB8">
        <w:rPr>
          <w:rFonts w:ascii="Times New Roman" w:hAnsi="Times New Roman"/>
          <w:sz w:val="24"/>
          <w:szCs w:val="24"/>
        </w:rPr>
        <w:t>” n.d.)</w:t>
      </w:r>
      <w:r w:rsidRPr="00944EB8">
        <w:rPr>
          <w:rFonts w:ascii="Times New Roman" w:hAnsi="Times New Roman"/>
          <w:sz w:val="24"/>
          <w:szCs w:val="24"/>
        </w:rPr>
        <w:fldChar w:fldCharType="end"/>
      </w:r>
      <w:r w:rsidRPr="00944EB8">
        <w:rPr>
          <w:rFonts w:ascii="Times New Roman" w:hAnsi="Times New Roman"/>
          <w:sz w:val="24"/>
          <w:szCs w:val="24"/>
        </w:rPr>
        <w:t xml:space="preserve"> </w:t>
      </w:r>
      <w:proofErr w:type="gramStart"/>
      <w:r w:rsidRPr="00944EB8">
        <w:rPr>
          <w:rFonts w:ascii="Times New Roman" w:hAnsi="Times New Roman"/>
          <w:sz w:val="24"/>
          <w:szCs w:val="24"/>
        </w:rPr>
        <w:t>contains</w:t>
      </w:r>
      <w:proofErr w:type="gramEnd"/>
      <w:r w:rsidRPr="00944EB8">
        <w:rPr>
          <w:rFonts w:ascii="Times New Roman" w:hAnsi="Times New Roman"/>
          <w:sz w:val="24"/>
          <w:szCs w:val="24"/>
        </w:rPr>
        <w:t xml:space="preserve"> no definition of arbitration and merely provides for the forms of arbitration agreement. By way of comparative example, the English Arbitration Act 1996 does not also provide a definition of arbitration but merely sets out clear statements of principle of what is expected from arbitration. Accordingly, section 1 of the Act provides:</w:t>
      </w:r>
    </w:p>
    <w:p w:rsidR="001C2CCB" w:rsidRPr="00944EB8" w:rsidRDefault="001C2CCB" w:rsidP="001C2CCB">
      <w:pPr>
        <w:pStyle w:val="ListParagraph"/>
        <w:spacing w:before="0" w:after="0"/>
        <w:ind w:left="1134" w:hanging="567"/>
        <w:rPr>
          <w:rFonts w:ascii="Times New Roman" w:hAnsi="Times New Roman" w:cs="Times New Roman"/>
          <w:sz w:val="24"/>
          <w:szCs w:val="24"/>
        </w:rPr>
      </w:pPr>
    </w:p>
    <w:p w:rsidR="001C2CCB" w:rsidRPr="00944EB8" w:rsidRDefault="001C2CCB" w:rsidP="001C2CCB">
      <w:pPr>
        <w:pStyle w:val="ListParagraph"/>
        <w:numPr>
          <w:ilvl w:val="0"/>
          <w:numId w:val="4"/>
        </w:numPr>
        <w:spacing w:before="0" w:after="0" w:line="360" w:lineRule="auto"/>
        <w:ind w:left="1134" w:right="340" w:hanging="283"/>
        <w:jc w:val="both"/>
        <w:rPr>
          <w:rFonts w:ascii="Times New Roman" w:hAnsi="Times New Roman" w:cs="Times New Roman"/>
          <w:sz w:val="24"/>
          <w:szCs w:val="24"/>
        </w:rPr>
      </w:pPr>
      <w:r w:rsidRPr="00944EB8">
        <w:rPr>
          <w:rFonts w:ascii="Times New Roman" w:hAnsi="Times New Roman" w:cs="Times New Roman"/>
          <w:sz w:val="24"/>
          <w:szCs w:val="24"/>
        </w:rPr>
        <w:t>The object of arbitration is to obtain the fair resolution of disputes by an impartial tribunal without unnecessary delay expense;</w:t>
      </w:r>
    </w:p>
    <w:p w:rsidR="001C2CCB" w:rsidRPr="00944EB8" w:rsidRDefault="001C2CCB" w:rsidP="001C2CCB">
      <w:pPr>
        <w:pStyle w:val="ListParagraph"/>
        <w:numPr>
          <w:ilvl w:val="0"/>
          <w:numId w:val="4"/>
        </w:numPr>
        <w:spacing w:before="0" w:after="0" w:line="360" w:lineRule="auto"/>
        <w:ind w:left="1134" w:right="340" w:hanging="283"/>
        <w:jc w:val="both"/>
        <w:rPr>
          <w:rFonts w:ascii="Times New Roman" w:hAnsi="Times New Roman" w:cs="Times New Roman"/>
          <w:sz w:val="24"/>
          <w:szCs w:val="24"/>
        </w:rPr>
      </w:pPr>
      <w:r w:rsidRPr="00944EB8">
        <w:rPr>
          <w:rFonts w:ascii="Times New Roman" w:hAnsi="Times New Roman" w:cs="Times New Roman"/>
          <w:sz w:val="24"/>
          <w:szCs w:val="24"/>
        </w:rPr>
        <w:lastRenderedPageBreak/>
        <w:t>The parties should be free to agree how their disputes are resolved, subject only to such safeguards as are necessary in the public interest.</w:t>
      </w:r>
    </w:p>
    <w:p w:rsidR="001C2CCB" w:rsidRPr="00944EB8" w:rsidRDefault="001C2CCB" w:rsidP="001C2CCB">
      <w:pPr>
        <w:pStyle w:val="ListParagraph"/>
        <w:spacing w:before="0" w:after="0"/>
        <w:ind w:left="1134" w:hanging="567"/>
        <w:rPr>
          <w:rFonts w:ascii="Times New Roman" w:hAnsi="Times New Roman" w:cs="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From the above, certain fundamental features of arbitration begin to emerge. According to Lew </w:t>
      </w:r>
      <w:r w:rsidRPr="00944EB8">
        <w:rPr>
          <w:rFonts w:ascii="Times New Roman" w:hAnsi="Times New Roman"/>
          <w:i/>
          <w:iCs/>
          <w:sz w:val="24"/>
          <w:szCs w:val="24"/>
        </w:rPr>
        <w:t xml:space="preserve">et al </w:t>
      </w:r>
      <w:r w:rsidRPr="00944EB8">
        <w:rPr>
          <w:rFonts w:ascii="Times New Roman" w:hAnsi="Times New Roman"/>
          <w:sz w:val="24"/>
          <w:szCs w:val="24"/>
        </w:rPr>
        <w:t xml:space="preserve">(2003), the general fora for the resolution of disputes are the national courts and these exist and are maintained by the state to provide binding settlement to parties’ disputes. It is a manifestation of state power and responsibility of the state to ensure that appropriately qualified judges are appointed, that there are procedural rules to regulate the basis of jurisdiction and the conduct of cases before the court,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{"citationID":"lJ9tPVpz","properties":{"formattedCitation":"(Julian D M  Lew, 2003)","plainCitation":"(Julian D M  Lew, 2003)","noteIndex":0},"citationItems":[{"id":574,"uris":["http://zotero.org/users/local/arLofKbg/items/RSXS3LEC"],"uri":["http://zotero.org/users/local/arLofKbg/items/RSXS3LEC"],"itemData":{"id":574,"type":"book","call-number":"YC.2004.a.1798, m04/31671","event-place":"The Hague ; London","ISBN":"978-90-411-1568-3","language":"eng","number-of-pages":"xxxv+953","publisher":"Kluwer Law International","publisher-place":"The Hague ; London","source":"explore.bl.uk","title":"Comparative international commercial arbitration / by Julian D.M. Lew, Loukas A. Mistelis, Stefan M. Kröll.","author":[{"literal":"Julian D M  Lew"}],"issued":{"date-parts":[["2003"]]}}}],"schema":"https://github.com/citation-style-language/schema/raw/master/csl-citation.json"}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(Julian D M  Lew, 2003)</w:t>
      </w:r>
      <w:r w:rsidRPr="00944EB8">
        <w:rPr>
          <w:rFonts w:ascii="Times New Roman" w:hAnsi="Times New Roman"/>
          <w:sz w:val="24"/>
          <w:szCs w:val="24"/>
        </w:rPr>
        <w:fldChar w:fldCharType="end"/>
      </w:r>
      <w:r w:rsidRPr="00944EB8">
        <w:rPr>
          <w:rFonts w:ascii="Times New Roman" w:hAnsi="Times New Roman"/>
          <w:sz w:val="24"/>
          <w:szCs w:val="24"/>
        </w:rPr>
        <w:t>.</w:t>
      </w:r>
      <w:r w:rsidRPr="00944EB8">
        <w:rPr>
          <w:rStyle w:val="FootnoteReference"/>
          <w:rFonts w:ascii="Times New Roman" w:hAnsi="Times New Roman"/>
          <w:sz w:val="24"/>
          <w:szCs w:val="24"/>
        </w:rPr>
        <w:t xml:space="preserve"> </w:t>
      </w:r>
      <w:r w:rsidRPr="00944EB8">
        <w:rPr>
          <w:rFonts w:ascii="Times New Roman" w:hAnsi="Times New Roman"/>
          <w:sz w:val="24"/>
          <w:szCs w:val="24"/>
        </w:rPr>
        <w:t>Arbitration thus serves as an alternative to a national court procedure and when the parties agree to have their dispute resolved by arbitration, they agree to remove it from the jurisdiction of national courts. The authors therefore further posit that there are four fundamental features of arbitration to wit: it is an alternative to national courts; it is a private mechanism for dispute resolution; it is a process selected and controlled by the parties; and it results in a final and binding determination of the parties’ rights and obligations,</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{"citationID":"dLog2vmS","properties":{"formattedCitation":"(Julian D M  Lew, 2003)","plainCitation":"(Julian D M  Lew, 2003)","noteIndex":0},"citationItems":[{"id":574,"uris":["http://zotero.org/users/local/arLofKbg/items/RSXS3LEC"],"uri":["http://zotero.org/users/local/arLofKbg/items/RSXS3LEC"],"itemData":{"id":574,"type":"book","call-number":"YC.2004.a.1798, m04/31671","event-place":"The Hague ; London","ISBN":"978-90-411-1568-3","language":"eng","number-of-pages":"xxxv+953","publisher":"Kluwer Law International","publisher-place":"The Hague ; London","source":"explore.bl.uk","title":"Comparative international commercial arbitration / by Julian D.M. Lew, Loukas A. Mistelis, Stefan M. Kröll.","author":[{"literal":"Julian D M  Lew"}],"issued":{"date-parts":[["2003"]]}}}],"schema":"https://github.com/citation-style-language/schema/raw/master/csl-citation.json"}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(Julian D M  Lew, 2003)</w:t>
      </w:r>
      <w:r w:rsidRPr="00944EB8">
        <w:rPr>
          <w:rFonts w:ascii="Times New Roman" w:hAnsi="Times New Roman"/>
          <w:sz w:val="24"/>
          <w:szCs w:val="24"/>
        </w:rPr>
        <w:fldChar w:fldCharType="end"/>
      </w:r>
      <w:r w:rsidRPr="00944EB8">
        <w:rPr>
          <w:rFonts w:ascii="Times New Roman" w:hAnsi="Times New Roman"/>
          <w:sz w:val="24"/>
          <w:szCs w:val="24"/>
        </w:rPr>
        <w:t xml:space="preserve">. </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In addition to the above, there are other fundamental concepts of international commercial arbitration which ultimately contribute to the effectiveness and efficiency of the arbitral process; reduces incidents of interference with the arbitral process by national courts; and gives effect to the concept of judicial non-interference in arbitration. Without these concepts, the issue of judicial intervention or non-interference in arbitral process will not arise. Those concepts which will be discussed below include party autonomy, separability or autonomy of arbitration agreements; the competence-competence doctrine; the effects of an Arbitration Agreement; scope of arbitration and arbitrability; the seat of arbitration; etc. </w:t>
      </w:r>
    </w:p>
    <w:p w:rsidR="001C2CCB" w:rsidRPr="00944EB8" w:rsidRDefault="001C2CCB" w:rsidP="001C2CCB">
      <w:pPr>
        <w:pStyle w:val="ListParagraph"/>
        <w:spacing w:before="0" w:after="0"/>
        <w:rPr>
          <w:rFonts w:ascii="Times New Roman" w:hAnsi="Times New Roman" w:cs="Times New Roman"/>
        </w:rPr>
      </w:pPr>
    </w:p>
    <w:p w:rsidR="001C2CCB" w:rsidRPr="00944EB8" w:rsidRDefault="001C2CCB" w:rsidP="001C2CCB">
      <w:pPr>
        <w:pStyle w:val="Heading2"/>
        <w:numPr>
          <w:ilvl w:val="1"/>
          <w:numId w:val="8"/>
        </w:numPr>
        <w:spacing w:before="0"/>
        <w:rPr>
          <w:rFonts w:cs="Times New Roman"/>
          <w:color w:val="auto"/>
        </w:rPr>
      </w:pPr>
      <w:bookmarkStart w:id="24" w:name="_Toc80808238"/>
      <w:r w:rsidRPr="00944EB8">
        <w:rPr>
          <w:rFonts w:cs="Times New Roman"/>
          <w:color w:val="auto"/>
        </w:rPr>
        <w:t>The underlying concepts in international commercial arbitration</w:t>
      </w:r>
      <w:bookmarkEnd w:id="24"/>
    </w:p>
    <w:p w:rsidR="001C2CCB" w:rsidRPr="00944EB8" w:rsidRDefault="001C2CCB" w:rsidP="001C2CCB">
      <w:pPr>
        <w:spacing w:before="0" w:after="0"/>
        <w:ind w:left="720"/>
        <w:rPr>
          <w:rFonts w:ascii="Times New Roman" w:hAnsi="Times New Roman" w:cs="Times New Roman"/>
          <w:lang w:val="en-US"/>
        </w:rPr>
      </w:pPr>
    </w:p>
    <w:p w:rsidR="001C2CCB" w:rsidRPr="00944EB8" w:rsidRDefault="001C2CCB" w:rsidP="001C2CCB">
      <w:pPr>
        <w:pStyle w:val="Heading3"/>
        <w:numPr>
          <w:ilvl w:val="2"/>
          <w:numId w:val="22"/>
        </w:numPr>
        <w:rPr>
          <w:rFonts w:cs="Times New Roman"/>
        </w:rPr>
      </w:pPr>
      <w:bookmarkStart w:id="25" w:name="_Toc80808239"/>
      <w:r w:rsidRPr="00944EB8">
        <w:rPr>
          <w:rFonts w:cs="Times New Roman"/>
        </w:rPr>
        <w:t>Party Autonomy</w:t>
      </w:r>
      <w:bookmarkEnd w:id="25"/>
    </w:p>
    <w:p w:rsidR="001C2CCB" w:rsidRPr="00944EB8" w:rsidRDefault="001C2CCB" w:rsidP="001C2CCB">
      <w:pPr>
        <w:spacing w:before="0" w:after="0"/>
        <w:ind w:left="450"/>
        <w:rPr>
          <w:rFonts w:ascii="Times New Roman" w:hAnsi="Times New Roman" w:cs="Times New Roman"/>
        </w:rPr>
      </w:pPr>
    </w:p>
    <w:p w:rsidR="001C2CCB" w:rsidRPr="00944EB8" w:rsidRDefault="001C2CCB" w:rsidP="001C2CCB">
      <w:pPr>
        <w:pStyle w:val="FootnoteText"/>
        <w:numPr>
          <w:ilvl w:val="0"/>
          <w:numId w:val="34"/>
        </w:numPr>
        <w:tabs>
          <w:tab w:val="left" w:pos="630"/>
        </w:tabs>
        <w:spacing w:line="360" w:lineRule="auto"/>
        <w:ind w:left="540" w:hanging="540"/>
        <w:jc w:val="both"/>
        <w:rPr>
          <w:rFonts w:ascii="Times New Roman" w:hAnsi="Times New Roman"/>
          <w:sz w:val="24"/>
          <w:szCs w:val="24"/>
        </w:rPr>
      </w:pPr>
      <w:r w:rsidRPr="00944EB8">
        <w:rPr>
          <w:rFonts w:ascii="Times New Roman" w:hAnsi="Times New Roman"/>
          <w:sz w:val="24"/>
          <w:szCs w:val="24"/>
        </w:rPr>
        <w:t xml:space="preserve">The </w:t>
      </w:r>
      <w:r w:rsidRPr="00944EB8">
        <w:rPr>
          <w:rFonts w:ascii="Times New Roman" w:hAnsi="Times New Roman"/>
          <w:i/>
          <w:iCs/>
          <w:sz w:val="24"/>
          <w:szCs w:val="24"/>
        </w:rPr>
        <w:t>foundation stone</w:t>
      </w:r>
      <w:r w:rsidRPr="00944EB8">
        <w:rPr>
          <w:rFonts w:ascii="Times New Roman" w:hAnsi="Times New Roman"/>
          <w:sz w:val="24"/>
          <w:szCs w:val="24"/>
        </w:rPr>
        <w:t xml:space="preserve"> of international commercial arbitration is the arbitration agreement. The agreement records the consent of the parties to submit a dispute to arbitration and except in the rare cases of statutorily mandated arbitration, there can be no arbitration </w:t>
      </w:r>
      <w:r w:rsidRPr="00944EB8">
        <w:rPr>
          <w:rFonts w:ascii="Times New Roman" w:hAnsi="Times New Roman"/>
          <w:sz w:val="24"/>
          <w:szCs w:val="24"/>
        </w:rPr>
        <w:lastRenderedPageBreak/>
        <w:t xml:space="preserve">between parties who have not agreed to arbitrate their disputes. Thus, der Berg (1981) states that "obviously, no arbitration is possible without its very basis, the arbitration agreement",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{"citationID":"xLZHGEAu","properties":{"formattedCitation":"(Berg and van den Berg, 1981)","plainCitation":"(Berg and van den Berg, 1981)","noteIndex":0},"citationItems":[{"id":582,"uris":["http://zotero.org/users/local/arLofKbg/items/7FGWGKGH"],"uri":["http://zotero.org/users/local/arLofKbg/items/7FGWGKGH"],"itemData":{"id":582,"type":"book","edition":"45","ISBN":"978-90-6544-035-8","title":"The New York Arbitration Convention of 1958","author":[{"family":"Berg","given":"Albert Jan","dropping-particle":"van den"},{"family":"Berg","given":"Albert Jan","non-dropping-particle":"van den"}],"issued":{"date-parts":[["1981"]]}}}],"schema":"https://github.com/citation-style-language/schema/raw/master/csl-citation.json"}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(Berg and van den Berg, 1981)</w:t>
      </w:r>
      <w:r w:rsidRPr="00944EB8">
        <w:rPr>
          <w:rFonts w:ascii="Times New Roman" w:hAnsi="Times New Roman"/>
          <w:sz w:val="24"/>
          <w:szCs w:val="24"/>
        </w:rPr>
        <w:fldChar w:fldCharType="end"/>
      </w:r>
      <w:r w:rsidRPr="00944EB8">
        <w:rPr>
          <w:rFonts w:ascii="Times New Roman" w:hAnsi="Times New Roman"/>
          <w:sz w:val="24"/>
          <w:szCs w:val="24"/>
        </w:rPr>
        <w:t xml:space="preserve">. </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In most legal systems, the existence of a valid agreement is a prerequisite for the commencement and validity of arbitration proceedings, and thus, without an arbitration agreement, a dispute cannot be validly submitted to an arbitral tribunal for resolution. As the US Court held, arbitration is based on a valid agreement to arbitrate between the parties to a dispute. Arbitration is a creature of consent, and that consent should be freely, knowingly, and competently given,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{"citationID":"5DMa35XB","properties":{"formattedCitation":"(\\uc0\\u8220{}Steelworkers v. Warrior &amp; Gulf Co., 363 U.S. 574 (1960),\\uc0\\u8221{} n.d.)","plainCitation":"(“Steelworkers v. Warrior &amp; Gulf Co., 363 U.S. 574 (1960),” n.d.)","noteIndex":0},"citationItems":[{"id":588,"uris":["http://zotero.org/users/local/arLofKbg/items/ZTXZ3E47"],"uri":["http://zotero.org/users/local/arLofKbg/items/ZTXZ3E47"],"itemData":{"id":588,"type":"webpage","container-title":"Justia Law","language":"en","title":"Steelworkers v. Warrior &amp; Gulf Co., 363 U.S. 574 (1960)","URL":"https://supreme.justia.com/cases/federal/us/363/574/","accessed":{"date-parts":[["2021",4,3]]}}}],"schema":"https://github.com/citation-style-language/schema/raw/master/csl-citation.json"}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(“Steelworkers v. Warrior &amp; Gulf Co., 363 U.S. 574 (1960),” n.d.)</w:t>
      </w:r>
      <w:r w:rsidRPr="00944EB8">
        <w:rPr>
          <w:rFonts w:ascii="Times New Roman" w:hAnsi="Times New Roman"/>
          <w:sz w:val="24"/>
          <w:szCs w:val="24"/>
        </w:rPr>
        <w:fldChar w:fldCharType="end"/>
      </w:r>
      <w:r w:rsidRPr="00944EB8">
        <w:rPr>
          <w:rFonts w:ascii="Times New Roman" w:hAnsi="Times New Roman"/>
          <w:sz w:val="24"/>
          <w:szCs w:val="24"/>
        </w:rPr>
        <w:t xml:space="preserve">. The Nigerian Court of Appeal also gave judicial imprimatur to this view when the court held that </w:t>
      </w:r>
      <w:r w:rsidRPr="00944EB8">
        <w:rPr>
          <w:rFonts w:ascii="Times New Roman" w:hAnsi="Times New Roman"/>
          <w:i/>
          <w:iCs/>
          <w:sz w:val="24"/>
          <w:szCs w:val="24"/>
        </w:rPr>
        <w:t xml:space="preserve">"the parties to an agreement autonomous. The jurisdiction of an arbitral tribunal derives from the consent of the parties", </w:t>
      </w:r>
      <w:r w:rsidRPr="00944EB8">
        <w:rPr>
          <w:rFonts w:ascii="Times New Roman" w:hAnsi="Times New Roman"/>
          <w:i/>
          <w:iCs/>
          <w:sz w:val="24"/>
          <w:szCs w:val="24"/>
        </w:rPr>
        <w:fldChar w:fldCharType="begin"/>
      </w:r>
      <w:r w:rsidRPr="00944EB8">
        <w:rPr>
          <w:rFonts w:ascii="Times New Roman" w:hAnsi="Times New Roman"/>
          <w:i/>
          <w:iCs/>
          <w:sz w:val="24"/>
          <w:szCs w:val="24"/>
        </w:rPr>
        <w:instrText xml:space="preserve"> ADDIN ZOTERO_ITEM CSL_CITATION {"citationID":"NKJyxqpZ","properties":{"formattedCitation":"(\\uc0\\u8220{}Statoil (Nig.) Ltd &amp; Anor v. NNPC &amp; 3 Ors | Commercial Law Reports Nigeria,\\uc0\\u8221{} n.d.)","plainCitation":"(“Statoil (Nig.) Ltd &amp; Anor v. NNPC &amp; 3 Ors | Commercial Law Reports Nigeria,” n.d.)","noteIndex":0},"citationItems":[{"id":540,"uris":["http://zotero.org/users/local/arLofKbg/items/R9JQY622"],"uri":["http://zotero.org/users/local/arLofKbg/items/R9JQY622"],"itemData":{"id":540,"type":"article","title":"Statoil (Nig.) Ltd &amp; Anor v. NNPC &amp; 3 Ors | Commercial Law Reports Nigeria","URL":"https://www.clrndirect.com/content/statoil-nig-ltd-anor-v-nnpc-3-ors","accessed":{"date-parts":[["2021",1,26]]}}}],"schema":"https://github.com/citation-style-language/schema/raw/master/csl-citation.json"} </w:instrText>
      </w:r>
      <w:r w:rsidRPr="00944EB8">
        <w:rPr>
          <w:rFonts w:ascii="Times New Roman" w:hAnsi="Times New Roman"/>
          <w:i/>
          <w:iCs/>
          <w:sz w:val="24"/>
          <w:szCs w:val="24"/>
        </w:rPr>
        <w:fldChar w:fldCharType="separate"/>
      </w:r>
      <w:r w:rsidRPr="00944EB8">
        <w:rPr>
          <w:rFonts w:ascii="Times New Roman" w:hAnsi="Times New Roman"/>
          <w:sz w:val="24"/>
          <w:szCs w:val="24"/>
        </w:rPr>
        <w:t>(“Statoil (Nig.) Ltd &amp; Anor v. NNPC &amp; 3 Ors | Commercial Law Reports Nigeria,” n.d.)</w:t>
      </w:r>
      <w:r w:rsidRPr="00944EB8">
        <w:rPr>
          <w:rFonts w:ascii="Times New Roman" w:hAnsi="Times New Roman"/>
          <w:i/>
          <w:iCs/>
          <w:sz w:val="24"/>
          <w:szCs w:val="24"/>
        </w:rPr>
        <w:fldChar w:fldCharType="end"/>
      </w:r>
      <w:r w:rsidRPr="00944EB8">
        <w:rPr>
          <w:rFonts w:ascii="Times New Roman" w:hAnsi="Times New Roman"/>
          <w:i/>
          <w:iCs/>
          <w:sz w:val="24"/>
          <w:szCs w:val="24"/>
        </w:rPr>
        <w:t>.</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In the words of Chukwumerije (1991), the concept of party autonomy is a cardinal element of modern arbitration law and one critical characteristic of arbitration is that the parties have ultimate control of the dispute resolution system and procedural rule,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{"citationID":"ufVqNW2I","properties":{"formattedCitation":"(Chukwumerije, 1999)","plainCitation":"(Chukwumerije, 1999)","noteIndex":0},"citationItems":[{"id":550,"uris":["http://zotero.org/users/local/arLofKbg/items/3Q5IBYMG"],"uri":["http://zotero.org/users/local/arLofKbg/items/3Q5IBYMG"],"itemData":{"id":550,"type":"article-journal","container-title":"Arbitration International","DOI":"10.1093/arbitration/15.2.171","ISSN":"0957-0411","issue":"2","journalAbbreviation":"Arbitration International","page":"171-191","source":"Silverchair","title":"Judicial Supervision of Commercial Arbitration: The English Arbitration Act of 1996","title-short":"Judicial Supervision of Commercial Arbitration","URL":"https://doi.org/10.1093/arbitration/15.2.171","volume":"15","author":[{"family":"Chukwumerije","given":"Okezie"}],"accessed":{"date-parts":[["2021",1,26]]},"issued":{"date-parts":[["1999",6,1]]}}}],"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(Chukwumerije, 1999)</w:t>
      </w:r>
      <w:r w:rsidRPr="00944EB8">
        <w:rPr>
          <w:rFonts w:ascii="Times New Roman" w:hAnsi="Times New Roman"/>
          <w:sz w:val="24"/>
          <w:szCs w:val="24"/>
        </w:rPr>
        <w:fldChar w:fldCharType="end"/>
      </w:r>
      <w:r w:rsidRPr="00944EB8">
        <w:rPr>
          <w:rFonts w:ascii="Times New Roman" w:hAnsi="Times New Roman"/>
          <w:sz w:val="24"/>
          <w:szCs w:val="24"/>
        </w:rPr>
        <w:t xml:space="preserve">. According to him, this ensures that parties determine the form, structure, system and other details of the arbitration. He further argues that although there are national laws that seek to give effect to, supplement and support the arbitral process, the objective of progressive and pro-arbitration legislations is to support and enforce the parties’ agreement to arbitrate. </w:t>
      </w:r>
    </w:p>
    <w:p w:rsidR="001C2CCB" w:rsidRPr="00944EB8" w:rsidRDefault="001C2CCB" w:rsidP="001C2CCB">
      <w:pPr>
        <w:pStyle w:val="FootnoteText"/>
        <w:spacing w:line="360" w:lineRule="auto"/>
        <w:ind w:left="567" w:hanging="567"/>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What the foregoing implies, therefore, is that apart from the mandatory provisions of the national arbitration laws, it is typically only in the cases where the parties’ agreement is silent as to some aspects of the arbitration process that the provisions of the national laws will take effect. Flowing from the above is the concept of “</w:t>
      </w:r>
      <w:r w:rsidRPr="00944EB8">
        <w:rPr>
          <w:rFonts w:ascii="Times New Roman" w:hAnsi="Times New Roman"/>
          <w:i/>
          <w:iCs/>
          <w:sz w:val="24"/>
          <w:szCs w:val="24"/>
        </w:rPr>
        <w:t>separability</w:t>
      </w:r>
      <w:r w:rsidRPr="00944EB8">
        <w:rPr>
          <w:rFonts w:ascii="Times New Roman" w:hAnsi="Times New Roman"/>
          <w:sz w:val="24"/>
          <w:szCs w:val="24"/>
        </w:rPr>
        <w:t>” or “</w:t>
      </w:r>
      <w:r w:rsidRPr="00944EB8">
        <w:rPr>
          <w:rFonts w:ascii="Times New Roman" w:hAnsi="Times New Roman"/>
          <w:i/>
          <w:iCs/>
          <w:sz w:val="24"/>
          <w:szCs w:val="24"/>
        </w:rPr>
        <w:t>autonomy</w:t>
      </w:r>
      <w:r w:rsidRPr="00944EB8">
        <w:rPr>
          <w:rFonts w:ascii="Times New Roman" w:hAnsi="Times New Roman"/>
          <w:sz w:val="24"/>
          <w:szCs w:val="24"/>
        </w:rPr>
        <w:t xml:space="preserve">” of an arbitration agreement and which is crucial to its operation. The </w:t>
      </w:r>
      <w:r w:rsidRPr="00944EB8">
        <w:rPr>
          <w:rFonts w:ascii="Times New Roman" w:hAnsi="Times New Roman"/>
          <w:bCs/>
          <w:sz w:val="24"/>
          <w:szCs w:val="24"/>
        </w:rPr>
        <w:t>separability</w:t>
      </w:r>
      <w:r w:rsidRPr="00944EB8">
        <w:rPr>
          <w:rFonts w:ascii="Times New Roman" w:hAnsi="Times New Roman"/>
          <w:b/>
          <w:sz w:val="24"/>
          <w:szCs w:val="24"/>
        </w:rPr>
        <w:t xml:space="preserve"> </w:t>
      </w:r>
      <w:r w:rsidRPr="00944EB8">
        <w:rPr>
          <w:rFonts w:ascii="Times New Roman" w:hAnsi="Times New Roman"/>
          <w:bCs/>
          <w:sz w:val="24"/>
          <w:szCs w:val="24"/>
        </w:rPr>
        <w:t>doctrine, which has been referred to as one of the conceptual and practical cornerstones</w:t>
      </w:r>
      <w:r w:rsidRPr="00944EB8">
        <w:rPr>
          <w:rFonts w:ascii="Times New Roman" w:hAnsi="Times New Roman"/>
          <w:sz w:val="24"/>
          <w:szCs w:val="24"/>
        </w:rPr>
        <w:t xml:space="preserve"> of arbitration,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{"citationID":"saDmvbI4","properties":{"formattedCitation":"(Gary Born author, 2014)","plainCitation":"(Gary Born author, 2014)","noteIndex":0},"citationItems":[{"id":573,"uris":["http://zotero.org/users/local/arLofKbg/items/WFW6Q8AX"],"uri":["http://zotero.org/users/local/arLofKbg/items/WFW6Q8AX"],"itemData":{"id":573,"type":"book","abstract":"Contents: v. 1. International arbitration agreements -- v. 2. International arbitral procedures -- v. 3. International arbitral awards.","call-number":"YC.2014.a.14204, YC.2014.a.14203, YC.2014.a.14205","edition":"Second edition","event-place":"Alphen aan den Rijn, The Netherlands","ISBN":"978-90-411-5219-0","language":"eng","publisher":"Wolters Kluwer, Law &amp; Business, 2014","publisher-place":"Alphen aan den Rijn, The Netherlands","source":"explore.bl.uk","title":"International commercial arbitration / Gary B. Born.","author":[{"literal":"Gary Born author"}],"issued":{"date-parts":[["2014"]]}}}],"schema":"https://github.com/citation-style-language/schema/raw/master/csl-citation.json"}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(Gary Born author, 2014)</w:t>
      </w:r>
      <w:r w:rsidRPr="00944EB8">
        <w:rPr>
          <w:rFonts w:ascii="Times New Roman" w:hAnsi="Times New Roman"/>
          <w:sz w:val="24"/>
          <w:szCs w:val="24"/>
        </w:rPr>
        <w:fldChar w:fldCharType="end"/>
      </w:r>
      <w:r w:rsidRPr="00944EB8">
        <w:rPr>
          <w:rFonts w:ascii="Times New Roman" w:hAnsi="Times New Roman"/>
          <w:sz w:val="24"/>
          <w:szCs w:val="24"/>
        </w:rPr>
        <w:t xml:space="preserve">, is to the effect that an arbitration agreement is to be </w:t>
      </w:r>
      <w:r w:rsidRPr="00944EB8">
        <w:rPr>
          <w:rFonts w:ascii="Times New Roman" w:hAnsi="Times New Roman"/>
          <w:sz w:val="24"/>
          <w:szCs w:val="24"/>
        </w:rPr>
        <w:lastRenderedPageBreak/>
        <w:t xml:space="preserve">treated as an entirely separate agreement from the main contract in which it is found thus, it survives the termination, breach and invalidity of the contract,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{"citationID":"mdiMALwi","properties":{"formattedCitation":"(\\uc0\\u8220{}Doctrine of Separability and determination of the proper law of an Arbitration agreement,\\uc0\\u8221{} n.d.)","plainCitation":"(“Doctrine of Separability and determination of the proper law of an Arbitration agreement,” n.d.)","noteIndex":0},"citationItems":[{"id":612,"uris":["http://zotero.org/users/local/arLofKbg/items/ZEHPVJM5"],"uri":["http://zotero.org/users/local/arLofKbg/items/ZEHPVJM5"],"itemData":{"id":612,"type":"article","title":"Doctrine of Separability and determination of the proper law of an Arbitration agreement","URL":"https://www.barandbench.com/columns/doctrine-of-separability-and-determination-of-the-proper-law-of-the-arbitration-agreement","accessed":{"date-parts":[["2021",4,19]]}}}],"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(Aastha Chawla, 2020)</w:t>
      </w:r>
      <w:r w:rsidRPr="00944EB8">
        <w:rPr>
          <w:rFonts w:ascii="Times New Roman" w:hAnsi="Times New Roman"/>
          <w:sz w:val="24"/>
          <w:szCs w:val="24"/>
        </w:rPr>
        <w:fldChar w:fldCharType="end"/>
      </w:r>
      <w:r w:rsidRPr="00944EB8">
        <w:rPr>
          <w:rFonts w:ascii="Times New Roman" w:hAnsi="Times New Roman"/>
          <w:sz w:val="24"/>
          <w:szCs w:val="24"/>
        </w:rPr>
        <w:t>.</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Heading3"/>
        <w:numPr>
          <w:ilvl w:val="2"/>
          <w:numId w:val="22"/>
        </w:numPr>
        <w:rPr>
          <w:rFonts w:cs="Times New Roman"/>
        </w:rPr>
      </w:pPr>
      <w:bookmarkStart w:id="26" w:name="_Toc80808240"/>
      <w:r w:rsidRPr="00944EB8">
        <w:rPr>
          <w:rFonts w:cs="Times New Roman"/>
        </w:rPr>
        <w:t>Doctrine of Separability</w:t>
      </w:r>
      <w:bookmarkEnd w:id="26"/>
    </w:p>
    <w:p w:rsidR="001C2CCB" w:rsidRPr="00944EB8" w:rsidRDefault="001C2CCB" w:rsidP="001C2CCB">
      <w:pPr>
        <w:spacing w:before="0" w:after="0" w:line="240" w:lineRule="auto"/>
        <w:rPr>
          <w:rFonts w:ascii="Times New Roman" w:hAnsi="Times New Roman" w:cs="Times New Roman"/>
          <w:sz w:val="24"/>
          <w:szCs w:val="24"/>
        </w:rPr>
      </w:pPr>
    </w:p>
    <w:p w:rsidR="001C2CCB" w:rsidRPr="00944EB8" w:rsidRDefault="001C2CCB" w:rsidP="001C2CCB">
      <w:pPr>
        <w:pStyle w:val="FootnoteText"/>
        <w:numPr>
          <w:ilvl w:val="0"/>
          <w:numId w:val="34"/>
        </w:numPr>
        <w:spacing w:line="360" w:lineRule="auto"/>
        <w:ind w:left="630" w:hanging="630"/>
        <w:jc w:val="both"/>
        <w:rPr>
          <w:rFonts w:ascii="Times New Roman" w:hAnsi="Times New Roman"/>
          <w:sz w:val="24"/>
          <w:szCs w:val="24"/>
        </w:rPr>
      </w:pPr>
      <w:r w:rsidRPr="00944EB8">
        <w:rPr>
          <w:rFonts w:ascii="Times New Roman" w:hAnsi="Times New Roman"/>
          <w:sz w:val="24"/>
          <w:szCs w:val="24"/>
        </w:rPr>
        <w:t xml:space="preserve">The doctrine of separability is universally recognised and well captured in Article 16 of the UNCITRAL Model Law,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{"citationID":"HPlBkglb","properties":{"formattedCitation":"(\\uc0\\u8220{}UNCITRAL Model Law on International Commercial Arbitration (1985),\\uc0\\u8221{} 1985)","plainCitation":"(“UNCITRAL Model Law on International Commercial Arbitration (1985),” 1985)","noteIndex":0},"citationItems":[{"id":590,"uris":["http://zotero.org/users/local/arLofKbg/items/CBJXLQBL"],"uri":["http://zotero.org/users/local/arLofKbg/items/CBJXLQBL"],"itemData":{"id":590,"type":"webpage","note":"publisher: SiSU http://www.jus.uio.no/sisu (this copy)","title":"UNCITRAL Model Law on International Commercial Arbitration (1985)","URL":"https://www.jus.uio.no/lm/un.arbitration.model.law.1985/16.html","accessed":{"date-parts":[["2021",4,3]]},"issued":{"date-parts":[["1985"]]}}}],"schema":"https://github.com/citation-style-language/schema/raw/master/csl-citation.json"}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(“UNCITRAL Model Law on International Commercial Arbitration (1985),” 1985)</w:t>
      </w:r>
      <w:r w:rsidRPr="00944EB8">
        <w:rPr>
          <w:rFonts w:ascii="Times New Roman" w:hAnsi="Times New Roman"/>
          <w:sz w:val="24"/>
          <w:szCs w:val="24"/>
        </w:rPr>
        <w:fldChar w:fldCharType="end"/>
      </w:r>
      <w:r w:rsidRPr="00944EB8">
        <w:rPr>
          <w:rFonts w:ascii="Times New Roman" w:hAnsi="Times New Roman"/>
          <w:sz w:val="24"/>
          <w:szCs w:val="24"/>
        </w:rPr>
        <w:t xml:space="preserve"> and has been upheld by case law for decades in well-established arbitration friendly jurisdictions. As aptly summarized by Born, (Gary Born, 2014) – the doctrine has huge practical and analytical importance, as well as interrelated consequences, as follows: (</w:t>
      </w:r>
      <w:proofErr w:type="spellStart"/>
      <w:r w:rsidRPr="00944EB8">
        <w:rPr>
          <w:rFonts w:ascii="Times New Roman" w:hAnsi="Times New Roman"/>
          <w:sz w:val="24"/>
          <w:szCs w:val="24"/>
        </w:rPr>
        <w:t>i</w:t>
      </w:r>
      <w:proofErr w:type="spellEnd"/>
      <w:r w:rsidRPr="00944EB8">
        <w:rPr>
          <w:rFonts w:ascii="Times New Roman" w:hAnsi="Times New Roman"/>
          <w:sz w:val="24"/>
          <w:szCs w:val="24"/>
        </w:rPr>
        <w:t xml:space="preserve">) the arbitration agreement may be subject to a different governing law from that which is applicable to the main contract in which it is found; (ii) because the arbitration agreement is a separate agreement, its validity or invalidity is not necessarily tied to the validity </w:t>
      </w:r>
      <w:proofErr w:type="spellStart"/>
      <w:r w:rsidRPr="00944EB8">
        <w:rPr>
          <w:rFonts w:ascii="Times New Roman" w:hAnsi="Times New Roman"/>
          <w:sz w:val="24"/>
          <w:szCs w:val="24"/>
        </w:rPr>
        <w:t>or</w:t>
      </w:r>
      <w:proofErr w:type="spellEnd"/>
      <w:r w:rsidRPr="00944EB8">
        <w:rPr>
          <w:rFonts w:ascii="Times New Roman" w:hAnsi="Times New Roman"/>
          <w:sz w:val="24"/>
          <w:szCs w:val="24"/>
        </w:rPr>
        <w:t xml:space="preserve"> invalidity of the main contract. Thus, where the main contract is invalid for any reason or whatsoever, it does not necessarily follow that the arbitration agreement is invalid; (iii) the reverse is also the case in the sense that the invalidity, illegality or termination of the arbitration agreement does not necessarily result in the invalidity, illegality or termination of the main contract; (iv) some authorities have also held that the separability doctrine provides the analytical foundation for the competence-competence doctrine, whether the jurisdiction of the arbitral tribunal to rule on its jurisdiction is recognized.</w:t>
      </w:r>
    </w:p>
    <w:p w:rsidR="001C2CCB" w:rsidRPr="00944EB8" w:rsidRDefault="001C2CCB" w:rsidP="001C2CCB">
      <w:pPr>
        <w:pStyle w:val="FootnoteText"/>
        <w:spacing w:line="360" w:lineRule="auto"/>
        <w:ind w:left="630" w:hanging="630"/>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630" w:hanging="630"/>
        <w:jc w:val="both"/>
        <w:rPr>
          <w:rFonts w:ascii="Times New Roman" w:hAnsi="Times New Roman"/>
          <w:sz w:val="24"/>
          <w:szCs w:val="24"/>
        </w:rPr>
      </w:pPr>
      <w:r w:rsidRPr="00944EB8">
        <w:rPr>
          <w:rFonts w:ascii="Times New Roman" w:hAnsi="Times New Roman"/>
          <w:sz w:val="24"/>
          <w:szCs w:val="24"/>
        </w:rPr>
        <w:t>In Nigeria the doctrine finds expression in section 12(2) of the Nigerian Arbitration and Conciliation Act which provides:</w:t>
      </w:r>
    </w:p>
    <w:p w:rsidR="001C2CCB" w:rsidRPr="00944EB8" w:rsidRDefault="001C2CCB" w:rsidP="001C2CCB">
      <w:pPr>
        <w:pStyle w:val="ListParagraph"/>
        <w:spacing w:before="0" w:after="0"/>
        <w:rPr>
          <w:rFonts w:ascii="Times New Roman" w:hAnsi="Times New Roman" w:cs="Times New Roman"/>
          <w:sz w:val="24"/>
          <w:szCs w:val="24"/>
        </w:rPr>
      </w:pPr>
    </w:p>
    <w:p w:rsidR="001C2CCB" w:rsidRPr="00944EB8" w:rsidRDefault="001C2CCB" w:rsidP="001C2CCB">
      <w:pPr>
        <w:pStyle w:val="ListParagraph"/>
        <w:spacing w:before="0" w:after="0"/>
        <w:ind w:left="1020" w:right="510"/>
        <w:jc w:val="both"/>
        <w:rPr>
          <w:rFonts w:ascii="Times New Roman" w:hAnsi="Times New Roman" w:cs="Times New Roman"/>
          <w:sz w:val="24"/>
          <w:szCs w:val="24"/>
        </w:rPr>
      </w:pPr>
      <w:r w:rsidRPr="00944EB8">
        <w:rPr>
          <w:rFonts w:ascii="Times New Roman" w:hAnsi="Times New Roman" w:cs="Times New Roman"/>
          <w:sz w:val="24"/>
          <w:szCs w:val="24"/>
        </w:rPr>
        <w:t xml:space="preserve">“For purposes of subsection (1) of this section, an arbitration clause which forms part of a contract shall be treated as an agreement independent of the other terms of the contract and a decision by the arbitral tribunal that the contract is null and void shall not entail </w:t>
      </w:r>
      <w:r w:rsidRPr="00944EB8">
        <w:rPr>
          <w:rFonts w:ascii="Times New Roman" w:hAnsi="Times New Roman" w:cs="Times New Roman"/>
          <w:i/>
          <w:iCs/>
          <w:sz w:val="24"/>
          <w:szCs w:val="24"/>
        </w:rPr>
        <w:t>ipso jure</w:t>
      </w:r>
      <w:r w:rsidRPr="00944EB8">
        <w:rPr>
          <w:rFonts w:ascii="Times New Roman" w:hAnsi="Times New Roman" w:cs="Times New Roman"/>
          <w:sz w:val="24"/>
          <w:szCs w:val="24"/>
        </w:rPr>
        <w:t xml:space="preserve"> the validity of the arbitration clause.”</w:t>
      </w:r>
    </w:p>
    <w:p w:rsidR="001C2CCB" w:rsidRPr="00944EB8" w:rsidRDefault="001C2CCB" w:rsidP="001C2CCB">
      <w:pPr>
        <w:pStyle w:val="ListParagraph"/>
        <w:spacing w:before="0" w:after="0"/>
        <w:ind w:left="567" w:hanging="567"/>
        <w:rPr>
          <w:rFonts w:ascii="Times New Roman" w:hAnsi="Times New Roman" w:cs="Times New Roman"/>
          <w:i/>
          <w:iCs/>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In essence, even though the arbitration agreement is part of an underlying contract, it is deemed independent of the main contract,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{"citationID":"Ow60fQm5","properties":{"formattedCitation":"(\\uc0\\u8220{}Feehily - 2018 - Separability in international commercial arbitrati.pdf,\\uc0\\u8221{} n.d.)","plainCitation":"(“Feehily - 2018 - Separability in international commercial arbitrati.pdf,” n.d.)","noteIndex":0},"citationItems":[{"id":615,"uris":["http://zotero.org/users/local/arLofKbg/items/8AFW2SCE"],"uri":["http://zotero.org/users/local/arLofKbg/items/8AFW2SCE"],"itemData":{"id":615,"type":"article","title":"Feehily - 2018 - Separability in international commercial arbitrati.pdf","URL":"https://d1wqtxts1xzle7.cloudfront.net/58487274/Arbitration_Separability_Article.pdf?1550991492=&amp;response-content-disposition=inline%3B+filename%3DSeparability_in_International_Commercial.pdf&amp;Expires=1618835233&amp;Signature=IDUPriJfXnHqvsyO6lsvDVuNUY1EjhD8UHS0cWmod6GCdRBZa~xrv8GD7d1lCNbWJQJypzp2mjLM7smSjTYzFHym0HI89Q3wOat1zZZV~8FWHHga7QHsEKpooX9KYdLUv4oRtBil~cVFiQPCvxtoyoDHEzMxoeqjhf3rHmy645A3A-i1p91WVm88XDoiN-qynUsUPJdfXIzF5d1FySbY1kqBtSyB1hPKNbmfgoCRjlDlsG5TBqWU0uvzLpLTVinagbDXZriDeUZwCMsPCBojUC~vs8C4W6oovY0-MkL07Bkyt2sG0zuOuyQB0KUGvnJUK1vZ4dOHSP5BBsna7NdCqg__&amp;Key-Pair-Id=APKAJLOHF5GGSLRBV4ZA","accessed":{"date-parts":[["2021",4,19]]}}}],"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(Feehily, 2018)</w:t>
      </w:r>
      <w:r w:rsidRPr="00944EB8">
        <w:rPr>
          <w:rFonts w:ascii="Times New Roman" w:hAnsi="Times New Roman"/>
          <w:sz w:val="24"/>
          <w:szCs w:val="24"/>
        </w:rPr>
        <w:fldChar w:fldCharType="end"/>
      </w:r>
      <w:r w:rsidRPr="00944EB8">
        <w:rPr>
          <w:rFonts w:ascii="Times New Roman" w:hAnsi="Times New Roman"/>
          <w:sz w:val="24"/>
          <w:szCs w:val="24"/>
        </w:rPr>
        <w:t xml:space="preserve">. Therefore, even if a party contests the validity of the main contract, the autonomy of the arbitration agreement will </w:t>
      </w:r>
      <w:r w:rsidRPr="00944EB8">
        <w:rPr>
          <w:rFonts w:ascii="Times New Roman" w:hAnsi="Times New Roman"/>
          <w:sz w:val="24"/>
          <w:szCs w:val="24"/>
        </w:rPr>
        <w:lastRenderedPageBreak/>
        <w:t>allow for such dispute to still be referred to arbitration and the tribunal will have jurisdiction to determine the validity of the arbitration agreement.</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Heading3"/>
        <w:numPr>
          <w:ilvl w:val="2"/>
          <w:numId w:val="22"/>
        </w:numPr>
        <w:rPr>
          <w:rFonts w:cs="Times New Roman"/>
        </w:rPr>
      </w:pPr>
      <w:bookmarkStart w:id="27" w:name="_Toc80808241"/>
      <w:r w:rsidRPr="00944EB8">
        <w:rPr>
          <w:rFonts w:cs="Times New Roman"/>
        </w:rPr>
        <w:t>Competence-competence doctrine</w:t>
      </w:r>
      <w:bookmarkEnd w:id="27"/>
    </w:p>
    <w:p w:rsidR="001C2CCB" w:rsidRPr="00944EB8" w:rsidRDefault="001C2CCB" w:rsidP="001C2CCB">
      <w:pPr>
        <w:spacing w:before="0" w:after="0"/>
        <w:ind w:left="450"/>
        <w:rPr>
          <w:rFonts w:ascii="Times New Roman" w:hAnsi="Times New Roman" w:cs="Times New Roman"/>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A related concept to the separability doctrine is the equally fundamental doctrine of competence-competence which recognises the authority of an arbitral tribunal to consider and decide disputes over its own jurisdiction including disputes relating to the existence, validity, legality and scope of the arbitration agreement. Most national legal systems recognise the competence-competence principle and generally accord to arbitral tribunals the competence, or jurisdiction to rule on their own competence to determine an issue brought before them,</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{"citationID":"icTHrOyE","properties":{"formattedCitation":"(\\uc0\\u8220{}Arbitration and Conciliation Act (Cap. A18).,\\uc0\\u8221{} n.d.)","plainCitation":"(“Arbitration and Conciliation Act (Cap. A18).,” n.d.)","noteIndex":0},"citationItems":[{"id":579,"uris":["http://zotero.org/users/local/arLofKbg/items/CT9XPZIB"],"uri":["http://zotero.org/users/local/arLofKbg/items/CT9XPZIB"],"itemData":{"id":579,"type":"article","title":"Arbitration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(“Section 12 Arbitration and Conciliation Act (Cap. A18)</w:t>
      </w:r>
      <w:proofErr w:type="gramStart"/>
      <w:r w:rsidRPr="00944EB8">
        <w:rPr>
          <w:rFonts w:ascii="Times New Roman" w:hAnsi="Times New Roman" w:cs="Times New Roman"/>
          <w:sz w:val="24"/>
          <w:szCs w:val="24"/>
        </w:rPr>
        <w:t>.,</w:t>
      </w:r>
      <w:proofErr w:type="gramEnd"/>
      <w:r w:rsidRPr="00944EB8">
        <w:rPr>
          <w:rFonts w:ascii="Times New Roman" w:hAnsi="Times New Roman" w:cs="Times New Roman"/>
          <w:sz w:val="24"/>
          <w:szCs w:val="24"/>
        </w:rPr>
        <w:t>”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Binder (2009) writes that modern international commercial arbitration embraces the competence-competence principle and the arbitrator’s right to rule on his own jurisdiction is one of the reasons why arbitration has flourished so greatly over the past decades,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{"citationID":"TdmMQCyv","properties":{"formattedCitation":"(Binder, n.d.)","plainCitation":"(Binder, n.d.)","noteIndex":0},"citationItems":[{"id":98,"uris":["http://zotero.org/users/local/arLofKbg/items/BET463E2"],"uri":["http://zotero.org/users/local/arLofKbg/items/BET463E2"],"itemData":{"id":98,"type":"article-journal","container-title":". Introduction","language":"en","page":"20","source":"Zotero","title":"International Commercial Arbitration and Conciliation in UNCITRAL Model Law Jurisdictions","author":[{"family":"Binder","given":"Dr Peter"}]}}],"schema":"https://github.com/citation-style-language/schema/raw/master/csl-citation.json"}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(Binder,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while Samuel adds that if there is one thing over which modern writers on arbitration seem to agree, it is that arbitrators must be allowed to rule on their own jurisdiction,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{"citationID":"USG0cHcy","properties":{"formattedCitation":"(Samuel, 1989)","plainCitation":"(Samuel, 1989)","noteIndex":0},"citationItems":[{"id":598,"uris":["http://zotero.org/users/local/arLofKbg/items/ZFG24VVX"],"uri":["http://zotero.org/users/local/arLofKbg/items/ZFG24VVX"],"itemData":{"id":598,"type":"book","event-place":"Zürich","ISBN":"978-3-7255-2669-7","language":"English","publisher":"Schulthess Polygraphischer Verlag","publisher-place":"Zürich","source":"Amazon","title":"Jurisdictional problems in international commercial arbitration: A study of Belgian, Dutch, English, French, Swedish, Swiss, U.S., and West German law ... de l'Institut suisse de droit comparé)","title-short":"Jurisdictional problems in international commercial arbitration","author":[{"family":"Samuel","given":"Adam"}],"issued":{"date-parts":[["1989",1,1]]}}}],"schema":"https://github.com/citation-style-language/schema/raw/master/csl-citation.json"}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(Samuel, 1989)</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t>
      </w:r>
    </w:p>
    <w:p w:rsidR="001C2CCB" w:rsidRPr="00944EB8" w:rsidRDefault="001C2CCB" w:rsidP="001C2CCB">
      <w:pPr>
        <w:pStyle w:val="ListParagraph"/>
        <w:spacing w:before="0" w:after="0" w:line="360" w:lineRule="auto"/>
        <w:ind w:left="36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The above position is in my view correct; accords with the position taken by virtually all arbitration friendly jurisdictions; and ensures that the arbitral system is to a large extent immune from the incessant interference by national courts and consequential disruptions that would have been the case if parties were at liberty to submit to the national courts for determination of questions pertaining to the validity of the arbitration agreement and/ or the jurisdiction of the arbitral tribunal. In that sense, therefore, the competence-competence contributes to the effectiveness and efficiency of the arbitral process and reduces incidents of interference with the arbitral process.</w:t>
      </w:r>
    </w:p>
    <w:p w:rsidR="001C2CCB" w:rsidRPr="00944EB8" w:rsidRDefault="001C2CCB" w:rsidP="001C2CCB">
      <w:pPr>
        <w:pStyle w:val="ListParagraph"/>
        <w:spacing w:before="0" w:after="0" w:line="360" w:lineRule="auto"/>
        <w:ind w:left="567"/>
        <w:jc w:val="both"/>
        <w:rPr>
          <w:rFonts w:ascii="Times New Roman" w:hAnsi="Times New Roman" w:cs="Times New Roman"/>
          <w:sz w:val="24"/>
          <w:szCs w:val="24"/>
        </w:rPr>
      </w:pPr>
    </w:p>
    <w:p w:rsidR="001C2CCB" w:rsidRPr="00944EB8" w:rsidRDefault="001C2CCB" w:rsidP="001C2CCB">
      <w:pPr>
        <w:pStyle w:val="Heading3"/>
        <w:numPr>
          <w:ilvl w:val="2"/>
          <w:numId w:val="22"/>
        </w:numPr>
        <w:rPr>
          <w:rFonts w:cs="Times New Roman"/>
        </w:rPr>
      </w:pPr>
      <w:bookmarkStart w:id="28" w:name="_Toc80808242"/>
      <w:r w:rsidRPr="00944EB8">
        <w:rPr>
          <w:rFonts w:cs="Times New Roman"/>
        </w:rPr>
        <w:t>The effects of an Arbitration Agreement</w:t>
      </w:r>
      <w:bookmarkEnd w:id="28"/>
    </w:p>
    <w:p w:rsidR="001C2CCB" w:rsidRPr="00944EB8" w:rsidRDefault="001C2CCB" w:rsidP="001C2CCB">
      <w:pPr>
        <w:spacing w:before="0" w:after="0"/>
        <w:ind w:left="567"/>
        <w:rPr>
          <w:rFonts w:ascii="Times New Roman" w:hAnsi="Times New Roman" w:cs="Times New Roman"/>
        </w:rPr>
      </w:pPr>
    </w:p>
    <w:p w:rsidR="001C2CCB" w:rsidRPr="00944EB8" w:rsidRDefault="001C2CCB" w:rsidP="001C2CCB">
      <w:pPr>
        <w:pStyle w:val="ListParagraph"/>
        <w:numPr>
          <w:ilvl w:val="0"/>
          <w:numId w:val="34"/>
        </w:numPr>
        <w:spacing w:before="0" w:after="0" w:line="360" w:lineRule="auto"/>
        <w:ind w:left="567" w:hanging="567"/>
        <w:jc w:val="both"/>
        <w:rPr>
          <w:rFonts w:ascii="Times New Roman" w:hAnsi="Times New Roman" w:cs="Times New Roman"/>
          <w:sz w:val="24"/>
          <w:szCs w:val="24"/>
        </w:rPr>
      </w:pPr>
      <w:r w:rsidRPr="00944EB8">
        <w:rPr>
          <w:rFonts w:ascii="Times New Roman" w:hAnsi="Times New Roman" w:cs="Times New Roman"/>
          <w:sz w:val="24"/>
          <w:szCs w:val="24"/>
        </w:rPr>
        <w:t xml:space="preserve">There are important legal effects of a valid arbitration agreement both for the parties to the arbitration agreement as well as for the national courts and arbitrators. On one hand, </w:t>
      </w:r>
      <w:r w:rsidRPr="00944EB8">
        <w:rPr>
          <w:rFonts w:ascii="Times New Roman" w:hAnsi="Times New Roman" w:cs="Times New Roman"/>
          <w:sz w:val="24"/>
          <w:szCs w:val="24"/>
        </w:rPr>
        <w:lastRenderedPageBreak/>
        <w:t>arbitration agreements confer jurisdiction on private persons who would not otherwise have jurisdiction to decide a dispute in a binding way and they afford parties the right to go to arbitration for the resolution on their disputes as well as an obligation to participate and cooperate in good faith in the arbitration of the parties’ disputes in accordance with the provisions of the parties’ agreement. On the other hand, they also, to some extent, deprive national courts of jurisdiction to resolve disputes which the courts would ordinarily have had jurisdiction to exercise, and impose on parties, who ordinarily have a right of access to national courts, an obligation not to pursue the resolution of disputes that are subject to arbitration, before national courts or other traditional forums of dispute resolution,</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{"citationID":"rXfJCHE1","properties":{"formattedCitation":"(\\uc0\\u8220{}The New York Convention\\uc0\\u8239{}\\uc0\\u187{} New York Convention,\\uc0\\u8221{} n.d.)","plainCitation":"(“The New York Convention » New York Convention,” n.d.)","noteIndex":0},"citationItems":[{"id":170,"uris":["http://zotero.org/users/local/arLofKbg/items/DL78GEQL"],"uri":["http://zotero.org/users/local/arLofKbg/items/DL78GEQL"],"itemData":{"id":170,"type":"article","title":"The New York Convention » New York Convention","URL":"http://www.newyorkconvention.org/","accessed":{"date-parts":[["2020",3,26]]}}}],"schema":"https://github.com/citation-style-language/schema/raw/master/csl-citation.json"}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 Article II (3) of the New York Convention 1958)</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pStyle w:val="ListParagraph"/>
        <w:spacing w:before="0" w:after="0" w:line="360" w:lineRule="auto"/>
        <w:ind w:left="567"/>
        <w:jc w:val="both"/>
        <w:rPr>
          <w:rFonts w:ascii="Times New Roman" w:hAnsi="Times New Roman" w:cs="Times New Roman"/>
          <w:sz w:val="24"/>
          <w:szCs w:val="24"/>
        </w:rPr>
      </w:pPr>
    </w:p>
    <w:p w:rsidR="001C2CCB" w:rsidRPr="00944EB8" w:rsidRDefault="001C2CCB" w:rsidP="001C2CCB">
      <w:pPr>
        <w:pStyle w:val="Heading3"/>
        <w:numPr>
          <w:ilvl w:val="2"/>
          <w:numId w:val="22"/>
        </w:numPr>
        <w:rPr>
          <w:rFonts w:cs="Times New Roman"/>
        </w:rPr>
      </w:pPr>
      <w:bookmarkStart w:id="29" w:name="_Toc80808243"/>
      <w:r w:rsidRPr="00944EB8">
        <w:rPr>
          <w:rFonts w:cs="Times New Roman"/>
        </w:rPr>
        <w:t>Scope of arbitration and arbitrability</w:t>
      </w:r>
      <w:bookmarkEnd w:id="29"/>
    </w:p>
    <w:p w:rsidR="001C2CCB" w:rsidRPr="00944EB8" w:rsidRDefault="001C2CCB" w:rsidP="001C2CCB">
      <w:pPr>
        <w:spacing w:before="0" w:after="0"/>
        <w:ind w:left="567"/>
        <w:rPr>
          <w:rFonts w:ascii="Times New Roman" w:hAnsi="Times New Roman" w:cs="Times New Roman"/>
        </w:rPr>
      </w:pPr>
    </w:p>
    <w:p w:rsidR="001C2CCB" w:rsidRPr="00944EB8" w:rsidRDefault="001C2CCB" w:rsidP="001C2CCB">
      <w:pPr>
        <w:pStyle w:val="ListParagraph"/>
        <w:numPr>
          <w:ilvl w:val="0"/>
          <w:numId w:val="34"/>
        </w:numPr>
        <w:spacing w:before="0" w:after="0" w:line="360" w:lineRule="auto"/>
        <w:ind w:left="567" w:hanging="567"/>
        <w:jc w:val="both"/>
        <w:rPr>
          <w:rFonts w:ascii="Times New Roman" w:hAnsi="Times New Roman" w:cs="Times New Roman"/>
          <w:sz w:val="24"/>
          <w:szCs w:val="24"/>
        </w:rPr>
      </w:pPr>
      <w:r w:rsidRPr="00944EB8">
        <w:rPr>
          <w:rFonts w:ascii="Times New Roman" w:hAnsi="Times New Roman" w:cs="Times New Roman"/>
          <w:sz w:val="24"/>
          <w:szCs w:val="24"/>
        </w:rPr>
        <w:t>One critical factor that determines the extent or otherwise of the interference of the courts with the arbitral process is the question of the categories of disputes, disagreement or claims that the parties have agreed to submit to arbitration. This refers to the scope of the arbitration. An arbitral tribunal has jurisdiction only in cases where the dispute is within the scope of the arbitration agreement. Thus, where the parties have excluded a particular matter from the scope of their arbitration agreement, the tribunal has no jurisdiction to adjudicate over such issues. Closely related to this is the issue of arbitrability of a dispute. While parties generally have the right to refer their disputes to arbitration, there are however certain categories of dispute that are exclusively reserved for national courts. This usually depends on the political, social, and economic policy and interest of the relevant State. The question of whether a particular dispute is capable of being resolved by arbitration is a question of whether the dispute is “</w:t>
      </w:r>
      <w:r w:rsidRPr="00944EB8">
        <w:rPr>
          <w:rFonts w:ascii="Times New Roman" w:hAnsi="Times New Roman" w:cs="Times New Roman"/>
          <w:i/>
          <w:iCs/>
          <w:sz w:val="24"/>
          <w:szCs w:val="24"/>
        </w:rPr>
        <w:t>arbitrable</w:t>
      </w:r>
      <w:r w:rsidRPr="00944EB8">
        <w:rPr>
          <w:rFonts w:ascii="Times New Roman" w:hAnsi="Times New Roman" w:cs="Times New Roman"/>
          <w:sz w:val="24"/>
          <w:szCs w:val="24"/>
        </w:rPr>
        <w:t>”. Thus, while arbitration agreements typically define what can be submitted to arbitration, i.e. the scope of the arbitration, arbitrability does not depend on the content of an arbitration agreement but depends on the broader fundamental principle of a relevant governing law which provides that particular disputes cannot be submitted to arbitration notwithstanding the parties to the disputes or what their agreement provides.</w:t>
      </w:r>
    </w:p>
    <w:p w:rsidR="001C2CCB" w:rsidRPr="00944EB8" w:rsidRDefault="001C2CCB" w:rsidP="001C2CCB">
      <w:pPr>
        <w:pStyle w:val="ListParagraph"/>
        <w:spacing w:before="0" w:after="0" w:line="360" w:lineRule="auto"/>
        <w:ind w:left="567"/>
        <w:jc w:val="both"/>
        <w:rPr>
          <w:rFonts w:ascii="Times New Roman" w:hAnsi="Times New Roman" w:cs="Times New Roman"/>
          <w:sz w:val="24"/>
          <w:szCs w:val="24"/>
        </w:rPr>
      </w:pPr>
    </w:p>
    <w:p w:rsidR="001C2CCB" w:rsidRPr="00944EB8" w:rsidRDefault="001C2CCB" w:rsidP="001C2CCB">
      <w:pPr>
        <w:pStyle w:val="Heading3"/>
        <w:numPr>
          <w:ilvl w:val="2"/>
          <w:numId w:val="22"/>
        </w:numPr>
        <w:rPr>
          <w:rFonts w:cs="Times New Roman"/>
        </w:rPr>
      </w:pPr>
      <w:bookmarkStart w:id="30" w:name="_Toc80808244"/>
      <w:r w:rsidRPr="00944EB8">
        <w:rPr>
          <w:rFonts w:cs="Times New Roman"/>
        </w:rPr>
        <w:lastRenderedPageBreak/>
        <w:t>The seat of arbitration</w:t>
      </w:r>
      <w:bookmarkEnd w:id="30"/>
    </w:p>
    <w:p w:rsidR="001C2CCB" w:rsidRPr="00944EB8" w:rsidRDefault="001C2CCB" w:rsidP="001C2CCB">
      <w:pPr>
        <w:spacing w:before="0" w:after="0"/>
        <w:ind w:left="450"/>
        <w:rPr>
          <w:rFonts w:ascii="Times New Roman" w:hAnsi="Times New Roman" w:cs="Times New Roman"/>
        </w:rPr>
      </w:pPr>
    </w:p>
    <w:p w:rsidR="001C2CCB" w:rsidRPr="00944EB8" w:rsidRDefault="001C2CCB" w:rsidP="001C2CCB">
      <w:pPr>
        <w:pStyle w:val="FootnoteText"/>
        <w:numPr>
          <w:ilvl w:val="0"/>
          <w:numId w:val="34"/>
        </w:numPr>
        <w:spacing w:line="360" w:lineRule="auto"/>
        <w:ind w:left="540" w:hanging="540"/>
        <w:jc w:val="both"/>
        <w:rPr>
          <w:rFonts w:ascii="Times New Roman" w:hAnsi="Times New Roman"/>
          <w:sz w:val="24"/>
          <w:szCs w:val="24"/>
        </w:rPr>
      </w:pPr>
      <w:r w:rsidRPr="00944EB8">
        <w:rPr>
          <w:rFonts w:ascii="Times New Roman" w:hAnsi="Times New Roman"/>
          <w:sz w:val="24"/>
          <w:szCs w:val="24"/>
        </w:rPr>
        <w:t xml:space="preserve">One other concept of central importance to the international arbitral process is the seat of arbitration. The arbitral seat, which also goes by way of other labels including the place of arbitration, the forum, the siege, the situs or the locus </w:t>
      </w:r>
      <w:r w:rsidRPr="00944EB8">
        <w:rPr>
          <w:rFonts w:ascii="Times New Roman" w:hAnsi="Times New Roman"/>
          <w:i/>
          <w:iCs/>
          <w:sz w:val="24"/>
          <w:szCs w:val="24"/>
        </w:rPr>
        <w:t>arbitri</w:t>
      </w:r>
      <w:r w:rsidRPr="00944EB8">
        <w:rPr>
          <w:rFonts w:ascii="Times New Roman" w:hAnsi="Times New Roman"/>
          <w:sz w:val="24"/>
          <w:szCs w:val="24"/>
        </w:rPr>
        <w:t xml:space="preserve">,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{"citationID":"CfJTWuVp","properties":{"formattedCitation":"(B\\uc0\\u252{}hler et al., n.d.)","plainCitation":"(Bühler et al., n.d.)","noteIndex":0},"citationItems":[{"id":604,"uris":["http://zotero.org/users/local/arLofKbg/items/BPGJHAJ8"],"uri":["http://zotero.org/users/local/arLofKbg/items/BPGJHAJ8"],"itemData":{"id":604,"type":"webpage","abstract":"Bühler, Michael; Webster, Thomas H.","container-title":"Berkeley Law","language":"en","note":"ISBN: 9780421954502\npublisher: Thomson/Sweet &amp;amp; Maxwell,","title":"Handbook of ICC arbitration :","title-short":"Handbook of ICC arbitration","URL":"http://lawcat.berkeley.edu/record/213368","author":[{"family":"Bühler","given":"Michael"},{"family":"Webster","given":"Thomas H."},{"family":"Commerce","given":"International Chamber","dropping-particle":"of"}],"accessed":{"date-parts":[["2021",4,3]]}}}],"schema":"https://github.com/citation-style-language/schema/raw/master/csl-citation.json"}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(Bühler et al., n.d.)</w:t>
      </w:r>
      <w:r w:rsidRPr="00944EB8">
        <w:rPr>
          <w:rFonts w:ascii="Times New Roman" w:hAnsi="Times New Roman"/>
          <w:sz w:val="24"/>
          <w:szCs w:val="24"/>
        </w:rPr>
        <w:fldChar w:fldCharType="end"/>
      </w:r>
      <w:r w:rsidRPr="00944EB8">
        <w:rPr>
          <w:rFonts w:ascii="Times New Roman" w:hAnsi="Times New Roman"/>
          <w:sz w:val="24"/>
          <w:szCs w:val="24"/>
        </w:rPr>
        <w:t xml:space="preserve">,  refers to the national system where an international arbitration has its legal domicile, the laws of which generally govern the arbitral proceedings. In the words of Buhler &amp; Webster (2008), one significance of the seat is that for legal reasons the arbitration is to be regarded as situated in that state or territory and it identifies a state or territory whose laws will govern the arbitral process,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{"citationID":"bVrFXQlG","properties":{"formattedCitation":"(\\uc0\\u8220{}Garuda v. Birgen Appeal,\\uc0\\u8221{} n.d.)","plainCitation":"(“Garuda v. Birgen Appeal,” n.d.)","noteIndex":0},"citationItems":[{"id":606,"uris":["http://zotero.org/users/local/arLofKbg/items/6ANQADS7"],"uri":["http://zotero.org/users/local/arLofKbg/items/6ANQADS7"],"itemData":{"id":606,"type":"webpage","title":"Garuda v. Birgen Appeal","URL":"https://archive.onlinedmc.co.uk/garuda_v__birgen_appeal.htm","accessed":{"date-parts":[["2021",4,3]]}}}],"schema":"https://github.com/citation-style-language/schema/raw/master/csl-citation.json"}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(“Garuda v. Birgen Appeal,” n.d.)</w:t>
      </w:r>
      <w:r w:rsidRPr="00944EB8">
        <w:rPr>
          <w:rFonts w:ascii="Times New Roman" w:hAnsi="Times New Roman"/>
          <w:sz w:val="24"/>
          <w:szCs w:val="24"/>
        </w:rPr>
        <w:fldChar w:fldCharType="end"/>
      </w:r>
      <w:r w:rsidRPr="00944EB8">
        <w:rPr>
          <w:rFonts w:ascii="Times New Roman" w:hAnsi="Times New Roman"/>
          <w:sz w:val="24"/>
          <w:szCs w:val="24"/>
        </w:rPr>
        <w:t>. For our present purposes, the seat determines the judicial system which is potentially able to intervene or interfere with the arbitral process.</w:t>
      </w:r>
    </w:p>
    <w:p w:rsidR="001C2CCB" w:rsidRPr="00944EB8" w:rsidRDefault="001C2CCB" w:rsidP="001C2CCB">
      <w:pPr>
        <w:pStyle w:val="FootnoteText"/>
        <w:spacing w:line="360" w:lineRule="auto"/>
        <w:ind w:left="720"/>
        <w:jc w:val="both"/>
        <w:rPr>
          <w:rFonts w:ascii="Times New Roman" w:hAnsi="Times New Roman"/>
          <w:sz w:val="24"/>
          <w:szCs w:val="24"/>
        </w:rPr>
      </w:pPr>
    </w:p>
    <w:p w:rsidR="001C2CCB" w:rsidRPr="00944EB8" w:rsidRDefault="001C2CCB" w:rsidP="001C2CCB">
      <w:pPr>
        <w:pStyle w:val="Heading3"/>
        <w:numPr>
          <w:ilvl w:val="2"/>
          <w:numId w:val="22"/>
        </w:numPr>
        <w:rPr>
          <w:rFonts w:cs="Times New Roman"/>
        </w:rPr>
      </w:pPr>
      <w:bookmarkStart w:id="31" w:name="_Toc80808245"/>
      <w:r w:rsidRPr="00944EB8">
        <w:rPr>
          <w:rFonts w:cs="Times New Roman"/>
        </w:rPr>
        <w:t>Judicial non-interference in arbitration</w:t>
      </w:r>
      <w:bookmarkEnd w:id="31"/>
    </w:p>
    <w:p w:rsidR="001C2CCB" w:rsidRPr="00944EB8" w:rsidRDefault="001C2CCB" w:rsidP="001C2CCB">
      <w:pPr>
        <w:spacing w:before="0" w:after="0"/>
        <w:ind w:left="567"/>
        <w:rPr>
          <w:rFonts w:ascii="Times New Roman" w:hAnsi="Times New Roman" w:cs="Times New Roman"/>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Against the foregoing backdrop, Born (2014) theorises that one overriding principle of international arbitration is judicial non-interference in the conduct of arbitral proceedings, to ensure that arbitration can proceed as envisaged by the parties’ agreement without the delays, second-guessing and other problems associated with the interlocutory judicial review of procedural decisions</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{"citationID":"PW4dFP7g","properties":{"formattedCitation":"(Gary Born author, 2014)","plainCitation":"(Gary Born author, 2014)","noteIndex":0},"citationItems":[{"id":573,"uris":["http://zotero.org/users/local/arLofKbg/items/WFW6Q8AX"],"uri":["http://zotero.org/users/local/arLofKbg/items/WFW6Q8AX"],"itemData":{"id":573,"type":"book","abstract":"Contents: v. 1. International arbitration agreements -- v. 2. International arbitral procedures -- v. 3. International arbitral awards.","call-number":"YC.2014.a.14204, YC.2014.a.14203, YC.2014.a.14205","edition":"Second edition","event-place":"Alphen aan den Rijn, The Netherlands","ISBN":"978-90-411-5219-0","language":"eng","publisher":"Wolters Kluwer, Law &amp; Business, 2014","publisher-place":"Alphen aan den Rijn, The Netherlands","source":"explore.bl.uk","title":"International commercial arbitration / Gary B. Born.","author":[{"literal":"Gary Born author"}],"issued":{"date-parts":[["2014"]]}}}],"schema":"https://github.com/citation-style-language/schema/raw/master/csl-citation.json"}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(Gary Born author, 2014)</w:t>
      </w:r>
      <w:r w:rsidRPr="00944EB8">
        <w:rPr>
          <w:rFonts w:ascii="Times New Roman" w:hAnsi="Times New Roman"/>
          <w:sz w:val="24"/>
          <w:szCs w:val="24"/>
        </w:rPr>
        <w:fldChar w:fldCharType="end"/>
      </w:r>
      <w:r w:rsidRPr="00944EB8">
        <w:rPr>
          <w:rFonts w:ascii="Times New Roman" w:hAnsi="Times New Roman"/>
          <w:sz w:val="24"/>
          <w:szCs w:val="24"/>
        </w:rPr>
        <w:t xml:space="preserve">. Born had in a separate article earlier postulated that one cardinal benefit of the arbitral process is the procedural flexibility that it accords the parties,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{"citationID":"3Gwd7u8T","properties":{"formattedCitation":"(Born, 2009)","plainCitation":"(Born, 2009)","noteIndex":0},"citationItems":[{"id":561,"uris":["http://zotero.org/users/local/arLofKbg/items/9973MHIA"],"uri":["http://zotero.org/users/local/arLofKbg/items/9973MHIA"],"itemData":{"id":561,"type":"article-journal","container-title":"University of Pennsylvania journal of international law.","ISSN":"1938-0283","issue":"4","language":"eng","note":"publisher: University of Pennsylvania Law School","page":"999–1034","source":"explore.bl.uk","title":"The Principle of Judicial Non-Interference in International Arbitral Proceedings","volume":"30","author":[{"family":"Born","given":"G."}],"issued":{"date-parts":[["2009"]]}}}],"schema":"https://github.com/citation-style-language/schema/raw/master/csl-citation.json"}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(Born, 2009)</w:t>
      </w:r>
      <w:r w:rsidRPr="00944EB8">
        <w:rPr>
          <w:rFonts w:ascii="Times New Roman" w:hAnsi="Times New Roman"/>
          <w:sz w:val="24"/>
          <w:szCs w:val="24"/>
        </w:rPr>
        <w:fldChar w:fldCharType="end"/>
      </w:r>
      <w:r w:rsidRPr="00944EB8">
        <w:rPr>
          <w:rFonts w:ascii="Times New Roman" w:hAnsi="Times New Roman"/>
          <w:sz w:val="24"/>
          <w:szCs w:val="24"/>
        </w:rPr>
        <w:t xml:space="preserve">. For him, </w:t>
      </w:r>
      <w:r w:rsidRPr="00944EB8">
        <w:rPr>
          <w:rFonts w:ascii="Times New Roman" w:eastAsiaTheme="minorHAnsi" w:hAnsi="Times New Roman"/>
          <w:sz w:val="24"/>
          <w:szCs w:val="24"/>
        </w:rPr>
        <w:t>parties agree to arbitrate their disputes with the objective of obtaining fair and neutral procedures which are flexible, efficient, and capable of being tailored to the needs of their particular dispute, without reference to the formalities and technicalities prevalent in national courts.</w:t>
      </w:r>
      <w:r w:rsidRPr="00944EB8">
        <w:rPr>
          <w:rFonts w:ascii="Times New Roman" w:hAnsi="Times New Roman"/>
          <w:sz w:val="24"/>
          <w:szCs w:val="24"/>
        </w:rPr>
        <w:t xml:space="preserve"> </w:t>
      </w:r>
      <w:r w:rsidRPr="00944EB8">
        <w:rPr>
          <w:rFonts w:ascii="Times New Roman" w:eastAsiaTheme="minorHAnsi" w:hAnsi="Times New Roman"/>
          <w:sz w:val="24"/>
          <w:szCs w:val="24"/>
        </w:rPr>
        <w:t xml:space="preserve">From the above flows the principle of </w:t>
      </w:r>
      <w:r w:rsidRPr="00944EB8">
        <w:rPr>
          <w:rFonts w:ascii="Times New Roman" w:hAnsi="Times New Roman"/>
          <w:sz w:val="24"/>
          <w:szCs w:val="24"/>
        </w:rPr>
        <w:t>judicial intervention or non-interference in commercial arbitration.</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It is however easy to discern that Born leans strongly in favour of the policy of judicial non-interference and therefore accords less significance to the need to strike a balance between  the necessity for judicial non-interference in the arbitral process on one hand and the necessity for judicial intervention in appropriate situations on the other hand. As stated in the preceding chapter, arbitration is not self-sustaining but needs the support of the courts. </w:t>
      </w:r>
      <w:r w:rsidRPr="00944EB8">
        <w:rPr>
          <w:rFonts w:ascii="Times New Roman" w:hAnsi="Times New Roman" w:cs="Times New Roman"/>
          <w:sz w:val="24"/>
          <w:szCs w:val="24"/>
        </w:rPr>
        <w:lastRenderedPageBreak/>
        <w:t>Without the support of national courts, in terms of making interim orders where necessary; providing evidentiary support to the arbitral process; issuing injunctive reliefs to give effect to the above; recognising and enforcing arbitral awards; etc., the arbitral process would not be efficient. It therefore follows that a certain degree of intervention or assistance by the national court is required to facilitate the arbitral process.</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Heading3"/>
        <w:numPr>
          <w:ilvl w:val="2"/>
          <w:numId w:val="22"/>
        </w:numPr>
        <w:rPr>
          <w:rFonts w:cs="Times New Roman"/>
        </w:rPr>
      </w:pPr>
      <w:bookmarkStart w:id="32" w:name="_Toc80808246"/>
      <w:r w:rsidRPr="00944EB8">
        <w:rPr>
          <w:rFonts w:cs="Times New Roman"/>
        </w:rPr>
        <w:t>Judicial Intervention v Judicial Interference</w:t>
      </w:r>
      <w:bookmarkEnd w:id="32"/>
    </w:p>
    <w:p w:rsidR="001C2CCB" w:rsidRPr="00944EB8" w:rsidRDefault="001C2CCB" w:rsidP="001C2CCB">
      <w:pPr>
        <w:spacing w:before="0" w:after="0"/>
        <w:rPr>
          <w:rFonts w:ascii="Times New Roman" w:hAnsi="Times New Roman" w:cs="Times New Roman"/>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The counterbalancing argument is provided by A.T. Bello who helpfully provides some of instances where the assistance or interventions of national courts have been required in the arbitral process, </w:t>
      </w:r>
      <w:r w:rsidRPr="00944EB8">
        <w:rPr>
          <w:rFonts w:ascii="Times New Roman" w:hAnsi="Times New Roman"/>
          <w:sz w:val="24"/>
          <w:szCs w:val="24"/>
        </w:rPr>
        <w:fldChar w:fldCharType="begin"/>
      </w:r>
      <w:r w:rsidRPr="00944EB8">
        <w:rPr>
          <w:rFonts w:ascii="Times New Roman" w:hAnsi="Times New Roman"/>
          <w:sz w:val="24"/>
          <w:szCs w:val="24"/>
        </w:rPr>
        <w:instrText xml:space="preserve"> ADDIN ZOTERO_ITEM CSL_CITATION {"citationID":"qTCu1BZk","properties":{"formattedCitation":"(Bello, 2019)","plainCitation":"(Bello, 2019)","noteIndex":0},"citationItems":[{"id":558,"uris":["http://zotero.org/users/local/arLofKbg/items/DD7TTR2L"],"uri":["http://zotero.org/users/local/arLofKbg/items/DD7TTR2L"],"itemData":{"id":558,"type":"report","abstract":"Arbitration as a dispute resolution mechanism is centered on parties’ agreement and autonomy thereby making way for amicable resolution of the dispute whatever the outcome is, based on award rendered by the arbitral tribunal.The article discussed the judicial intervention in arbitration between Nigeria and the United States of America on comparative basis of the two jurisdictions. The article finds that arbitration in Nigeria is regularly on attack basis and contrary to the position in the USA, and if care is not taken, this may wreck arbitration in Nigeria. The article concludes that the judiciary should play more supportive roles, than undue intervention. It recommends that there should be a more conducive environment and improved infrastructure for Nigerian arbitration to be in the same template with the U.S arbitration.","event-place":"Rochester, NY","genre":"SSRN Scholarly Paper","language":"en","note":"DOI: 10.2139/ssrn.3405449","number":"ID 3405449","publisher":"Social Science Research Network","publisher-place":"Rochester, NY","source":"papers.ssrn.com","title":"Judicial Intervention in Arbitration; A Comparative Analysis of Nigeria and the United States of America.","URL":"https://papers.ssrn.com/abstract=3405449","author":[{"family":"Bello","given":"Temitayo"}],"accessed":{"date-parts":[["2021",1,26]]},"issued":{"date-parts":[["2019",6,17]]}}}],"schema":"https://github.com/citation-style-language/schema/raw/master/csl-citation.json"} </w:instrText>
      </w:r>
      <w:r w:rsidRPr="00944EB8">
        <w:rPr>
          <w:rFonts w:ascii="Times New Roman" w:hAnsi="Times New Roman"/>
          <w:sz w:val="24"/>
          <w:szCs w:val="24"/>
        </w:rPr>
        <w:fldChar w:fldCharType="separate"/>
      </w:r>
      <w:r w:rsidRPr="00944EB8">
        <w:rPr>
          <w:rFonts w:ascii="Times New Roman" w:hAnsi="Times New Roman"/>
          <w:sz w:val="24"/>
          <w:szCs w:val="24"/>
        </w:rPr>
        <w:t>(Bello, 2019)</w:t>
      </w:r>
      <w:r w:rsidRPr="00944EB8">
        <w:rPr>
          <w:rFonts w:ascii="Times New Roman" w:hAnsi="Times New Roman"/>
          <w:sz w:val="24"/>
          <w:szCs w:val="24"/>
        </w:rPr>
        <w:fldChar w:fldCharType="end"/>
      </w:r>
      <w:r w:rsidRPr="00944EB8">
        <w:rPr>
          <w:rFonts w:ascii="Times New Roman" w:hAnsi="Times New Roman"/>
          <w:sz w:val="24"/>
          <w:szCs w:val="24"/>
        </w:rPr>
        <w:t>. According to him, these instances include helping to constitute, or fill vacancies in, an arbitral tribunal; compelling a party to submit to arbitration, and relatedly staying or dismissing litigations that contravene a valid arbitration clause; in limited circumstances, issuing anti-suit injunctions to prevent a party subject to a court's jurisdiction from pursuing litigation in breach of a valid arbitration agreement especially in foreign jurisdictions; compelling discovery or other disclosure in aid of arbitration; enforcing subpoenas issued by an arbitral tribunal; granting provisional relief in aid of arbitration, or enforcing certain interim relief orders issued by tribunals; and above all, recognising and enforcing arbitration awards, or setting aside same in deserving circumstances; etc.</w:t>
      </w:r>
    </w:p>
    <w:p w:rsidR="001C2CCB" w:rsidRPr="00944EB8" w:rsidRDefault="001C2CCB" w:rsidP="001C2CCB">
      <w:pPr>
        <w:pStyle w:val="ListParagraph"/>
        <w:spacing w:before="0" w:after="0"/>
        <w:ind w:left="567" w:hanging="567"/>
        <w:rPr>
          <w:rFonts w:ascii="Times New Roman" w:eastAsia="Times New Roman" w:hAnsi="Times New Roman" w:cs="Times New Roman"/>
          <w:sz w:val="24"/>
          <w:szCs w:val="24"/>
          <w:lang w:eastAsia="en-GB"/>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eastAsia="Times New Roman" w:hAnsi="Times New Roman"/>
          <w:sz w:val="24"/>
          <w:szCs w:val="24"/>
          <w:lang w:eastAsia="en-GB"/>
        </w:rPr>
        <w:t xml:space="preserve">Meanwhile, Delaume </w:t>
      </w:r>
      <w:r w:rsidRPr="00944EB8">
        <w:rPr>
          <w:rFonts w:ascii="Times New Roman" w:hAnsi="Times New Roman"/>
          <w:sz w:val="24"/>
          <w:szCs w:val="24"/>
        </w:rPr>
        <w:t xml:space="preserve">(1984) had a long time ago </w:t>
      </w:r>
      <w:r w:rsidRPr="00944EB8">
        <w:rPr>
          <w:rFonts w:ascii="Times New Roman" w:eastAsia="Times New Roman" w:hAnsi="Times New Roman"/>
          <w:sz w:val="24"/>
          <w:szCs w:val="24"/>
          <w:lang w:eastAsia="en-GB"/>
        </w:rPr>
        <w:t xml:space="preserve">observed that while it is generally recognised that, to be fully effective, transnational arbitration must be freed from judicial interference, it is also acknowledged that arbitration ‘needs the support of national law if it is work to effectively, </w:t>
      </w:r>
      <w:r w:rsidRPr="00944EB8">
        <w:rPr>
          <w:rFonts w:ascii="Times New Roman" w:eastAsia="Times New Roman" w:hAnsi="Times New Roman"/>
          <w:sz w:val="24"/>
          <w:szCs w:val="24"/>
          <w:lang w:eastAsia="en-GB"/>
        </w:rPr>
        <w:fldChar w:fldCharType="begin"/>
      </w:r>
      <w:r w:rsidRPr="00944EB8">
        <w:rPr>
          <w:rFonts w:ascii="Times New Roman" w:eastAsia="Times New Roman" w:hAnsi="Times New Roman"/>
          <w:sz w:val="24"/>
          <w:szCs w:val="24"/>
          <w:lang w:eastAsia="en-GB"/>
        </w:rPr>
        <w:instrText xml:space="preserve"> ADDIN ZOTERO_ITEM CSL_CITATION {"citationID":"yBeAAsvj","properties":{"formattedCitation":"(Delaume and Lew, n.d.)","plainCitation":"(Delaume and Lew, n.d.)","noteIndex":0},"citationItems":[{"id":563,"uris":["http://zotero.org/users/local/arLofKbg/items/RB9BMN6Y"],"uri":["http://zotero.org/users/local/arLofKbg/items/RB9BMN6Y"],"itemData":{"id":563,"type":"article-journal","language":"eng","note":"ISBN: 9780898389265\npublisher: Martinus Nijhoff; 1987","page":"23–39","source":"explore.bl.uk","title":"ICSID arbitration","author":[{"family":"Delaume","given":"G. R."},{"family":"Lew","given":"J. D. M."}]}}],"schema":"https://github.com/citation-style-language/schema/raw/master/csl-citation.json"} </w:instrText>
      </w:r>
      <w:r w:rsidRPr="00944EB8">
        <w:rPr>
          <w:rFonts w:ascii="Times New Roman" w:eastAsia="Times New Roman" w:hAnsi="Times New Roman"/>
          <w:sz w:val="24"/>
          <w:szCs w:val="24"/>
          <w:lang w:eastAsia="en-GB"/>
        </w:rPr>
        <w:fldChar w:fldCharType="separate"/>
      </w:r>
      <w:r w:rsidRPr="00944EB8">
        <w:rPr>
          <w:rFonts w:ascii="Times New Roman" w:hAnsi="Times New Roman"/>
          <w:sz w:val="24"/>
          <w:szCs w:val="24"/>
        </w:rPr>
        <w:t>(Delaume and Lew, n.d.)</w:t>
      </w:r>
      <w:r w:rsidRPr="00944EB8">
        <w:rPr>
          <w:rFonts w:ascii="Times New Roman" w:eastAsia="Times New Roman" w:hAnsi="Times New Roman"/>
          <w:sz w:val="24"/>
          <w:szCs w:val="24"/>
          <w:lang w:eastAsia="en-GB"/>
        </w:rPr>
        <w:fldChar w:fldCharType="end"/>
      </w:r>
      <w:r w:rsidRPr="00944EB8">
        <w:rPr>
          <w:rFonts w:ascii="Times New Roman" w:eastAsia="Times New Roman" w:hAnsi="Times New Roman"/>
          <w:sz w:val="24"/>
          <w:szCs w:val="24"/>
          <w:lang w:eastAsia="en-GB"/>
        </w:rPr>
        <w:t>. This also accords with the views expressed by Redfern</w:t>
      </w:r>
      <w:r w:rsidRPr="00944EB8">
        <w:rPr>
          <w:rFonts w:ascii="Times New Roman" w:hAnsi="Times New Roman"/>
          <w:sz w:val="24"/>
          <w:szCs w:val="24"/>
        </w:rPr>
        <w:t xml:space="preserve"> </w:t>
      </w:r>
      <w:r w:rsidRPr="00944EB8">
        <w:rPr>
          <w:rFonts w:ascii="Times New Roman" w:eastAsia="Times New Roman" w:hAnsi="Times New Roman"/>
          <w:sz w:val="24"/>
          <w:szCs w:val="24"/>
          <w:lang w:eastAsia="en-GB"/>
        </w:rPr>
        <w:t xml:space="preserve">that arbitration ‘needs the support of national law if it is work to effectively, </w:t>
      </w:r>
      <w:r w:rsidRPr="00944EB8">
        <w:rPr>
          <w:rFonts w:ascii="Times New Roman" w:eastAsia="Times New Roman" w:hAnsi="Times New Roman"/>
          <w:sz w:val="24"/>
          <w:szCs w:val="24"/>
          <w:lang w:eastAsia="en-GB"/>
        </w:rPr>
        <w:fldChar w:fldCharType="begin"/>
      </w:r>
      <w:r w:rsidRPr="00944EB8">
        <w:rPr>
          <w:rFonts w:ascii="Times New Roman" w:eastAsia="Times New Roman" w:hAnsi="Times New Roman"/>
          <w:sz w:val="24"/>
          <w:szCs w:val="24"/>
          <w:lang w:eastAsia="en-GB"/>
        </w:rPr>
        <w:instrText xml:space="preserve"> ADDIN ZOTERO_ITEM CSL_CITATION {"citationID":"i2rwEZy1","properties":{"formattedCitation":"(Redfern, 1986)","plainCitation":"(Redfern, 1986)","noteIndex":0},"citationItems":[{"id":610,"uris":["http://zotero.org/users/local/arLofKbg/items/J6NXCPLG"],"uri":["http://zotero.org/users/local/arLofKbg/items/J6NXCPLG"],"itemData":{"id":610,"type":"article-journal","abstract":"Arbitral authority depends upon the agreement of the parties; an award made in the absence of such agreement will be ineffective. The article analyses the Pyramid case which provides a striking example of this truth (decision by the Paris Court of Appeal, July 12, 1984). (Citations: New York Convention on the Recognition and Enforcement of Foreign Arbitral Awards, 1958).--SCAD summary.","container-title":"THE JOURNAL OF BUSINESS LAW","issue":"January","language":"English","note":"OCLC: 846957408","page":"15-22","source":"Open WorldCat","title":"International commercial arbitration. Jurisdiction denied: the Pyramid Collapses","title-short":"International commercial arbitration. Jurisdiction denied","author":[{"family":"Redfern","given":"Alan"}],"issued":{"date-parts":[["1986"]]}}}],"schema":"https://github.com/citation-style-language/schema/raw/master/csl-citation.json"} </w:instrText>
      </w:r>
      <w:r w:rsidRPr="00944EB8">
        <w:rPr>
          <w:rFonts w:ascii="Times New Roman" w:eastAsia="Times New Roman" w:hAnsi="Times New Roman"/>
          <w:sz w:val="24"/>
          <w:szCs w:val="24"/>
          <w:lang w:eastAsia="en-GB"/>
        </w:rPr>
        <w:fldChar w:fldCharType="separate"/>
      </w:r>
      <w:r w:rsidRPr="00944EB8">
        <w:rPr>
          <w:rFonts w:ascii="Times New Roman" w:hAnsi="Times New Roman"/>
          <w:sz w:val="24"/>
          <w:szCs w:val="24"/>
        </w:rPr>
        <w:t>(Redfern, 1986)</w:t>
      </w:r>
      <w:r w:rsidRPr="00944EB8">
        <w:rPr>
          <w:rFonts w:ascii="Times New Roman" w:eastAsia="Times New Roman" w:hAnsi="Times New Roman"/>
          <w:sz w:val="24"/>
          <w:szCs w:val="24"/>
          <w:lang w:eastAsia="en-GB"/>
        </w:rPr>
        <w:fldChar w:fldCharType="end"/>
      </w:r>
      <w:r w:rsidRPr="00944EB8">
        <w:rPr>
          <w:rFonts w:ascii="Times New Roman" w:eastAsia="Times New Roman" w:hAnsi="Times New Roman"/>
          <w:sz w:val="24"/>
          <w:szCs w:val="24"/>
          <w:lang w:eastAsia="en-GB"/>
        </w:rPr>
        <w:t>. The delicate issue therefore is how to strike the right balance between respect for the wishes of the parties to use a private system of dispute resolution and the interests of the State in superintending the process.</w:t>
      </w:r>
    </w:p>
    <w:p w:rsidR="001C2CCB" w:rsidRPr="00944EB8" w:rsidRDefault="001C2CCB" w:rsidP="001C2CCB">
      <w:pPr>
        <w:pStyle w:val="ListParagraph"/>
        <w:spacing w:before="0" w:after="0"/>
        <w:ind w:left="567" w:hanging="567"/>
        <w:rPr>
          <w:rFonts w:ascii="Times New Roman" w:hAnsi="Times New Roman" w:cs="Times New Roman"/>
          <w:sz w:val="24"/>
          <w:szCs w:val="24"/>
        </w:rPr>
      </w:pPr>
    </w:p>
    <w:p w:rsidR="001C2CCB" w:rsidRPr="00944EB8" w:rsidRDefault="001C2CCB" w:rsidP="001C2CCB">
      <w:pPr>
        <w:pStyle w:val="ListParagraph"/>
        <w:spacing w:before="0" w:after="0"/>
        <w:ind w:left="567" w:hanging="567"/>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lastRenderedPageBreak/>
        <w:t xml:space="preserve">No one perhaps captures the situation better than Lutz (1988) who describes the relationship between national courts and international arbitration as intriguing,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{"citationID":"7GlJRPIv","properties":{"formattedCitation":"(\\uc0\\u8220{}Lutz, Robert E.,\\uc0\\u8221{} n.d.)","plainCitation":"(“Lutz, Robert E.,” n.d.)","noteIndex":0},"citationItems":[{"id":567,"uris":["http://zotero.org/users/local/arLofKbg/items/47NWD8VY"],"uri":["http://zotero.org/users/local/arLofKbg/items/47NWD8VY"],"itemData":{"id":567,"type":"article","title":"Lutz, Robert E.","URL":"https://heinonline.org/HOL/AuthorProfile?base=js&amp;search_name=Lutz,%20Robert%20E.&amp;1==1587728366","accessed":{"date-parts":[["2021",1,26]]}}}],"schema":"https://github.com/citation-style-language/schema/raw/master/csl-citation.json"}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(“Lutz, Robert E.,”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According to him, </w:t>
      </w:r>
      <w:r w:rsidRPr="00944EB8">
        <w:rPr>
          <w:rFonts w:ascii="Times New Roman" w:eastAsiaTheme="minorHAnsi" w:hAnsi="Times New Roman" w:cs="Times New Roman"/>
          <w:sz w:val="24"/>
          <w:szCs w:val="24"/>
        </w:rPr>
        <w:t xml:space="preserve">the relationship is most interesting and almost paradoxical because on the one hand, the judiciary is often essential in guaranteeing the integrity of the arbitral process, while on the other hand, the fear of involvement by the judiciary is precisely the reason many parties enter into arbitration. This is similar with the views of </w:t>
      </w:r>
      <w:r w:rsidRPr="00944EB8">
        <w:rPr>
          <w:rFonts w:ascii="Times New Roman" w:hAnsi="Times New Roman" w:cs="Times New Roman"/>
          <w:sz w:val="24"/>
          <w:szCs w:val="24"/>
        </w:rPr>
        <w:t xml:space="preserve">Chukwumerije (1991) who brilliantly captures the argument by </w:t>
      </w:r>
      <w:r w:rsidRPr="00944EB8">
        <w:rPr>
          <w:rFonts w:ascii="Times New Roman" w:eastAsia="Times New Roman" w:hAnsi="Times New Roman" w:cs="Times New Roman"/>
          <w:sz w:val="24"/>
          <w:szCs w:val="24"/>
          <w:lang w:eastAsia="en-GB"/>
        </w:rPr>
        <w:t xml:space="preserve">the contending considerations. For him, on the one hand is the interest of the parties in a speedy, inexpensive and final resolution of their dispute, and on the other hand, is the interest of the State in ensuring the fairness, impartiality and integrity of the arbitral process, </w:t>
      </w:r>
      <w:r w:rsidRPr="00944EB8">
        <w:rPr>
          <w:rFonts w:ascii="Times New Roman" w:eastAsia="Times New Roman" w:hAnsi="Times New Roman" w:cs="Times New Roman"/>
          <w:sz w:val="24"/>
          <w:szCs w:val="24"/>
          <w:lang w:eastAsia="en-GB"/>
        </w:rPr>
        <w:fldChar w:fldCharType="begin"/>
      </w:r>
      <w:r w:rsidRPr="00944EB8">
        <w:rPr>
          <w:rFonts w:ascii="Times New Roman" w:eastAsia="Times New Roman" w:hAnsi="Times New Roman" w:cs="Times New Roman"/>
          <w:sz w:val="24"/>
          <w:szCs w:val="24"/>
          <w:lang w:eastAsia="en-GB"/>
        </w:rPr>
        <w:instrText xml:space="preserve"> ADDIN ZOTERO_ITEM CSL_CITATION {"citationID":"jYEvAEyh","properties":{"formattedCitation":"(Chukwumerije, 1999)","plainCitation":"(Chukwumerije, 1999)","noteIndex":0},"citationItems":[{"id":550,"uris":["http://zotero.org/users/local/arLofKbg/items/3Q5IBYMG"],"uri":["http://zotero.org/users/local/arLofKbg/items/3Q5IBYMG"],"itemData":{"id":550,"type":"article-journal","container-title":"Arbitration International","DOI":"10.1093/arbitration/15.2.171","ISSN":"0957-0411","issue":"2","journalAbbreviation":"Arbitration International","page":"171-191","source":"Silverchair","title":"Judicial Supervision of Commercial Arbitration: The English Arbitration Act of 1996","title-short":"Judicial Supervision of Commercial Arbitration","URL":"https://doi.org/10.1093/arbitration/15.2.171","volume":"15","author":[{"family":"Chukwumerije","given":"Okezie"}],"accessed":{"date-parts":[["2021",1,26]]},"issued":{"date-parts":[["1999",6,1]]}}}],"schema":"https://github.com/citation-style-language/schema/raw/master/csl-citation.json"} </w:instrText>
      </w:r>
      <w:r w:rsidRPr="00944EB8">
        <w:rPr>
          <w:rFonts w:ascii="Times New Roman" w:eastAsia="Times New Roman" w:hAnsi="Times New Roman" w:cs="Times New Roman"/>
          <w:sz w:val="24"/>
          <w:szCs w:val="24"/>
          <w:lang w:eastAsia="en-GB"/>
        </w:rPr>
        <w:fldChar w:fldCharType="separate"/>
      </w:r>
      <w:r w:rsidRPr="00944EB8">
        <w:rPr>
          <w:rFonts w:ascii="Times New Roman" w:hAnsi="Times New Roman" w:cs="Times New Roman"/>
          <w:sz w:val="24"/>
          <w:szCs w:val="24"/>
        </w:rPr>
        <w:t>(Chukwumerije, 1999)</w:t>
      </w:r>
      <w:r w:rsidRPr="00944EB8">
        <w:rPr>
          <w:rFonts w:ascii="Times New Roman" w:eastAsia="Times New Roman" w:hAnsi="Times New Roman" w:cs="Times New Roman"/>
          <w:sz w:val="24"/>
          <w:szCs w:val="24"/>
          <w:lang w:eastAsia="en-GB"/>
        </w:rPr>
        <w:fldChar w:fldCharType="end"/>
      </w:r>
      <w:r w:rsidRPr="00944EB8">
        <w:rPr>
          <w:rFonts w:ascii="Times New Roman" w:eastAsia="Times New Roman" w:hAnsi="Times New Roman" w:cs="Times New Roman"/>
          <w:sz w:val="24"/>
          <w:szCs w:val="24"/>
          <w:lang w:eastAsia="en-GB"/>
        </w:rPr>
        <w:t xml:space="preserve">. </w:t>
      </w:r>
      <w:r w:rsidRPr="00944EB8">
        <w:rPr>
          <w:rFonts w:ascii="Times New Roman" w:hAnsi="Times New Roman" w:cs="Times New Roman"/>
          <w:sz w:val="24"/>
          <w:szCs w:val="24"/>
        </w:rPr>
        <w:t xml:space="preserve">In his contribution, </w:t>
      </w:r>
      <w:r w:rsidRPr="00944EB8">
        <w:rPr>
          <w:rFonts w:ascii="Times New Roman" w:eastAsiaTheme="minorHAnsi" w:hAnsi="Times New Roman" w:cs="Times New Roman"/>
          <w:sz w:val="24"/>
          <w:szCs w:val="24"/>
        </w:rPr>
        <w:t xml:space="preserve">Sharma adds that </w:t>
      </w:r>
      <w:r w:rsidRPr="00944EB8">
        <w:rPr>
          <w:rFonts w:ascii="Times New Roman" w:hAnsi="Times New Roman" w:cs="Times New Roman"/>
          <w:sz w:val="24"/>
          <w:szCs w:val="24"/>
        </w:rPr>
        <w:t xml:space="preserve">the only area of contention is the question of the extent of such intervention since it is agreed that </w:t>
      </w:r>
      <w:r w:rsidRPr="00944EB8">
        <w:rPr>
          <w:rFonts w:ascii="Times New Roman" w:eastAsiaTheme="minorHAnsi" w:hAnsi="Times New Roman" w:cs="Times New Roman"/>
          <w:sz w:val="24"/>
          <w:szCs w:val="24"/>
        </w:rPr>
        <w:t>excessive or too intrusive intervention by</w:t>
      </w:r>
      <w:r w:rsidRPr="00944EB8">
        <w:rPr>
          <w:rFonts w:ascii="Times New Roman" w:eastAsiaTheme="minorHAnsi" w:hAnsi="Times New Roman" w:cs="Times New Roman"/>
          <w:b/>
          <w:bCs/>
          <w:sz w:val="24"/>
          <w:szCs w:val="24"/>
        </w:rPr>
        <w:t xml:space="preserve"> </w:t>
      </w:r>
      <w:r w:rsidRPr="00944EB8">
        <w:rPr>
          <w:rFonts w:ascii="Times New Roman" w:eastAsiaTheme="minorHAnsi" w:hAnsi="Times New Roman" w:cs="Times New Roman"/>
          <w:sz w:val="24"/>
          <w:szCs w:val="24"/>
        </w:rPr>
        <w:t xml:space="preserve">a country’s national courts can defeat the whole arbitration process, destroying its sanctity and benefits; and in the long term may lead to crumbling of the institution of arbitration in that country, </w:t>
      </w:r>
      <w:r w:rsidRPr="00944EB8">
        <w:rPr>
          <w:rFonts w:ascii="Times New Roman" w:eastAsiaTheme="minorHAnsi" w:hAnsi="Times New Roman" w:cs="Times New Roman"/>
          <w:sz w:val="24"/>
          <w:szCs w:val="24"/>
        </w:rPr>
        <w:fldChar w:fldCharType="begin"/>
      </w:r>
      <w:r w:rsidRPr="00944EB8">
        <w:rPr>
          <w:rFonts w:ascii="Times New Roman" w:eastAsiaTheme="minorHAnsi" w:hAnsi="Times New Roman" w:cs="Times New Roman"/>
          <w:sz w:val="24"/>
          <w:szCs w:val="24"/>
        </w:rPr>
        <w:instrText xml:space="preserve"> ADDIN ZOTERO_ITEM CSL_CITATION {"citationID":"pnGA47B4","properties":{"formattedCitation":"(Sharma, 2014)","plainCitation":"(Sharma, 2014)","noteIndex":0},"citationItems":[{"id":529,"uris":["http://zotero.org/users/local/arLofKbg/items/5ZLR62M3"],"uri":["http://zotero.org/users/local/arLofKbg/items/5ZLR62M3"],"itemData":{"id":529,"type":"article-journal","container-title":"Indian J. Arb. L.","note":"publisher: HeinOnline","page":"6","source":"Google Scholar","title":"Judicial Intervention in International Commercial Arbitration: Critiquing the Indian Supreme Court's Interpretation of the Arbitration and Conciliation Act, 1996","title-short":"Judicial Intervention in International Commercial Arbitration","volume":"3","author":[{"family":"Sharma","given":"Ajay Kr"}],"issued":{"date-parts":[["2014"]]}}}],"schema":"https://github.com/citation-style-language/schema/raw/master/csl-citation.json"} </w:instrText>
      </w:r>
      <w:r w:rsidRPr="00944EB8">
        <w:rPr>
          <w:rFonts w:ascii="Times New Roman" w:eastAsiaTheme="minorHAnsi" w:hAnsi="Times New Roman" w:cs="Times New Roman"/>
          <w:sz w:val="24"/>
          <w:szCs w:val="24"/>
        </w:rPr>
        <w:fldChar w:fldCharType="separate"/>
      </w:r>
      <w:r w:rsidRPr="00944EB8">
        <w:rPr>
          <w:rFonts w:ascii="Times New Roman" w:hAnsi="Times New Roman" w:cs="Times New Roman"/>
          <w:sz w:val="24"/>
          <w:szCs w:val="24"/>
        </w:rPr>
        <w:t>(Sharma, 2014)</w:t>
      </w:r>
      <w:r w:rsidRPr="00944EB8">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w:t>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 xml:space="preserve">Lutz </w:t>
      </w:r>
      <w:r w:rsidRPr="00944EB8">
        <w:rPr>
          <w:rFonts w:ascii="Times New Roman" w:hAnsi="Times New Roman" w:cs="Times New Roman"/>
          <w:sz w:val="24"/>
          <w:szCs w:val="24"/>
        </w:rPr>
        <w:t xml:space="preserve">(1988) </w:t>
      </w:r>
      <w:r w:rsidRPr="00944EB8">
        <w:rPr>
          <w:rFonts w:ascii="Times New Roman" w:eastAsiaTheme="minorHAnsi" w:hAnsi="Times New Roman" w:cs="Times New Roman"/>
          <w:sz w:val="24"/>
          <w:szCs w:val="24"/>
        </w:rPr>
        <w:t xml:space="preserve">divides his discussion on the question of judicial intervention into different stages of intervention including intervention at the stage of initiation of arbitration proceedings, intervention during the course of the proceedings and intervention at the post arbitration stage i.e. during the recognition and enforcement stage. </w:t>
      </w:r>
      <w:r w:rsidRPr="00944EB8">
        <w:rPr>
          <w:rFonts w:ascii="Times New Roman" w:hAnsi="Times New Roman" w:cs="Times New Roman"/>
          <w:sz w:val="24"/>
          <w:szCs w:val="24"/>
        </w:rPr>
        <w:t>This research shall adopt the helpful approach of Lutz by considering the extent of judicial intervention in the Nigerian arbitral process from the three stages of the process.</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Heading3"/>
        <w:numPr>
          <w:ilvl w:val="2"/>
          <w:numId w:val="22"/>
        </w:numPr>
        <w:rPr>
          <w:rFonts w:cs="Times New Roman"/>
        </w:rPr>
      </w:pPr>
      <w:bookmarkStart w:id="33" w:name="_Toc80808247"/>
      <w:r w:rsidRPr="00944EB8">
        <w:rPr>
          <w:rFonts w:cs="Times New Roman"/>
        </w:rPr>
        <w:t>Judicial Intervention in the arbitral process in Nigeria</w:t>
      </w:r>
      <w:bookmarkEnd w:id="33"/>
    </w:p>
    <w:p w:rsidR="001C2CCB" w:rsidRPr="00944EB8" w:rsidRDefault="001C2CCB" w:rsidP="001C2CCB">
      <w:pPr>
        <w:spacing w:before="0" w:after="0"/>
        <w:ind w:left="567"/>
        <w:rPr>
          <w:rFonts w:ascii="Times New Roman" w:hAnsi="Times New Roman" w:cs="Times New Roman"/>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 xml:space="preserve">Dimgba restated the position under Nigerian law to the effect that a court shall not intervene in any matter governed by the Act except where so provided in the Act, (Dimgba, N. et al, 2020). Their book interrogates the interaction between national courts and arbitral tribunals and aims to answer the questions, what level of judicial intervention is required for arbitration and what is the role of national courts in making the arbitral process more effective? They however fail to answer the question they sets in the title of the chapter by declining to categorically take a stand regarding whether the relationship between national courts and arbitral tribunals in Nigeria is that of forced partnership or a true partnership. </w:t>
      </w:r>
      <w:r w:rsidRPr="00944EB8">
        <w:rPr>
          <w:rFonts w:ascii="Times New Roman" w:hAnsi="Times New Roman"/>
          <w:sz w:val="24"/>
          <w:szCs w:val="24"/>
        </w:rPr>
        <w:lastRenderedPageBreak/>
        <w:t>Similarly, the authors referenced Chief Justice James Allsop of Australia as identifying three qualities required of national courts with regards to support for arbitration, to wit: the courts must be international in focus and approach; the court must be commercial in focus and approach and understand the commerce involved in the dispute; and the court must understand arbitration. The authors stopped short of considering whether Nigerian courts, by virtue of their decisions, possess some or all these qualities. This research will attempt to answer that.</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Heading2"/>
        <w:numPr>
          <w:ilvl w:val="1"/>
          <w:numId w:val="22"/>
        </w:numPr>
        <w:spacing w:before="0"/>
        <w:rPr>
          <w:rFonts w:cs="Times New Roman"/>
          <w:color w:val="auto"/>
          <w:szCs w:val="24"/>
          <w:lang w:val="en-GB"/>
        </w:rPr>
      </w:pPr>
      <w:bookmarkStart w:id="34" w:name="_Toc80808248"/>
      <w:r w:rsidRPr="00944EB8">
        <w:rPr>
          <w:rFonts w:cs="Times New Roman"/>
          <w:color w:val="auto"/>
          <w:szCs w:val="24"/>
          <w:lang w:val="en-GB"/>
        </w:rPr>
        <w:t>Conclusion</w:t>
      </w:r>
      <w:bookmarkEnd w:id="34"/>
    </w:p>
    <w:p w:rsidR="001C2CCB" w:rsidRPr="00944EB8" w:rsidRDefault="001C2CCB" w:rsidP="001C2CCB">
      <w:pPr>
        <w:spacing w:before="0" w:after="0"/>
        <w:ind w:left="567"/>
        <w:rPr>
          <w:rFonts w:ascii="Times New Roman" w:hAnsi="Times New Roman" w:cs="Times New Roman"/>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This chapter has considered the views of diverse authors on the subject judicial intervention in international arbitration. The chapter also considered some salient concepts such as party autonomy, separability of arbitration agreements; the competence-competence doctrine; the effects of an Arbitration Agreement; scope of arbitration and arbitrability; as well as the concept and legal significance of the seat of arbitration.</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pStyle w:val="FootnoteText"/>
        <w:numPr>
          <w:ilvl w:val="0"/>
          <w:numId w:val="34"/>
        </w:numPr>
        <w:spacing w:line="360" w:lineRule="auto"/>
        <w:ind w:left="567" w:hanging="567"/>
        <w:jc w:val="both"/>
        <w:rPr>
          <w:rFonts w:ascii="Times New Roman" w:hAnsi="Times New Roman"/>
          <w:sz w:val="24"/>
          <w:szCs w:val="24"/>
        </w:rPr>
      </w:pPr>
      <w:r w:rsidRPr="00944EB8">
        <w:rPr>
          <w:rFonts w:ascii="Times New Roman" w:hAnsi="Times New Roman"/>
          <w:sz w:val="24"/>
          <w:szCs w:val="24"/>
        </w:rPr>
        <w:t>Without these fundamental concepts, the issue of judicial intervention or non intervention in the arbitral process will not arise. As the Chapter has shown, the doctrine of party autonomy acknowledges that the ultimate control of the dispute resolution system and procedural rule belongs to the parties and ensures that the parties’ wishes are upheld. Similarly, the separability or autonomy of arbitration agreements serves to insulate the arbitration agreement and the jurisdiction of the tribunal from any invalidity of the main contract which would have opened the doors to intervention by national courts; the competence-competence doctrine takes away from the national courts the primary powers of determining questions of validity of the arbitration agreement and the jurisdiction of the tribunal and empowers the latter to determine its own jurisdiction; etc. These and other relevant concepts of arbitration provide the necessary background for the smooth running of the arbitral system and ensure the minimalisation of judicial interference in the arbitral process</w:t>
      </w:r>
    </w:p>
    <w:p w:rsidR="001C2CCB" w:rsidRPr="00944EB8" w:rsidRDefault="001C2CCB" w:rsidP="001C2CCB">
      <w:pPr>
        <w:pStyle w:val="FootnoteText"/>
        <w:spacing w:line="360" w:lineRule="auto"/>
        <w:ind w:left="567"/>
        <w:jc w:val="both"/>
        <w:rPr>
          <w:rFonts w:ascii="Times New Roman" w:hAnsi="Times New Roman"/>
          <w:sz w:val="24"/>
          <w:szCs w:val="24"/>
        </w:rPr>
      </w:pPr>
    </w:p>
    <w:p w:rsidR="001C2CCB" w:rsidRPr="00944EB8" w:rsidRDefault="001C2CCB" w:rsidP="001C2CCB">
      <w:pPr>
        <w:spacing w:before="0" w:after="0"/>
        <w:rPr>
          <w:rFonts w:ascii="Times New Roman" w:hAnsi="Times New Roman" w:cs="Times New Roman"/>
          <w:sz w:val="24"/>
          <w:szCs w:val="24"/>
        </w:rPr>
      </w:pPr>
      <w:r w:rsidRPr="00944EB8">
        <w:rPr>
          <w:rFonts w:ascii="Times New Roman" w:hAnsi="Times New Roman" w:cs="Times New Roman"/>
          <w:sz w:val="24"/>
          <w:szCs w:val="24"/>
        </w:rPr>
        <w:br w:type="page"/>
      </w:r>
    </w:p>
    <w:p w:rsidR="001C2CCB" w:rsidRPr="00944EB8" w:rsidRDefault="001C2CCB" w:rsidP="001C2CCB">
      <w:pPr>
        <w:pStyle w:val="Heading1"/>
        <w:numPr>
          <w:ilvl w:val="0"/>
          <w:numId w:val="22"/>
        </w:numPr>
        <w:spacing w:before="0"/>
        <w:jc w:val="center"/>
        <w:rPr>
          <w:rFonts w:cs="Times New Roman"/>
          <w:color w:val="auto"/>
        </w:rPr>
      </w:pPr>
      <w:bookmarkStart w:id="35" w:name="_Toc80808249"/>
      <w:r w:rsidRPr="00944EB8">
        <w:rPr>
          <w:rFonts w:cs="Times New Roman"/>
          <w:color w:val="auto"/>
        </w:rPr>
        <w:lastRenderedPageBreak/>
        <w:t>CHAPTER THREE</w:t>
      </w:r>
      <w:bookmarkEnd w:id="35"/>
    </w:p>
    <w:p w:rsidR="001C2CCB" w:rsidRPr="00944EB8" w:rsidRDefault="001C2CCB" w:rsidP="001C2CCB">
      <w:pPr>
        <w:pStyle w:val="ListParagraph"/>
        <w:spacing w:before="0" w:after="0"/>
        <w:ind w:left="360"/>
        <w:rPr>
          <w:rFonts w:ascii="Times New Roman" w:hAnsi="Times New Roman" w:cs="Times New Roman"/>
        </w:rPr>
      </w:pPr>
    </w:p>
    <w:p w:rsidR="001C2CCB" w:rsidRPr="00944EB8" w:rsidRDefault="001C2CCB" w:rsidP="001C2CCB">
      <w:pPr>
        <w:pStyle w:val="Heading1"/>
        <w:numPr>
          <w:ilvl w:val="0"/>
          <w:numId w:val="0"/>
        </w:numPr>
        <w:spacing w:before="0"/>
        <w:jc w:val="center"/>
        <w:rPr>
          <w:rFonts w:eastAsiaTheme="minorHAnsi" w:cs="Times New Roman"/>
          <w:color w:val="auto"/>
          <w:lang w:val="en-US"/>
        </w:rPr>
      </w:pPr>
      <w:bookmarkStart w:id="36" w:name="_Toc80808250"/>
      <w:r w:rsidRPr="00944EB8">
        <w:rPr>
          <w:rFonts w:eastAsiaTheme="minorHAnsi" w:cs="Times New Roman"/>
          <w:color w:val="auto"/>
          <w:lang w:val="en-US"/>
        </w:rPr>
        <w:t>RESEARCH METHODOLOGY</w:t>
      </w:r>
      <w:bookmarkEnd w:id="36"/>
    </w:p>
    <w:p w:rsidR="001C2CCB" w:rsidRPr="00944EB8" w:rsidRDefault="001C2CCB" w:rsidP="001C2CCB">
      <w:pPr>
        <w:pStyle w:val="ListParagraph"/>
        <w:spacing w:before="0" w:after="0"/>
        <w:ind w:left="360"/>
        <w:rPr>
          <w:rFonts w:ascii="Times New Roman" w:hAnsi="Times New Roman" w:cs="Times New Roman"/>
        </w:rPr>
      </w:pPr>
    </w:p>
    <w:p w:rsidR="001C2CCB" w:rsidRPr="00944EB8" w:rsidRDefault="001C2CCB" w:rsidP="001C2CCB">
      <w:pPr>
        <w:pStyle w:val="Heading2"/>
        <w:numPr>
          <w:ilvl w:val="1"/>
          <w:numId w:val="25"/>
        </w:numPr>
        <w:spacing w:before="0"/>
        <w:rPr>
          <w:rFonts w:cs="Times New Roman"/>
          <w:color w:val="auto"/>
        </w:rPr>
      </w:pPr>
      <w:bookmarkStart w:id="37" w:name="_Toc80808251"/>
      <w:r w:rsidRPr="00944EB8">
        <w:rPr>
          <w:rFonts w:cs="Times New Roman"/>
          <w:color w:val="auto"/>
        </w:rPr>
        <w:t>Overview</w:t>
      </w:r>
      <w:bookmarkEnd w:id="37"/>
    </w:p>
    <w:p w:rsidR="001C2CCB" w:rsidRPr="00944EB8" w:rsidRDefault="001C2CCB" w:rsidP="001C2CCB">
      <w:pPr>
        <w:spacing w:before="0" w:after="0" w:line="360" w:lineRule="auto"/>
        <w:jc w:val="both"/>
        <w:rPr>
          <w:rFonts w:ascii="Times New Roman" w:hAnsi="Times New Roman" w:cs="Times New Roman"/>
          <w:b/>
          <w:bCs/>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To achieve the aims and objectives of this research, it becomes imperative to outline the methodology to be adopted in the research. Accordingly, this is the Research Methodology Chapter.</w:t>
      </w:r>
    </w:p>
    <w:p w:rsidR="001C2CCB" w:rsidRPr="00944EB8" w:rsidRDefault="001C2CCB" w:rsidP="001C2CCB">
      <w:pPr>
        <w:pStyle w:val="Heading2"/>
        <w:numPr>
          <w:ilvl w:val="1"/>
          <w:numId w:val="25"/>
        </w:numPr>
        <w:spacing w:before="0"/>
        <w:rPr>
          <w:rFonts w:cs="Times New Roman"/>
          <w:color w:val="auto"/>
        </w:rPr>
      </w:pPr>
      <w:bookmarkStart w:id="38" w:name="_Toc80808252"/>
      <w:r w:rsidRPr="00944EB8">
        <w:rPr>
          <w:rFonts w:cs="Times New Roman"/>
          <w:color w:val="auto"/>
        </w:rPr>
        <w:t>Research Paradigm</w:t>
      </w:r>
      <w:bookmarkEnd w:id="38"/>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As with virtually all concepts in the social sciences, research paradigm does not lend itself to one universally accepted definition that is not without criticism. Nevertheless, attempts have been made, and will continue to be made to define the concept. The phrase research paradigm is believed to have been first coined by Kuhn (1962) in his work, </w:t>
      </w:r>
      <w:r w:rsidRPr="00944EB8">
        <w:rPr>
          <w:rFonts w:ascii="Times New Roman" w:hAnsi="Times New Roman" w:cs="Times New Roman"/>
          <w:i/>
          <w:iCs/>
          <w:sz w:val="24"/>
          <w:szCs w:val="24"/>
        </w:rPr>
        <w:t>Structure of Scientific Revolution</w:t>
      </w:r>
      <w:r w:rsidRPr="00944EB8">
        <w:rPr>
          <w:rFonts w:ascii="Times New Roman" w:hAnsi="Times New Roman" w:cs="Times New Roman"/>
          <w:sz w:val="24"/>
          <w:szCs w:val="24"/>
        </w:rPr>
        <w:t xml:space="preserve"> where he defined it as “an integrated cluster of substantive concepts, variables and problems attached with corresponding methodological approaches and tools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{"citationID":"OlNzJ1B9","properties":{"unsorted":true,"formattedCitation":"(\\uc0\\u8220{}Amazon.com: The Structure of Scientific Revolutions (9780226458076): Kuhn, Thomas S.: Books,\\uc0\\u8221{} n.d.)","plainCitation":"(“Amazon.com: The Structure of Scientific Revolutions (9780226458076): Kuhn, Thomas S.: Books,” n.d.)","noteIndex":0},"citationItems":[{"id":647,"uris":["http://zotero.org/users/local/arLofKbg/items/S2RZ3KW5"],"uri":["http://zotero.org/users/local/arLofKbg/items/S2RZ3KW5"],"itemData":{"id":647,"type":"webpage","title":"Amazon.com: The Structure of Scientific Revolutions (9780226458076): Kuhn, Thomas S.: Books","URL":"https://www.amazon.com/Structure-Scientific-Revolutions-Thomas-Kuhn/dp/0226458075","accessed":{"date-parts":[["2021",8,15]]}}}],"schema":"https://github.com/citation-style-language/schema/raw/master/csl-citation.json"} </w:instrText>
      </w:r>
      <w:r>
        <w:rPr>
          <w:rFonts w:ascii="Times New Roman" w:hAnsi="Times New Roman" w:cs="Times New Roman"/>
          <w:sz w:val="24"/>
          <w:szCs w:val="24"/>
        </w:rPr>
        <w:fldChar w:fldCharType="separate"/>
      </w:r>
      <w:r w:rsidRPr="00B65645">
        <w:rPr>
          <w:rFonts w:ascii="Times New Roman" w:hAnsi="Times New Roman" w:cs="Times New Roman"/>
          <w:sz w:val="24"/>
          <w:szCs w:val="24"/>
        </w:rPr>
        <w:t>(</w:t>
      </w:r>
      <w:r>
        <w:rPr>
          <w:rFonts w:ascii="Times New Roman" w:hAnsi="Times New Roman" w:cs="Times New Roman"/>
          <w:sz w:val="24"/>
          <w:szCs w:val="24"/>
        </w:rPr>
        <w:t xml:space="preserve"> Kuhn, Thomas S, 1962.:</w:t>
      </w:r>
      <w:r w:rsidRPr="00B65645">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w:t>
      </w:r>
      <w:r>
        <w:rPr>
          <w:rFonts w:ascii="Times New Roman" w:hAnsi="Times New Roman" w:cs="Times New Roman"/>
          <w:sz w:val="24"/>
          <w:szCs w:val="24"/>
        </w:rPr>
        <w:t>.</w:t>
      </w:r>
      <w:r w:rsidRPr="00944EB8">
        <w:rPr>
          <w:rFonts w:ascii="Times New Roman" w:hAnsi="Times New Roman" w:cs="Times New Roman"/>
          <w:sz w:val="24"/>
          <w:szCs w:val="24"/>
        </w:rPr>
        <w:t xml:space="preserve"> There have also been more recent attempts at defining research paradigm, such as that of Blaikie</w:t>
      </w:r>
      <w:r>
        <w:rPr>
          <w:rFonts w:ascii="Times New Roman" w:hAnsi="Times New Roman" w:cs="Times New Roman"/>
          <w:sz w:val="24"/>
          <w:szCs w:val="24"/>
        </w:rPr>
        <w:t>,</w:t>
      </w:r>
      <w:r w:rsidRPr="00944EB8">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{"citationID":"zQ8vM3W3","properties":{"formattedCitation":"(Blaikie and Priest, 2016)","plainCitation":"(Blaikie and Priest, 2016)","noteIndex":0},"citationItems":[{"id":651,"uris":["http://zotero.org/users/local/arLofKbg/items/E4SXVPCA"],"uri":["http://zotero.org/users/local/arLofKbg/items/E4SXVPCA"],"itemData":{"id":651,"type":"book","abstract":"This unique book explains the central role that research paradigms play in the design and conduct of social research. The authors argue that social research should not just describe or confirm a social problem but should seek to find an explanation for it Â– and to do so requires research with Âeyes philosophically wide openÂ. Important philosophical and practice elements of three widely recognized paradigms Â– Neo-Positive, Interpretive and Critical Realist Â– are carefully elaborated and their use in action illustrated with detailed examples. The authors show that the philosophical assumptions of a chosen paradigm must match those embedded in a characterization of a research problem and its context. This paradigm orientation is shown to be fundamental to appropriately framing a problem, formulating research questions, deciding on a logic of inquiry and selecting and using methods to investigate it. Ultimately, an appropriate paradigm orientation to social research provides a dispassionate, rigorous and effective basis for the production of new social scientific knowledge. Following on from BlaikieÂs Approaches to Social Enquiry and Designing Social Research, this innovative book will be invaluable to upper-level and research students, their lecturers and supervisors, and researchers across the social sciences.","edition":"1st edition","event-place":"Malden, MA","ISBN":"978-0-7456-7185-7","language":"English","number-of-pages":"256","publisher":"Polity","publisher-place":"Malden, MA","source":"Amazon","title":"Social Research: Paradigms in Action","title-short":"Social Research","author":[{"family":"Blaikie","given":"Norman"},{"family":"Priest","given":"Jan"}],"issued":{"date-parts":[["2016",12,23]]}}}],"schema":"https://github.com/citation-style-language/schema/raw/master/csl-citation.json"} </w:instrText>
      </w:r>
      <w:r>
        <w:rPr>
          <w:rFonts w:ascii="Times New Roman" w:hAnsi="Times New Roman" w:cs="Times New Roman"/>
          <w:sz w:val="24"/>
          <w:szCs w:val="24"/>
        </w:rPr>
        <w:fldChar w:fldCharType="separate"/>
      </w:r>
      <w:r w:rsidRPr="006964FA">
        <w:rPr>
          <w:rFonts w:ascii="Times New Roman" w:hAnsi="Times New Roman" w:cs="Times New Roman"/>
          <w:sz w:val="24"/>
        </w:rPr>
        <w:t>(Blaikie and Priest, 2016)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44EB8">
        <w:rPr>
          <w:rFonts w:ascii="Times New Roman" w:hAnsi="Times New Roman" w:cs="Times New Roman"/>
          <w:sz w:val="24"/>
          <w:szCs w:val="24"/>
        </w:rPr>
        <w:t xml:space="preserve">who views it as a set of governing principles that describes the procedures and processes of acquiring knowledge. </w:t>
      </w:r>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Research paradigm is also widely accepted as the world view that guides a research or an investigation.</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{"citationID":"JvJFsESB","properties":{"formattedCitation":"(Mackenzie and Knipe, 2006)","plainCitation":"(Mackenzie and Knipe, 2006)","noteIndex":0},"citationItems":[{"id":655,"uris":["http://zotero.org/users/local/arLofKbg/items/7LLLHUJX"],"uri":["http://zotero.org/users/local/arLofKbg/items/7LLLHUJX"],"itemData":{"id":655,"type":"article-journal","abstract":"In this article the authors discuss issues faced by early career researchers, including the dichotomy, which many research textbooks and journal articles create and perpetuate between qualitative and quantitative research methodology despite considerable literature to support the use of mixed methods. The authors review current research literature and discuss some of the language, which can prove confusing to the early career researcher and problematic for post-graduate supervisors and teachers of research. The authors argue that discussions of research methods in research texts and university courses should include mixed methods and should address the perceived dichotomy between qualitative and quantitative research methodology.","container-title":"Issues in Educational Research","journalAbbreviation":"Issues in Educational Research","page":"193-205","source":"ResearchGate","title":"Research dilemmas: Paradigms, methods and methodology","title-short":"Research dilemmas","volume":"16","author":[{"family":"Mackenzie","given":"Noella"},{"family":"Knipe","given":"Sally"}],"issued":{"date-parts":[["2006",1,1]]}}}],"schema":"https://github.com/citation-style-language/schema/raw/master/csl-citation.json"} </w:instrText>
      </w:r>
      <w:r>
        <w:rPr>
          <w:rFonts w:ascii="Times New Roman" w:hAnsi="Times New Roman" w:cs="Times New Roman"/>
          <w:sz w:val="24"/>
          <w:szCs w:val="24"/>
        </w:rPr>
        <w:fldChar w:fldCharType="separate"/>
      </w:r>
      <w:r w:rsidRPr="00B55F04">
        <w:rPr>
          <w:rFonts w:ascii="Times New Roman" w:hAnsi="Times New Roman" w:cs="Times New Roman"/>
          <w:sz w:val="24"/>
        </w:rPr>
        <w:t>(Mackenzie and Knipe, 2006)</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Put differently, it is the perspective, or thinking, or school of thought, or set of shared beliefs, that informs the meaning or interpretation of research data.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{"citationID":"aeXYaKeX","properties":{"formattedCitation":"(Kivunja and Kuyini, 2017)","plainCitation":"(Kivunja and Kuyini, 2017)","noteIndex":0},"citationItems":[{"id":657,"uris":["http://zotero.org/users/local/arLofKbg/items/4UKRG87N"],"uri":["http://zotero.org/users/local/arLofKbg/items/4UKRG87N"],"itemData":{"id":657,"type":"article-journal","abstract":"The concept of research paradigm is one that many higher degree research students, and even early career researchers, find elusive to articulate, and challenging to apply in their research proposals. Adopting an ethnographic and hermeneutic methodology, the present paper draws upon our experiences as lecturers in Research Methods over many years, and upon pertinent literature to explain the meaning of research paradigm. The paper elucidates the key aspects of research paradigms that researchers should understand well to be able to address this concept adequately in their research proposals. It offers suggestions on how researchers can locate their research into a paradigm and the justification needed for paradigm choice. With the explicit purpose of helping higher degree research (HDR) students design effective research proposals, the paper also discusses the different research methodologies best suited to conduct research in each of the paradigms discussed.","container-title":"International Journal of Higher Education","DOI":"10.5430/ijhe.v6n5p26","journalAbbreviation":"International Journal of Higher Education","page":"26","source":"ResearchGate","title":"Understanding and Applying Research Paradigms in Educational Contexts","volume":"6","author":[{"family":"Kivunja","given":"Charles"},{"family":"Kuyini","given":"Ahmed Bawa"}],"issued":{"date-parts":[["2017",9,5]]}}}],"schema":"https://github.com/citation-style-language/schema/raw/master/csl-citation.json"} </w:instrText>
      </w:r>
      <w:r>
        <w:rPr>
          <w:rFonts w:ascii="Times New Roman" w:hAnsi="Times New Roman" w:cs="Times New Roman"/>
          <w:sz w:val="24"/>
          <w:szCs w:val="24"/>
        </w:rPr>
        <w:fldChar w:fldCharType="separate"/>
      </w:r>
      <w:r w:rsidRPr="00B55F04">
        <w:rPr>
          <w:rFonts w:ascii="Times New Roman" w:hAnsi="Times New Roman" w:cs="Times New Roman"/>
          <w:sz w:val="24"/>
        </w:rPr>
        <w:t>(Kivunja and Kuyini, 2017)</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A research paradigm inherently reflects the researcher’s beliefs about the world that s/he lives in and wants to live in. It constitutes the abstract beliefs and principles that shape how a researcher sees the world, and how s/he interprets and acts within that world</w:t>
      </w:r>
      <w:r>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fldChar w:fldCharType="begin"/>
      </w:r>
      <w:r>
        <w:rPr>
          <w:rFonts w:ascii="Times New Roman" w:eastAsiaTheme="minorHAnsi" w:hAnsi="Times New Roman" w:cs="Times New Roman"/>
          <w:sz w:val="24"/>
          <w:szCs w:val="24"/>
        </w:rPr>
        <w:instrText xml:space="preserve"> ADDIN ZOTERO_ITEM CSL_CITATION {"citationID":"3i0nrFPK","properties":{"formattedCitation":"(Lather, 2011)","plainCitation":"(Lather, 2011)","noteIndex":0},"citationItems":[{"id":661,"uris":["http://zotero.org/users/local/arLofKbg/items/BK85TUR7"],"uri":["http://zotero.org/users/local/arLofKbg/items/BK85TUR7"],"itemData":{"id":661,"type":"article-journal","abstract":"The author, who is concerned with the methodological implications of critical theory, explores issues in the developing area of emancipatory research. She defines the concept of \"research as praxis,\" examines it in the context of social science research, and discusses examples of empirical research designed to advance emancipatory knowledge. The primary objective of this essay is to help researchers involve the researched in a democratized process of inquiry characterized by negotiation, reciprocity, empowerment — research as praxis.","container-title":"Harvard Educational Review","DOI":"10.17763/haer.56.3.bj2h231877069482","ISSN":"0017-8055","issue":"3","journalAbbreviation":"Harvard Educational Review","page":"257-278","source":"Silverchair","title":"Research as Praxis","URL":"https://doi.org/10.17763/haer.56.3.bj2h231877069482","volume":"56","author":[{"family":"Lather","given":"Patti"}],"accessed":{"date-parts":[["2021",8,15]]},"issued":{"date-parts":[["2011",1,5]]}}}],"schema":"https://github.com/citation-style-language/schema/raw/master/csl-citation.json"} </w:instrText>
      </w:r>
      <w:r>
        <w:rPr>
          <w:rFonts w:ascii="Times New Roman" w:eastAsiaTheme="minorHAnsi" w:hAnsi="Times New Roman" w:cs="Times New Roman"/>
          <w:sz w:val="24"/>
          <w:szCs w:val="24"/>
        </w:rPr>
        <w:fldChar w:fldCharType="separate"/>
      </w:r>
      <w:r w:rsidRPr="00217175">
        <w:rPr>
          <w:rFonts w:ascii="Times New Roman" w:hAnsi="Times New Roman" w:cs="Times New Roman"/>
          <w:sz w:val="24"/>
        </w:rPr>
        <w:t>(Lather, 2011)</w:t>
      </w:r>
      <w:r>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 On their part,</w:t>
      </w:r>
      <w:r>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fldChar w:fldCharType="begin"/>
      </w:r>
      <w:r>
        <w:rPr>
          <w:rFonts w:ascii="Times New Roman" w:eastAsiaTheme="minorHAnsi" w:hAnsi="Times New Roman" w:cs="Times New Roman"/>
          <w:sz w:val="24"/>
          <w:szCs w:val="24"/>
        </w:rPr>
        <w:instrText xml:space="preserve"> ADDIN ZOTERO_ITEM CSL_CITATION {"citationID":"FrHHgy4H","properties":{"formattedCitation":"(Denzin and Lincoln, 2017)","plainCitation":"(Denzin and Lincoln, 2017)","noteIndex":0},"citationItems":[{"id":665,"uris":["http://zotero.org/users/local/arLofKbg/items/UVFZTMA3"],"uri":["http://zotero.org/users/local/arLofKbg/items/UVFZTMA3"],"itemData":{"id":665,"type":"book","abstract":"The substantially updated and revised Fifth Edition of The SAGE Handbook of Qualitative Research by editors Norman K. Denzin and Yvonna S. Lincoln presents the state-of-the-art theory and practice of qualitative inquiry. Representing top scholars from around the world, the editors and contributors continue the tradition of synthesizing existing literature, defining the present, and shaping the future of qualitative research. The Fifth Edition contains 19 new chapters, with 16 revised―making it virtually a new volume―while retaining six classic chapters from previous editions. New contributors to this edition include Jamel K. Donnor and Gloria Ladson-Billings; Margaret Kovach; Paula Saukko; Bryant Keith Alexander; Thomas A. Schwandt and Emily F. Gates; Johnny Saldaña; Uwe Flick; Mirka Koro-Ljungberg, Maggie MacLure, and Jasmine Ulmer; Maria Elena Torre, Brett G. Stoudt, Einat Manoff, and Michelle Fine; Jack Bratich; Svend Brinkmann; Eric Margolis and Renu Zunjarwad; Annette N. Markham; Alecia Y. Jackson and Lisa A. Mazzei; Jonathan Wyatt, Ken Gale, Susanne Gannon, and Bronwyn Davies; Janice Morse; Peter Dahler-Larsen; Mark Spooner; and David A. Westbrook.","edition":"Fifth edition","event-place":"Los Angeles London New Delhi Singapore Washington DC Melbourne","ISBN":"978-1-4833-4980-0","language":"English","number-of-pages":"992","publisher":"SAGE Publications, Inc","publisher-place":"Los Angeles London New Delhi Singapore Washington DC Melbourne","source":"Amazon","title":"The SAGE Handbook of Qualitative Research","editor":[{"family":"Denzin","given":"Norman K."},{"family":"Lincoln","given":"Yvonna S."}],"issued":{"date-parts":[["2017",2,15]]}}}],"schema":"https://github.com/citation-style-language/schema/raw/master/csl-citation.json"} </w:instrText>
      </w:r>
      <w:r>
        <w:rPr>
          <w:rFonts w:ascii="Times New Roman" w:eastAsiaTheme="minorHAnsi" w:hAnsi="Times New Roman" w:cs="Times New Roman"/>
          <w:sz w:val="24"/>
          <w:szCs w:val="24"/>
        </w:rPr>
        <w:fldChar w:fldCharType="separate"/>
      </w:r>
      <w:r w:rsidRPr="002802A2">
        <w:rPr>
          <w:rFonts w:ascii="Times New Roman" w:hAnsi="Times New Roman" w:cs="Times New Roman"/>
          <w:sz w:val="24"/>
        </w:rPr>
        <w:t>(Denzin and Lincoln, 2017)</w:t>
      </w:r>
      <w:r>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 define paradigms as human constructions, which deal with first principles or ultimate indicating where the researcher is coming from so as to construct meaning embedded in data.</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For the purpose of this present research, research paradigm will be considered as the well-defined set of rules, principles and guidelines that guide a researcher in his quest for the acquisition of knowledge and which enables the findings to be scientifically verified and justifiable.</w:t>
      </w:r>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There are three basic questions that form the structure of all research inquiry </w:t>
      </w:r>
      <w:bookmarkStart w:id="39" w:name="_Hlk79743976"/>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{"citationID":"f2tvgpyL","properties":{"formattedCitation":"(Makombe,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bookmarkEnd w:id="39"/>
      <w:r w:rsidRPr="00944EB8">
        <w:rPr>
          <w:rFonts w:ascii="Times New Roman" w:hAnsi="Times New Roman" w:cs="Times New Roman"/>
          <w:sz w:val="24"/>
          <w:szCs w:val="24"/>
        </w:rPr>
        <w:t xml:space="preserve">: “what is there to be known about the form and nature of reality? What is the relationship between the researcher [who seeks to know] and that which can be known about reality? and how can the researcher go about attempting to know that which can be known about the reality?”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{"citationID":"oIrRFUay","properties":{"formattedCitation":"(Makombe,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further writes that</w:t>
      </w:r>
      <w:r>
        <w:rPr>
          <w:rFonts w:ascii="Times New Roman" w:hAnsi="Times New Roman" w:cs="Times New Roman"/>
          <w:sz w:val="24"/>
          <w:szCs w:val="24"/>
        </w:rPr>
        <w:t xml:space="preserve"> it</w:t>
      </w:r>
      <w:r w:rsidRPr="00944EB8">
        <w:rPr>
          <w:rFonts w:ascii="Times New Roman" w:hAnsi="Times New Roman" w:cs="Times New Roman"/>
          <w:sz w:val="24"/>
          <w:szCs w:val="24"/>
        </w:rPr>
        <w:t xml:space="preserve"> is the answer</w:t>
      </w:r>
      <w:r>
        <w:rPr>
          <w:rFonts w:ascii="Times New Roman" w:hAnsi="Times New Roman" w:cs="Times New Roman"/>
          <w:sz w:val="24"/>
          <w:szCs w:val="24"/>
        </w:rPr>
        <w:t>s</w:t>
      </w:r>
      <w:r w:rsidRPr="00944EB8">
        <w:rPr>
          <w:rFonts w:ascii="Times New Roman" w:hAnsi="Times New Roman" w:cs="Times New Roman"/>
          <w:sz w:val="24"/>
          <w:szCs w:val="24"/>
        </w:rPr>
        <w:t xml:space="preserve"> to these three questions that drive the choices of the paradigm, the method, and the design of any research. This is because the three concepts are so interconnected that the answer to any one of these questions significantly impacts on the answer to the other two</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{"citationID":"4G1LlpCo","properties":{"formattedCitation":"(\\uc0\\u8220{}Guba,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37462C">
        <w:rPr>
          <w:rFonts w:ascii="Times New Roman" w:hAnsi="Times New Roman" w:cs="Times New Roman"/>
          <w:sz w:val="24"/>
          <w:szCs w:val="24"/>
        </w:rPr>
        <w:t>(</w:t>
      </w:r>
      <w:r>
        <w:rPr>
          <w:rFonts w:ascii="Times New Roman" w:hAnsi="Times New Roman" w:cs="Times New Roman"/>
          <w:sz w:val="24"/>
          <w:szCs w:val="24"/>
        </w:rPr>
        <w:t>Guba &amp; Lincoln, 1994</w:t>
      </w:r>
      <w:r w:rsidRPr="0037462C">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The first structural question of ascertaining what is there to be known about reality is also referred to as the ontology question; the second question that examines the relationship between the researcher and that which can be known about reality is the epistemology question; and the third question of how the researcher can go about in his quest to determine what can be known about reality is the methodological question. Together, these three constitute the elements of research paradigm.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{"citationID":"K6y4bi9M","properties":{"formattedCitation":"(\\uc0\\u8220{}Guba,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szCs w:val="24"/>
        </w:rPr>
        <w:t>(</w:t>
      </w:r>
      <w:r>
        <w:rPr>
          <w:rFonts w:ascii="Times New Roman" w:hAnsi="Times New Roman" w:cs="Times New Roman"/>
          <w:sz w:val="24"/>
          <w:szCs w:val="24"/>
        </w:rPr>
        <w:t>Guba &amp; Lincoln, 1994</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44EB8">
        <w:rPr>
          <w:rFonts w:ascii="Times New Roman" w:hAnsi="Times New Roman" w:cs="Times New Roman"/>
          <w:sz w:val="24"/>
          <w:szCs w:val="24"/>
        </w:rPr>
        <w:t>however believe that there is a fourth element, that of axiology.</w:t>
      </w:r>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Pr="00D803C0"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Epistemology derives from the Greek word, episteme means knowledge. Epistemology is used in research to describe how a researcher obtains knowledge about the truth or reality or about what counts as knowledge within the world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{"citationID":"eQcCSZ4i","properties":{"formattedCitation":"(Cooksey and McDonald, 2009)","plainCitation":"(Cooksey and McDonald, 2009)","noteIndex":0},"citationItems":[{"id":672,"uris":["http://zotero.org/users/local/arLofKbg/items/9FGDZ7L7"],"uri":["http://zotero.org/users/local/arLofKbg/items/9FGDZ7L7"],"itemData":{"id":672,"type":"book","abstract":"This handbook provides an in-depth exploration of the entire journey of postgraduate research in the social and behavioural sciences, from enrolment to its culmination in the form of a thesis, dissertation or portfolio, and beyond. It is written in an accessible and example-rich style, offering practical and concrete advice in virtually all areas. It also includes references to additional resources and websites, and each chapter features key recommendations for improving the postgraduate research experience. \nThe book addresses not only research-related aspects (e.g. supervisors; selecting your guiding assumptions; contextualising, framing and configuring research; reviewing literature; sampling; writing proposals; ethics and academic integrity; selecting a data gathering strategy; surviving your thesis/dissertation/portfolio examination; and publishing), but also questions concerning how to integrate, manage, and balance the research journey in the context of the postgraduate student’s broader life-world (e.g. skill development and supervisor relations; effective time and project management; a healthy work–life balance; maintaining motivation; and dealing with criticism). The book adopts an explicitly pluralist perspective on postgraduate research, moving beyond mixed methods thinking, and offers concrete examples from postgraduate students’ real-world experiences.","ISBN":"9789811377464","note":"DOI: 10.1007/978-981-13-7747-1","source":"ResearchGate","title":"Surviving and Thriving in Postgraduate Research","author":[{"family":"Cooksey","given":"Ray"},{"family":"McDonald","given":"Gael"}],"issued":{"date-parts":[["2009",1,1]]}}}],"schema":"https://github.com/citation-style-language/schema/raw/master/csl-citation.json"}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(Cooksey and McDonald, 2011</w:t>
      </w:r>
      <w:r w:rsidRPr="0037462C">
        <w:rPr>
          <w:rFonts w:ascii="Times New Roman" w:hAnsi="Times New Roman" w:cs="Times New Roman"/>
          <w:sz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Epistemology is concerned with the very bases of knowledge – its nature, and forms and how it can be acquired, and how it can be communicated to other human beings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{"citationID":"Xd6S6Cet","properties":{"formattedCitation":"(Makombe,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It focuses on the nature of human knowledge and comprehension that </w:t>
      </w:r>
      <w:r w:rsidRPr="00D803C0">
        <w:rPr>
          <w:rFonts w:ascii="Times New Roman" w:hAnsi="Times New Roman" w:cs="Times New Roman"/>
          <w:sz w:val="24"/>
          <w:szCs w:val="24"/>
        </w:rPr>
        <w:t>the researcher or know</w:t>
      </w:r>
      <w:r>
        <w:rPr>
          <w:rFonts w:ascii="Times New Roman" w:hAnsi="Times New Roman" w:cs="Times New Roman"/>
          <w:sz w:val="24"/>
          <w:szCs w:val="24"/>
        </w:rPr>
        <w:t>ledge seek</w:t>
      </w:r>
      <w:r w:rsidRPr="00D803C0">
        <w:rPr>
          <w:rFonts w:ascii="Times New Roman" w:hAnsi="Times New Roman" w:cs="Times New Roman"/>
          <w:sz w:val="24"/>
          <w:szCs w:val="24"/>
        </w:rPr>
        <w:t xml:space="preserve">er, can possibly acquire so as to be able to extend, broaden and deepen understanding in </w:t>
      </w:r>
      <w:r>
        <w:rPr>
          <w:rFonts w:ascii="Times New Roman" w:hAnsi="Times New Roman" w:cs="Times New Roman"/>
          <w:sz w:val="24"/>
          <w:szCs w:val="24"/>
        </w:rPr>
        <w:t xml:space="preserve">the chosen </w:t>
      </w:r>
      <w:r w:rsidRPr="00D803C0">
        <w:rPr>
          <w:rFonts w:ascii="Times New Roman" w:hAnsi="Times New Roman" w:cs="Times New Roman"/>
          <w:sz w:val="24"/>
          <w:szCs w:val="24"/>
        </w:rPr>
        <w:t xml:space="preserve">field of research. As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{"citationID":"4cfrspp4","properties":{"formattedCitation":"(\\uc0\\u8220{}Reading the \\uc0\\u8216{}Problem of Evaluation\\uc0\\u8217{} in Social Inquiry - Thomas A. Schwandt, 1997,\\uc0\\u8221{} n.d.)","plainCitation":"(“Reading the ‘Problem of Evaluation’ in Social Inquiry - Thomas A. Schwandt, 1997,” n.d.)","noteIndex":0},"citationItems":[{"id":674,"uris":["http://zotero.org/users/local/arLofKbg/items/NDF5A9P3"],"uri":["http://zotero.org/users/local/arLofKbg/items/NDF5A9P3"],"itemData":{"id":674,"type":"webpage","title":"Reading the \"Problem of Evaluation\" in Social Inquiry - Thomas A. Schwandt, 1997","URL":"https://journals.sagepub.com/doi/10.1177/107780049700300101","accessed":{"date-parts":[["2021",8,15]]}}}],"schema":"https://github.com/citation-style-language/schema/raw/master/csl-citation.json"}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szCs w:val="24"/>
        </w:rPr>
        <w:t>Thomas A. Schwandt, (1997</w:t>
      </w:r>
      <w:r w:rsidRPr="00287932">
        <w:rPr>
          <w:rFonts w:ascii="Times New Roman" w:hAnsi="Times New Roman" w:cs="Times New Roman"/>
          <w:sz w:val="24"/>
          <w:szCs w:val="24"/>
        </w:rPr>
        <w:t>)</w:t>
      </w:r>
      <w:r>
        <w:rPr>
          <w:rFonts w:ascii="Times New Roman" w:hAnsi="Times New Roman" w:cs="Times New Roman"/>
          <w:sz w:val="24"/>
          <w:szCs w:val="24"/>
        </w:rPr>
        <w:fldChar w:fldCharType="end"/>
      </w:r>
      <w:r w:rsidRPr="00D803C0">
        <w:rPr>
          <w:rFonts w:ascii="Times New Roman" w:hAnsi="Times New Roman" w:cs="Times New Roman"/>
          <w:sz w:val="24"/>
          <w:szCs w:val="24"/>
        </w:rPr>
        <w:t xml:space="preserve"> put it, it is the study of the nature of knowledge and justification. </w:t>
      </w: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Thus, for every research including the present one, critical questions must be asked such as: is knowledge something which can be acquired on the one hand, or, is it something which has to be personally experienced? What is the nature of knowledge and the relationship between the knower and the would-be known? What is the relationship between the inquirer, and what is known? These questions are important because they help the researcher to position themselves in the research context so that they can discover what else is new, given what is known. To the extent that this research relies in part on data gathered from knowledgeable people in the field of arbitration as well as from demonstrable, objective facts, the epistemology of this research is grounded on authoritative knowledge and empirical epistemology.</w:t>
      </w:r>
    </w:p>
    <w:p w:rsidR="001C2CCB" w:rsidRPr="00944EB8" w:rsidRDefault="001C2CCB" w:rsidP="001C2CCB">
      <w:pPr>
        <w:pStyle w:val="ListParagraph"/>
        <w:autoSpaceDE w:val="0"/>
        <w:autoSpaceDN w:val="0"/>
        <w:adjustRightInd w:val="0"/>
        <w:spacing w:after="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Ontology is a branch of philosophy concerned with the assumptions we make in order to believe that something makes sense or is real, or the very nature or essence of the social phenomenon that is being investigated</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{"citationID":"OsDmSYgI","properties":{"formattedCitation":"(Scotland, 2012)","plainCitation":"(Scotland, 2012)","noteIndex":0},"citationItems":[{"id":676,"uris":["http://zotero.org/users/local/arLofKbg/items/PUPFFMSJ"],"uri":["http://zotero.org/users/local/arLofKbg/items/PUPFFMSJ"],"itemData":{"id":676,"type":"article-journal","abstract":"This paper explores the philosophical underpinnings of three major educational research paradigms: scientific, interpretive, and critical. The aim was to outline and explore the interrelationships between each paradigm's ontology, epistemology, methodology and methods. This paper reveals and then discusses some of the underlying assumptions of educational research. Consequently, this paper is relevant to every English language teacher who is a reader of research.","container-title":"English Language Teaching","DOI":"10.5539/elt.v5n9p9","journalAbbreviation":"English Language Teaching","source":"ResearchGate","title":"Exploring the Philosophical Underpinnings of Research: Relating Ontology and Epistemology to the Methodology and Methods of the Scientific, Interpretive, and Critical Research Paradigms","title-short":"Exploring the Philosophical Underpinnings of Research","volume":"5","author":[{"family":"Scotland","given":"James"}],"issued":{"date-parts":[["2012",7,25]]}}}],"schema":"https://github.com/citation-style-language/schema/raw/master/csl-citation.json"} </w:instrText>
      </w:r>
      <w:r>
        <w:rPr>
          <w:rFonts w:ascii="Times New Roman" w:hAnsi="Times New Roman" w:cs="Times New Roman"/>
          <w:sz w:val="24"/>
          <w:szCs w:val="24"/>
        </w:rPr>
        <w:fldChar w:fldCharType="separate"/>
      </w:r>
      <w:r w:rsidRPr="00852CE3">
        <w:rPr>
          <w:rFonts w:ascii="Times New Roman" w:hAnsi="Times New Roman" w:cs="Times New Roman"/>
          <w:sz w:val="24"/>
        </w:rPr>
        <w:t>(Scotland, 2012)</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Ontology is the philosophical study of the nature of existence or reality, of being or becoming, as well as the basic categories of things that exist and their relations. It examines the researcher’s underlying belief system about the nature of being and existence.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Ontology is critical to a paradigm because it helps to provide an understanding of the things that constitute the world, as it is known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{"citationID":"6ej5Xf2f","properties":{"formattedCitation":"(Scott and Usher, 2010)","plainCitation":"(Scott and Usher, 2010)","noteIndex":0},"citationItems":[{"id":681,"uris":["http://zotero.org/users/local/arLofKbg/items/XN78VQCR"],"uri":["http://zotero.org/users/local/arLofKbg/items/XN78VQCR"],"itemData":{"id":681,"type":"book","abstract":"Researching Education looks at the theory and practice of researching education and examines the philosophical, historical, political and social contexts of research and the implications of these for the collection and analysis of data. Scott and Usher argue that while power is ever present in the construction of research texts, this is inevitable as research imposes a closure of the world through representations and thus is always and inevitably involved with and implicated in the operation of power. The authors provide a theoretical framework against previously compiled research can be judged to stimulates further study and consider key questions: What is legitimate knowledge? What is the relationship between the collection and analysis of data? How does the researcher's presence in the field impact on their data? This new edition has been completely revised to reflect new insights into education research and educational research methodology and the impact of recent political initiatives. Researching Education is invaluable reading for educational and social researchers as well as postgraduate and doctoral students. Corpus Linguistics in Literary Analysis provides a theoretical introduction to corpus stylistics and also demonstrates its application by presenting corpus stylistic analyses of literary texts and corpora. The first part of the book addresses theoretical issues such as the relationship between subjectivity and objectivity in corpus linguistic analyses, criteria for the evaluation of results from corpus linguistic analyses and also discusses units of meaning in language. The second part of the book takes this theory and applies it to Northanger Abbey by Jane Austen and to two corpora consisting of 1) Austen's six novels and2) texts that are contemporary with Austen. The analyses demonstrate the impact of various features of text on literary meanings and how corpus tools can extract new critical angles","edition":"2nd edition","event-place":"London ; New York","ISBN":"978-1-4411-0166-2","language":"English","number-of-pages":"214","publisher":"Continuum","publisher-place":"London ; New York","source":"Amazon","title":"Researching Education: Data, Methods and Theory in Educational Enquiry","title-short":"Researching Education","author":[{"family":"Scott","given":"David"},{"family":"Usher","given":"Robin"}],"issued":{"date-parts":[["2010",12,16]]}}}],"schema":"https://github.com/citation-style-language/schema/raw/master/csl-citation.json"} </w:instrText>
      </w:r>
      <w:r>
        <w:rPr>
          <w:rFonts w:ascii="Times New Roman" w:hAnsi="Times New Roman" w:cs="Times New Roman"/>
          <w:sz w:val="24"/>
          <w:szCs w:val="24"/>
        </w:rPr>
        <w:fldChar w:fldCharType="separate"/>
      </w:r>
      <w:r w:rsidRPr="00C00DC3">
        <w:rPr>
          <w:rFonts w:ascii="Times New Roman" w:hAnsi="Times New Roman" w:cs="Times New Roman"/>
          <w:sz w:val="24"/>
        </w:rPr>
        <w:t>(Scott and Usher, 2010)</w:t>
      </w:r>
      <w:r>
        <w:rPr>
          <w:rFonts w:ascii="Times New Roman" w:hAnsi="Times New Roman" w:cs="Times New Roman"/>
          <w:sz w:val="24"/>
          <w:szCs w:val="24"/>
        </w:rPr>
        <w:fldChar w:fldCharType="end"/>
      </w:r>
      <w:r w:rsidRPr="00944EB8">
        <w:rPr>
          <w:rFonts w:ascii="Times New Roman" w:hAnsi="Times New Roman" w:cs="Times New Roman"/>
          <w:sz w:val="24"/>
          <w:szCs w:val="24"/>
        </w:rPr>
        <w:t>. It seeks to determine the real nature, or the foundational concepts which constitute themes that are analysed to make sense of the meaning embedded in research data. Ontology leads to questions such as: Is there reality out there in the social world or is it a construction, created by one’s own mind? What is the nature of reality? In other words, Is reality of an objective nature, or the result of individual cognition? What is the nature of the situation being studied? Ontology helps the researcher to conceptualise the form and nature of reality, which assumptions are crucial to understanding how the researcher makes meaning of the data gathered and help to orientate the researcher’s thinking about the research problem, its significance, and best to approach it so as to contribute to its solution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{"citationID":"RlfvdEk6","properties":{"formattedCitation":"(Makombe,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sidRPr="00944EB8">
        <w:rPr>
          <w:rFonts w:ascii="Times New Roman" w:hAnsi="Times New Roman" w:cs="Times New Roman"/>
          <w:color w:val="000000"/>
          <w:sz w:val="24"/>
          <w:szCs w:val="24"/>
        </w:rPr>
        <w:lastRenderedPageBreak/>
        <w:t>Methodology is the broad term used to refer to the research design, methods, approaches, and procedures used in an investigation that is well planned to find out something</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{"citationID":"Zxyj2kdC","properties":{"formattedCitation":"(Keeves, 1997)","plainCitation":"(Keeves, 1997)","noteIndex":0},"citationItems":[{"id":685,"uris":["http://zotero.org/users/local/arLofKbg/items/NB2JXKDT"],"uri":["http://zotero.org/users/local/arLofKbg/items/NB2JXKDT"],"itemData":{"id":685,"type":"book","abstract":"During the past decade new approaches to educational measurement have become more widely recognized and the use of computer programs has been developed to make sound use of the procedures and techniques associated with item response theory. However, the implications of these developments for research methodology have not yet been fully recognized. This &lt;IT&gt;Encyclopedia&lt;/IT&gt; will address not only these changes for which the extent of developments are currently becoming evident but will also look forward to the major advances in the methods employed in empirical research which will arise from the use of improved measurement and scaling procedures.&lt;IT&gt;The Encyclopedia&lt;/IT&gt; is divided into three sections. The first section seeks to provide a broad coverage of topics related to the methods of educational inquiry. This section includes articles that trace the history of educational research and the methods of both humanistic and scientific research which are linked by a key article on research in education: epistemological issues. Other general articles consider the methods of evaluation and policy-oriented research. The contribution of critical theory is also discussed.The second section includes articles on research methodology and statistical analysis, with consideration given to increasing both the strength of inferences from evidence and the confirmation of hypotheses and models developed from theory. The procedures employed in both the humanistic and scientific approaches, as well as in a wide range of techniques employed in the statistical analysis of both quantitative and qualitative data are also presented.The third section contains articles on measurement for educational research and covers the fields of measurement theory, achievement testing, attitude measurement and the applications of measurement in research. The focus of this section is towards the improvement of measurement for educational research.Articles include updated and revised material from the &lt;IT&gt;International Encyclopedia of Education, 2nd Edition&lt;/IT&gt; (described by Choice as being \"&lt;IT&gt;a premier reference work when judged on virtually every criteria applied to a reference work&lt;/IT&gt;\") together with newly commissioned material.","edition":"2nd edition","event-place":"New York, N.Y","ISBN":"978-0-08-042710-2","language":"English","number-of-pages":"964","publisher":"Emerald Group Publishing Limited","publisher-place":"New York, N.Y","source":"Amazon","title":"Educational Research, Methodology and Measurement: An International Handbook (Resources in Education Series): 7","title-short":"Educational Research, Methodology and Measurement","author":[{"family":"Keeves","given":"J. P."}],"issued":{"date-parts":[["1997",6,17]]}}}],"schema":"https://github.com/citation-style-language/schema/raw/master/csl-citation.json"} </w:instrText>
      </w:r>
      <w:r>
        <w:rPr>
          <w:rFonts w:ascii="Times New Roman" w:hAnsi="Times New Roman" w:cs="Times New Roman"/>
          <w:color w:val="000000"/>
          <w:sz w:val="24"/>
          <w:szCs w:val="24"/>
        </w:rPr>
        <w:fldChar w:fldCharType="separate"/>
      </w:r>
      <w:r w:rsidRPr="00C70193">
        <w:rPr>
          <w:rFonts w:ascii="Times New Roman" w:hAnsi="Times New Roman" w:cs="Times New Roman"/>
          <w:sz w:val="24"/>
        </w:rPr>
        <w:t>(Keeves, 1997)</w:t>
      </w:r>
      <w:r>
        <w:rPr>
          <w:rFonts w:ascii="Times New Roman" w:hAnsi="Times New Roman" w:cs="Times New Roman"/>
          <w:color w:val="000000"/>
          <w:sz w:val="24"/>
          <w:szCs w:val="24"/>
        </w:rPr>
        <w:fldChar w:fldCharType="end"/>
      </w:r>
      <w:r w:rsidRPr="00944EB8">
        <w:rPr>
          <w:rFonts w:ascii="Times New Roman" w:hAnsi="Times New Roman" w:cs="Times New Roman"/>
          <w:color w:val="000000"/>
          <w:sz w:val="24"/>
          <w:szCs w:val="24"/>
        </w:rPr>
        <w:t xml:space="preserve">. It is the umbrella that covers all such concepts as data gathering, participants, instruments used, and data analysis. The methodology of a research articulates the logic and flow of the systematic processes followed in conducting a research project, so as to gain knowledge about a research problem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{"citationID":"30hJciQA","properties":{"formattedCitation":"(Makombe,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color w:val="000000"/>
          <w:sz w:val="24"/>
          <w:szCs w:val="24"/>
        </w:rPr>
        <w:t>. It includes assumptions made, limitations encountered and how they were mitigated or minimised. It focuses on how we come to know the world or gain knowledge about part of it</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{"citationID":"ptOcj4m5","properties":{"formattedCitation":"(Moreno, 1947)","plainCitation":"(Moreno, 1947)","noteIndex":0},"citationItems":[{"id":687,"uris":["http://zotero.org/users/local/arLofKbg/items/74YDN8YQ"],"uri":["http://zotero.org/users/local/arLofKbg/items/74YDN8YQ"],"itemData":{"id":687,"type":"article-journal","container-title":"American Sociological Review","DOI":"10.2307/2086518","ISSN":"0003-1224","issue":"3","note":"publisher: [American Sociological Association, Sage Publications, Inc.]","page":"287-292","source":"JSTOR","title":"Contributions of Sociometry to Research Methodology in Sociology","URL":"https://www.jstor.org/stable/2086518","volume":"12","author":[{"family":"Moreno","given":"J. L."}],"accessed":{"date-parts":[["2021",8,15]]},"issued":{"date-parts":[["1947"]]}}}],"schema":"https://github.com/citation-style-language/schema/raw/master/csl-citation.json"} </w:instrText>
      </w:r>
      <w:r>
        <w:rPr>
          <w:rFonts w:ascii="Times New Roman" w:hAnsi="Times New Roman" w:cs="Times New Roman"/>
          <w:color w:val="000000"/>
          <w:sz w:val="24"/>
          <w:szCs w:val="24"/>
        </w:rPr>
        <w:fldChar w:fldCharType="separate"/>
      </w:r>
      <w:r w:rsidRPr="00C70193">
        <w:rPr>
          <w:rFonts w:ascii="Times New Roman" w:hAnsi="Times New Roman" w:cs="Times New Roman"/>
          <w:sz w:val="24"/>
        </w:rPr>
        <w:t>(Moreno, 1947)</w:t>
      </w:r>
      <w:r>
        <w:rPr>
          <w:rFonts w:ascii="Times New Roman" w:hAnsi="Times New Roman" w:cs="Times New Roman"/>
          <w:color w:val="000000"/>
          <w:sz w:val="24"/>
          <w:szCs w:val="24"/>
        </w:rPr>
        <w:fldChar w:fldCharType="end"/>
      </w:r>
      <w:r w:rsidRPr="00944EB8">
        <w:rPr>
          <w:rFonts w:ascii="Times New Roman" w:hAnsi="Times New Roman" w:cs="Times New Roman"/>
          <w:color w:val="000000"/>
          <w:sz w:val="24"/>
          <w:szCs w:val="24"/>
        </w:rPr>
        <w:t xml:space="preserve"> and answers such questions as how to go about obtaining the desired data, knowledge and understandings in order to answer the research question and thereby make a contribution to knowledge.</w:t>
      </w:r>
    </w:p>
    <w:p w:rsidR="001C2CCB" w:rsidRPr="00944EB8" w:rsidRDefault="001C2CCB" w:rsidP="001C2CCB">
      <w:pPr>
        <w:pStyle w:val="ListParagraph"/>
        <w:autoSpaceDE w:val="0"/>
        <w:autoSpaceDN w:val="0"/>
        <w:adjustRightInd w:val="0"/>
        <w:spacing w:after="0" w:line="360" w:lineRule="auto"/>
        <w:ind w:left="450"/>
        <w:jc w:val="both"/>
        <w:rPr>
          <w:rFonts w:ascii="Times New Roman" w:hAnsi="Times New Roman" w:cs="Times New Roman"/>
          <w:color w:val="000000"/>
          <w:sz w:val="24"/>
          <w:szCs w:val="24"/>
        </w:rPr>
      </w:pP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944EB8">
        <w:rPr>
          <w:rFonts w:ascii="Times New Roman" w:hAnsi="Times New Roman" w:cs="Times New Roman"/>
          <w:color w:val="000000"/>
          <w:sz w:val="24"/>
          <w:szCs w:val="24"/>
        </w:rPr>
        <w:t xml:space="preserve">Lastly, </w:t>
      </w:r>
      <w:r w:rsidRPr="00944EB8">
        <w:rPr>
          <w:rFonts w:ascii="Times New Roman" w:hAnsi="Times New Roman" w:cs="Times New Roman"/>
          <w:sz w:val="24"/>
          <w:szCs w:val="24"/>
        </w:rPr>
        <w:t xml:space="preserve">axiology </w:t>
      </w:r>
      <w:r w:rsidRPr="00944EB8">
        <w:rPr>
          <w:rFonts w:ascii="Times New Roman" w:hAnsi="Times New Roman" w:cs="Times New Roman"/>
          <w:color w:val="000000"/>
          <w:sz w:val="24"/>
          <w:szCs w:val="24"/>
        </w:rPr>
        <w:t>refers to the ethical issues that need to be considered when planning a research proposal. It considers the philosophical approach to making decisions of value or the right decisions</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{"citationID":"p17Bys1H","properties":{"formattedCitation":"(Finnis, 2011)","plainCitation":"(Finnis, 2011)","noteIndex":0},"citationItems":[{"id":689,"uris":["http://zotero.org/users/local/arLofKbg/items/DCTWFXTJ"],"uri":["http://zotero.org/users/local/arLofKbg/items/DCTWFXTJ"],"itemData":{"id":689,"type":"book","edition":"2nd edition","event-place":"Oxford ; New York","ISBN":"978-0-19-959914-1","language":"English","number-of-pages":"500","publisher":"Oxford University Press","publisher-place":"Oxford ; New York","source":"Amazon","title":"Natural Law and Natural Rights","author":[{"family":"Finnis","given":"John"}],"issued":{"date-parts":[["2011",5,26]]}}}],"schema":"https://github.com/citation-style-language/schema/raw/master/csl-citation.json"} </w:instrText>
      </w:r>
      <w:r>
        <w:rPr>
          <w:rFonts w:ascii="Times New Roman" w:hAnsi="Times New Roman" w:cs="Times New Roman"/>
          <w:color w:val="000000"/>
          <w:sz w:val="24"/>
          <w:szCs w:val="24"/>
        </w:rPr>
        <w:fldChar w:fldCharType="separate"/>
      </w:r>
      <w:r w:rsidRPr="00C70193">
        <w:rPr>
          <w:rFonts w:ascii="Times New Roman" w:hAnsi="Times New Roman" w:cs="Times New Roman"/>
          <w:sz w:val="24"/>
        </w:rPr>
        <w:t>(Finnis, 2011)</w:t>
      </w:r>
      <w:r>
        <w:rPr>
          <w:rFonts w:ascii="Times New Roman" w:hAnsi="Times New Roman" w:cs="Times New Roman"/>
          <w:color w:val="000000"/>
          <w:sz w:val="24"/>
          <w:szCs w:val="24"/>
        </w:rPr>
        <w:fldChar w:fldCharType="end"/>
      </w:r>
      <w:r w:rsidRPr="00944EB8">
        <w:rPr>
          <w:rFonts w:ascii="Times New Roman" w:hAnsi="Times New Roman" w:cs="Times New Roman"/>
          <w:color w:val="000000"/>
          <w:sz w:val="24"/>
          <w:szCs w:val="24"/>
        </w:rPr>
        <w:t xml:space="preserve">. </w:t>
      </w:r>
      <w:r w:rsidRPr="00944EB8">
        <w:rPr>
          <w:rFonts w:ascii="Times New Roman" w:hAnsi="Times New Roman" w:cs="Times New Roman"/>
          <w:sz w:val="24"/>
          <w:szCs w:val="24"/>
        </w:rPr>
        <w:t>Axiology</w:t>
      </w:r>
      <w:r w:rsidRPr="00944EB8">
        <w:rPr>
          <w:rFonts w:ascii="Times New Roman" w:hAnsi="Times New Roman" w:cs="Times New Roman"/>
          <w:color w:val="000000"/>
          <w:sz w:val="24"/>
          <w:szCs w:val="24"/>
        </w:rPr>
        <w:t xml:space="preserve"> involves defining, evaluating and understanding concepts of right and wrong behaviour relating to the research. It considers what value should be attributed to the different aspects of our research, the participants, the data and the audience who shall access the research results.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Axiology </w:t>
      </w:r>
      <w:r w:rsidRPr="00944EB8">
        <w:rPr>
          <w:rFonts w:ascii="Times New Roman" w:hAnsi="Times New Roman" w:cs="Times New Roman"/>
          <w:color w:val="000000"/>
          <w:sz w:val="24"/>
          <w:szCs w:val="24"/>
        </w:rPr>
        <w:t xml:space="preserve">addresses the following questions. What values will a researcher live by or be guided by in the conduct of the research? What ought to be done to respect all participants’ rights? What are the moral issues and characteristics that need to be considered? Which cultural, intercultural and moral issues arise and how will they </w:t>
      </w:r>
      <w:proofErr w:type="gramStart"/>
      <w:r w:rsidRPr="00944EB8">
        <w:rPr>
          <w:rFonts w:ascii="Times New Roman" w:hAnsi="Times New Roman" w:cs="Times New Roman"/>
          <w:color w:val="000000"/>
          <w:sz w:val="24"/>
          <w:szCs w:val="24"/>
        </w:rPr>
        <w:t>be</w:t>
      </w:r>
      <w:proofErr w:type="gramEnd"/>
      <w:r w:rsidRPr="00944EB8">
        <w:rPr>
          <w:rFonts w:ascii="Times New Roman" w:hAnsi="Times New Roman" w:cs="Times New Roman"/>
          <w:color w:val="000000"/>
          <w:sz w:val="24"/>
          <w:szCs w:val="24"/>
        </w:rPr>
        <w:t xml:space="preserve"> addressed? How can the researcher secure the goodwill of participants? How can the research be conducted in a socially just, respectful and peaceful manner? How shall risks or harm be avoided or at least minimised, whether it be physical, psychological, legal, social, economic or other?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{"citationID":"YlkT0gN1","properties":{"formattedCitation":"(Council, 2018)","plainCitation":"(Council, 2018)","noteIndex":0},"citationItems":[{"id":693,"uris":["http://zotero.org/users/local/arLofKbg/items/GD6NQSGH"],"uri":["http://zotero.org/users/local/arLofKbg/items/GD6NQSGH"],"itemData":{"id":693,"type":"webpage","abstract":"The ARC is committed to the highest standards of integrity in all aspects of research it supports. This includes ensuring that ARC-funded research is conducted according to appropriate ethical, legal and professional frameworks, obligations and standards; as well as the development and support of a research environment that is underpinned by a culture of integrity.","genre":"Text","language":"en","note":"publisher: Australian Research Council","title":"Codes and Guidelines","URL":"https://www.arc.gov.au/policies-strategies/policy/codes-and-guidelines","author":[{"family":"Council","given":"Australian Research"}],"accessed":{"date-parts":[["2021",8,15]]},"issued":{"date-parts":[["2018",6,13]]}}}],"schema":"https://github.com/citation-style-language/schema/raw/master/csl-citation.json"} </w:instrText>
      </w:r>
      <w:r>
        <w:rPr>
          <w:rFonts w:ascii="Times New Roman" w:hAnsi="Times New Roman" w:cs="Times New Roman"/>
          <w:color w:val="000000"/>
          <w:sz w:val="24"/>
          <w:szCs w:val="24"/>
        </w:rPr>
        <w:fldChar w:fldCharType="separate"/>
      </w:r>
      <w:r w:rsidRPr="00C23E5C">
        <w:rPr>
          <w:rFonts w:ascii="Times New Roman" w:hAnsi="Times New Roman" w:cs="Times New Roman"/>
          <w:sz w:val="24"/>
        </w:rPr>
        <w:t>(Council, 2018)</w:t>
      </w:r>
      <w:r>
        <w:rPr>
          <w:rFonts w:ascii="Times New Roman" w:hAnsi="Times New Roman" w:cs="Times New Roman"/>
          <w:color w:val="000000"/>
          <w:sz w:val="24"/>
          <w:szCs w:val="24"/>
        </w:rPr>
        <w:fldChar w:fldCharType="end"/>
      </w:r>
      <w:r w:rsidRPr="00944EB8">
        <w:rPr>
          <w:rFonts w:ascii="Times New Roman" w:hAnsi="Times New Roman" w:cs="Times New Roman"/>
          <w:color w:val="000000"/>
          <w:sz w:val="24"/>
          <w:szCs w:val="24"/>
        </w:rPr>
        <w:t>. These are the elements of research paradigm.</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There are two broad paradigms – the empirical paradigms and the normative paradigms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{"citationID":"15obbyjm","properties":{"formattedCitation":"(Makombe,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The empirical paradigms comprise of </w:t>
      </w:r>
      <w:r w:rsidRPr="00944EB8">
        <w:rPr>
          <w:rFonts w:ascii="Times New Roman" w:eastAsiaTheme="minorHAnsi" w:hAnsi="Times New Roman" w:cs="Times New Roman"/>
          <w:color w:val="000000"/>
          <w:sz w:val="24"/>
          <w:szCs w:val="24"/>
        </w:rPr>
        <w:t>positivism/post positivism and anti-positivism while the normative paradigms consist of interpretivism, social constructivism, critical theory</w:t>
      </w:r>
      <w:r>
        <w:rPr>
          <w:rFonts w:ascii="Times New Roman" w:eastAsiaTheme="minorHAnsi" w:hAnsi="Times New Roman" w:cs="Times New Roman"/>
          <w:color w:val="000000"/>
          <w:sz w:val="24"/>
          <w:szCs w:val="24"/>
        </w:rPr>
        <w:t>,</w:t>
      </w:r>
      <w:r w:rsidRPr="00944EB8">
        <w:rPr>
          <w:rFonts w:ascii="Times New Roman" w:eastAsiaTheme="minorHAnsi" w:hAnsi="Times New Roman" w:cs="Times New Roman"/>
          <w:color w:val="000000"/>
          <w:sz w:val="24"/>
          <w:szCs w:val="24"/>
        </w:rPr>
        <w:t xml:space="preserve"> and pragmatism.</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Generally speaking</w:t>
      </w:r>
      <w:r>
        <w:rPr>
          <w:rFonts w:ascii="Times New Roman" w:hAnsi="Times New Roman" w:cs="Times New Roman"/>
          <w:sz w:val="24"/>
          <w:szCs w:val="24"/>
        </w:rPr>
        <w:t xml:space="preserve">, </w:t>
      </w:r>
      <w:r w:rsidRPr="00944EB8">
        <w:rPr>
          <w:rFonts w:ascii="Times New Roman" w:hAnsi="Times New Roman" w:cs="Times New Roman"/>
          <w:sz w:val="24"/>
          <w:szCs w:val="24"/>
        </w:rPr>
        <w:t xml:space="preserve">positivism “…strongly emphasises the anti-speculative attitude in both scientific theorising and in philosophy, the ideals of caution, clarity and precision, the preference for scientifically solvable and practically useful problems”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{"citationID":"kGBXXmUg","properties":{"formattedCitation":"(Giedymin, 1975)","plainCitation":"(Giedymin, 1975)","dontUpdate":true,"noteIndex":0},"citationItems":[{"id":697,"uris":["http://zotero.org/users/local/arLofKbg/items/U2IZWW38"],"uri":["http://zotero.org/users/local/arLofKbg/items/U2IZWW38"],"itemData":{"id":697,"type":"article-journal","container-title":"British Journal for the Philosophy of Science","DOI":"10.1093/bjps/26.4.275","issue":"4","note":"publisher: Taylor &amp; Francis","page":"275–301","source":"PhilPapers","title":"Antipositivism in Contemporary Philosophy of Social Science and Humanities","volume":"26","author":[{"family":"Giedymin","given":"Jerzy"}],"issued":{"date-parts":[["1975"]]}}}],"schema":"https://github.com/citation-style-language/schema/raw/master/csl-citation.json"} </w:instrText>
      </w:r>
      <w:r>
        <w:rPr>
          <w:rFonts w:ascii="Times New Roman" w:hAnsi="Times New Roman" w:cs="Times New Roman"/>
          <w:sz w:val="24"/>
          <w:szCs w:val="24"/>
        </w:rPr>
        <w:fldChar w:fldCharType="separate"/>
      </w:r>
      <w:r w:rsidRPr="00935A43">
        <w:rPr>
          <w:rFonts w:ascii="Times New Roman" w:hAnsi="Times New Roman" w:cs="Times New Roman"/>
          <w:sz w:val="24"/>
        </w:rPr>
        <w:t>(Giedymin, 1975</w:t>
      </w:r>
      <w:r>
        <w:rPr>
          <w:rFonts w:ascii="Times New Roman" w:hAnsi="Times New Roman" w:cs="Times New Roman"/>
          <w:sz w:val="24"/>
        </w:rPr>
        <w:t>, p. 277</w:t>
      </w:r>
      <w:r w:rsidRPr="00935A43">
        <w:rPr>
          <w:rFonts w:ascii="Times New Roman" w:hAnsi="Times New Roman" w:cs="Times New Roman"/>
          <w:sz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Positivism is also generally referred to as the scientific method. This is because it is quite prescriptive about how to practice science. Positivists believe that strict adherence to methodological rules results in objective truth</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{"citationID":"Y6eRNi0v","properties":{"formattedCitation":"(\\uc0\\u197{}ge, 2011)","plainCitation":"(Åge, 2011)","noteIndex":0},"citationItems":[{"id":704,"uris":["http://zotero.org/users/local/arLofKbg/items/5YUBNAUB"],"uri":["http://zotero.org/users/local/arLofKbg/items/5YUBNAUB"],"itemData":{"id":704,"type":"article-journal","abstract":"Glaserian grounded theory methodology, which has been widely adopted as a scientific methodology in recent decades, has been variously characterised as \"hermeneutic\" and \"positivist.\" This commentary therefore takes a different approach to characterising grounded theory by undertaking a comprehensive analysis of: (a) the philosophical paradigms of positivism, hermeneutics, and pragmatism; and (b) the general philosophical questions of the aims of science and the issue of choosing a scientific methodology. The commentary then seeks to position grounded theory methodology in terms of these philosophical perspectives. The study concludes that grounded theory methodology contains elements of positivism, hermeneutics, and pragmatism. In coming to this conclusion, the study clarifies the degree to which these three perspectives are found within Glaserian grounded theory methodology.","page":"1599-1615","source":"ResearchGate","title":"Grounded theory Methodology: Positivism, hermeneutics, and pragmatism","title-short":"Grounded theory Methodology","volume":"16","author":[{"family":"Åge","given":"Lars-Johan"}],"issued":{"date-parts":[["2011",11,1]]}}}],"schema":"https://github.com/citation-style-language/schema/raw/master/csl-citation.json"} </w:instrText>
      </w:r>
      <w:r>
        <w:rPr>
          <w:rFonts w:ascii="Times New Roman" w:hAnsi="Times New Roman" w:cs="Times New Roman"/>
          <w:sz w:val="24"/>
          <w:szCs w:val="24"/>
        </w:rPr>
        <w:fldChar w:fldCharType="separate"/>
      </w:r>
      <w:r w:rsidRPr="006A697F">
        <w:rPr>
          <w:rFonts w:ascii="Times New Roman" w:hAnsi="Times New Roman" w:cs="Times New Roman"/>
          <w:sz w:val="24"/>
          <w:szCs w:val="24"/>
        </w:rPr>
        <w:t>(Åge, 2011)</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and that that truth is extrinsic and discoverable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{"citationID":"fUCzXLeu","properties":{"formattedCitation":"(Xinping, 2002)","plainCitation":"(Xinping, 2002)","noteIndex":0},"citationItems":[{"id":706,"uris":["http://zotero.org/users/local/arLofKbg/items/GZJ4WD9L"],"uri":["http://zotero.org/users/local/arLofKbg/items/GZJ4WD9L"],"itemData":{"id":706,"type":"article-journal","container-title":"Chinese Education &amp; Society","DOI":"10.2753/CED1061-1932350239","ISSN":"1061-1932, 1944-7116","issue":"2","journalAbbreviation":"Chinese Education &amp; Society","language":"en","page":"39-46","source":"DOI.org (Crossref)","title":"Interpretivist Research, Positivist Research, and Field Research","URL":"https://www.tandfonline.com/doi/full/10.2753/CED1061-1932350239","volume":"35","author":[{"family":"Xinping","given":"Zhang"}],"accessed":{"date-parts":[["2021",8,15]]},"issued":{"date-parts":[["2002",3]]}}}],"schema":"https://github.com/citation-style-language/schema/raw/master/csl-citation.json"} </w:instrText>
      </w:r>
      <w:r>
        <w:rPr>
          <w:rFonts w:ascii="Times New Roman" w:hAnsi="Times New Roman" w:cs="Times New Roman"/>
          <w:sz w:val="24"/>
          <w:szCs w:val="24"/>
        </w:rPr>
        <w:fldChar w:fldCharType="separate"/>
      </w:r>
      <w:r w:rsidRPr="00544FAB">
        <w:rPr>
          <w:rFonts w:ascii="Times New Roman" w:hAnsi="Times New Roman" w:cs="Times New Roman"/>
          <w:sz w:val="24"/>
        </w:rPr>
        <w:t>(Xinping, 2002)</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Positivism “…advocates identifying the problems, putting forward theoretical hypotheses, and then using methods such as experimentation or investigation to test and verify hypotheses. The basic research process is: problem - hypothesis – proposition – verification - conclusion”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{"citationID":"XIJrdBuu","properties":{"formattedCitation":"(Xinping, 2002)","plainCitation":"(Xinping, 2002)","dontUpdate":true,"noteIndex":0},"citationItems":[{"id":706,"uris":["http://zotero.org/users/local/arLofKbg/items/GZJ4WD9L"],"uri":["http://zotero.org/users/local/arLofKbg/items/GZJ4WD9L"],"itemData":{"id":706,"type":"article-journal","container-title":"Chinese Education &amp; Society","DOI":"10.2753/CED1061-1932350239","ISSN":"1061-1932, 1944-7116","issue":"2","journalAbbreviation":"Chinese Education &amp; Society","language":"en","page":"39-46","source":"DOI.org (Crossref)","title":"Interpretivist Research, Positivist Research, and Field Research","URL":"https://www.tandfonline.com/doi/full/10.2753/CED1061-1932350239","volume":"35","author":[{"family":"Xinping","given":"Zhang"}],"accessed":{"date-parts":[["2021",8,15]]},"issued":{"date-parts":[["2002",3]]}}}],"schema":"https://github.com/citation-style-language/schema/raw/master/csl-citation.json"} </w:instrText>
      </w:r>
      <w:r>
        <w:rPr>
          <w:rFonts w:ascii="Times New Roman" w:hAnsi="Times New Roman" w:cs="Times New Roman"/>
          <w:sz w:val="24"/>
          <w:szCs w:val="24"/>
        </w:rPr>
        <w:fldChar w:fldCharType="separate"/>
      </w:r>
      <w:r w:rsidRPr="00544FAB">
        <w:rPr>
          <w:rFonts w:ascii="Times New Roman" w:hAnsi="Times New Roman" w:cs="Times New Roman"/>
          <w:sz w:val="24"/>
        </w:rPr>
        <w:t>(Xinping, 2002</w:t>
      </w:r>
      <w:r>
        <w:rPr>
          <w:rFonts w:ascii="Times New Roman" w:hAnsi="Times New Roman" w:cs="Times New Roman"/>
          <w:sz w:val="24"/>
        </w:rPr>
        <w:t>, p. 40</w:t>
      </w:r>
      <w:r w:rsidRPr="00544FAB">
        <w:rPr>
          <w:rFonts w:ascii="Times New Roman" w:hAnsi="Times New Roman" w:cs="Times New Roman"/>
          <w:sz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Positivists uphold the notion that this basic proposition or premise applies to all sciences no matter the diversity of the subject matter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{"citationID":"Eub93nxG","properties":{"formattedCitation":"(Giedymin, 1975)","plainCitation":"(Giedymin, 1975)","noteIndex":0},"citationItems":[{"id":697,"uris":["http://zotero.org/users/local/arLofKbg/items/U2IZWW38"],"uri":["http://zotero.org/users/local/arLofKbg/items/U2IZWW38"],"itemData":{"id":697,"type":"article-journal","container-title":"British Journal for the Philosophy of Science","DOI":"10.1093/bjps/26.4.275","issue":"4","note":"publisher: Taylor &amp; Francis","page":"275–301","source":"PhilPapers","title":"Antipositivism in Contemporary Philosophy of Social Science and Humanities","volume":"26","author":[{"family":"Giedymin","given":"Jerzy"}],"issued":{"date-parts":[["1975"]]}}}],"schema":"https://github.com/citation-style-language/schema/raw/master/csl-citation.json"} </w:instrText>
      </w:r>
      <w:r>
        <w:rPr>
          <w:rFonts w:ascii="Times New Roman" w:hAnsi="Times New Roman" w:cs="Times New Roman"/>
          <w:sz w:val="24"/>
          <w:szCs w:val="24"/>
        </w:rPr>
        <w:fldChar w:fldCharType="separate"/>
      </w:r>
      <w:r w:rsidRPr="00935A43">
        <w:rPr>
          <w:rFonts w:ascii="Times New Roman" w:hAnsi="Times New Roman" w:cs="Times New Roman"/>
          <w:sz w:val="24"/>
        </w:rPr>
        <w:t>(Giedymin, 1975)</w:t>
      </w:r>
      <w:r>
        <w:rPr>
          <w:rFonts w:ascii="Times New Roman" w:hAnsi="Times New Roman" w:cs="Times New Roman"/>
          <w:sz w:val="24"/>
          <w:szCs w:val="24"/>
        </w:rPr>
        <w:fldChar w:fldCharType="end"/>
      </w:r>
    </w:p>
    <w:p w:rsidR="001C2CCB" w:rsidRPr="00944EB8" w:rsidRDefault="001C2CCB" w:rsidP="001C2CCB">
      <w:pPr>
        <w:pStyle w:val="ListParagraph"/>
        <w:rPr>
          <w:rFonts w:ascii="Times New Roman" w:hAnsi="Times New Roman" w:cs="Times New Roman"/>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However, some scientists from some disciplines of social sciences and humanities tend to regard positivism as, not only deterministic, and mechanistic, but also to some extent, parochial. As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{"citationID":"S31yQ0iW","properties":{"formattedCitation":"(Giedymin, 1975)","plainCitation":"(Giedymin, 1975)","dontUpdate":true,"noteIndex":0},"citationItems":[{"id":697,"uris":["http://zotero.org/users/local/arLofKbg/items/U2IZWW38"],"uri":["http://zotero.org/users/local/arLofKbg/items/U2IZWW38"],"itemData":{"id":697,"type":"article-journal","container-title":"British Journal for the Philosophy of Science","DOI":"10.1093/bjps/26.4.275","issue":"4","note":"publisher: Taylor &amp; Francis","page":"275–301","source":"PhilPapers","title":"Antipositivism in Contemporary Philosophy of Social Science and Humanities","volume":"26","author":[{"family":"Giedymin","given":"Jerzy"}],"issued":{"date-parts":[["1975"]]}}}],"schema":"https://github.com/citation-style-language/schema/raw/master/csl-citation.json"} </w:instrText>
      </w:r>
      <w:r>
        <w:rPr>
          <w:rFonts w:ascii="Times New Roman" w:hAnsi="Times New Roman" w:cs="Times New Roman"/>
          <w:sz w:val="24"/>
          <w:szCs w:val="24"/>
        </w:rPr>
        <w:fldChar w:fldCharType="separate"/>
      </w:r>
      <w:r w:rsidRPr="00935A43">
        <w:rPr>
          <w:rFonts w:ascii="Times New Roman" w:hAnsi="Times New Roman" w:cs="Times New Roman"/>
          <w:sz w:val="24"/>
        </w:rPr>
        <w:t xml:space="preserve">Giedymin, </w:t>
      </w:r>
      <w:r>
        <w:rPr>
          <w:rFonts w:ascii="Times New Roman" w:hAnsi="Times New Roman" w:cs="Times New Roman"/>
          <w:sz w:val="24"/>
        </w:rPr>
        <w:t>(</w:t>
      </w:r>
      <w:r w:rsidRPr="00935A43">
        <w:rPr>
          <w:rFonts w:ascii="Times New Roman" w:hAnsi="Times New Roman" w:cs="Times New Roman"/>
          <w:sz w:val="24"/>
        </w:rPr>
        <w:t>1975)</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explains, difficulty is experienced in operationalizing cultural phenomena to concepts of a mechanistic nature and for human activities of the nature similar to creative activities, no deterministic laws can be used to predict them.</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Antipositivists on the other hand are empiricists, but those who are opposed to the narrow application of positivisim. As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{"citationID":"hzqSIn7K","properties":{"formattedCitation":"(Giedymin, 1975)","plainCitation":"(Giedymin, 1975)","dontUpdate":true,"noteIndex":0},"citationItems":[{"id":697,"uris":["http://zotero.org/users/local/arLofKbg/items/U2IZWW38"],"uri":["http://zotero.org/users/local/arLofKbg/items/U2IZWW38"],"itemData":{"id":697,"type":"article-journal","container-title":"British Journal for the Philosophy of Science","DOI":"10.1093/bjps/26.4.275","issue":"4","note":"publisher: Taylor &amp; Francis","page":"275–301","source":"PhilPapers","title":"Antipositivism in Contemporary Philosophy of Social Science and Humanities","volume":"26","author":[{"family":"Giedymin","given":"Jerzy"}],"issued":{"date-parts":[["1975"]]}}}],"schema":"https://github.com/citation-style-language/schema/raw/master/csl-citation.json"} </w:instrText>
      </w:r>
      <w:r>
        <w:rPr>
          <w:rFonts w:ascii="Times New Roman" w:hAnsi="Times New Roman" w:cs="Times New Roman"/>
          <w:sz w:val="24"/>
          <w:szCs w:val="24"/>
        </w:rPr>
        <w:fldChar w:fldCharType="separate"/>
      </w:r>
      <w:r w:rsidRPr="00935A43">
        <w:rPr>
          <w:rFonts w:ascii="Times New Roman" w:hAnsi="Times New Roman" w:cs="Times New Roman"/>
          <w:sz w:val="24"/>
        </w:rPr>
        <w:t xml:space="preserve">Giedymin, </w:t>
      </w:r>
      <w:r>
        <w:rPr>
          <w:rFonts w:ascii="Times New Roman" w:hAnsi="Times New Roman" w:cs="Times New Roman"/>
          <w:sz w:val="24"/>
        </w:rPr>
        <w:t>(</w:t>
      </w:r>
      <w:r w:rsidRPr="00935A43">
        <w:rPr>
          <w:rFonts w:ascii="Times New Roman" w:hAnsi="Times New Roman" w:cs="Times New Roman"/>
          <w:sz w:val="24"/>
        </w:rPr>
        <w:t>1975)</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observes that there is more agreement between positivists and antipositivists than there are differences. One major criticism of positivism and quantitative methods is the nomothetic or idiographic disjunction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{"citationID":"e9m3GzDi","properties":{"formattedCitation":"(\\uc0\\u8220{}Guba,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szCs w:val="24"/>
        </w:rPr>
        <w:t>(</w:t>
      </w:r>
      <w:r>
        <w:rPr>
          <w:rFonts w:ascii="Times New Roman" w:hAnsi="Times New Roman" w:cs="Times New Roman"/>
          <w:sz w:val="24"/>
          <w:szCs w:val="24"/>
        </w:rPr>
        <w:t>Guba &amp; Lincoln, 1994</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This refers to the fact that generalization, the objective of positivism, is hardly applicable to the individual cases. This has given rise to scientific interest in alternative paradigms. Thus,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{"citationID":"OmwdSg5V","properties":{"formattedCitation":"(\\uc0\\u8220{}Guba,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szCs w:val="24"/>
        </w:rPr>
        <w:t>Guba &amp; Lincoln, (1994</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write that interest in alternative paradigms was stimulated by a growing dissatisfaction with the patent overemphasis on quantitative methods. This has given rise to the normative paradigms.</w:t>
      </w:r>
    </w:p>
    <w:p w:rsidR="001C2CCB" w:rsidRPr="00944EB8" w:rsidRDefault="001C2CCB" w:rsidP="001C2CCB">
      <w:pPr>
        <w:pStyle w:val="ListParagraph"/>
        <w:rPr>
          <w:rFonts w:ascii="Times New Roman" w:hAnsi="Times New Roman" w:cs="Times New Roman"/>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proponents of the normative paradigms pose the question “…whether scientific problems in the social sciences can be divorced from questions of value”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{"citationID":"2yq2jm44","properties":{"formattedCitation":"(Giedymin, 1975)","plainCitation":"(Giedymin, 1975)","dontUpdate":true,"noteIndex":0},"citationItems":[{"id":697,"uris":["http://zotero.org/users/local/arLofKbg/items/U2IZWW38"],"uri":["http://zotero.org/users/local/arLofKbg/items/U2IZWW38"],"itemData":{"id":697,"type":"article-journal","container-title":"British Journal for the Philosophy of Science","DOI":"10.1093/bjps/26.4.275","issue":"4","note":"publisher: Taylor &amp; Francis","page":"275–301","source":"PhilPapers","title":"Antipositivism in Contemporary Philosophy of Social Science and Humanities","volume":"26","author":[{"family":"Giedymin","given":"Jerzy"}],"issued":{"date-parts":[["1975"]]}}}],"schema":"https://github.com/citation-style-language/schema/raw/master/csl-citation.json"} </w:instrText>
      </w:r>
      <w:r>
        <w:rPr>
          <w:rFonts w:ascii="Times New Roman" w:hAnsi="Times New Roman" w:cs="Times New Roman"/>
          <w:sz w:val="24"/>
          <w:szCs w:val="24"/>
        </w:rPr>
        <w:fldChar w:fldCharType="separate"/>
      </w:r>
      <w:r w:rsidRPr="00935A43">
        <w:rPr>
          <w:rFonts w:ascii="Times New Roman" w:hAnsi="Times New Roman" w:cs="Times New Roman"/>
          <w:sz w:val="24"/>
        </w:rPr>
        <w:t>(Giedymin, 1975</w:t>
      </w:r>
      <w:r>
        <w:rPr>
          <w:rFonts w:ascii="Times New Roman" w:hAnsi="Times New Roman" w:cs="Times New Roman"/>
          <w:sz w:val="24"/>
        </w:rPr>
        <w:t>, p. 288</w:t>
      </w:r>
      <w:r w:rsidRPr="00935A43">
        <w:rPr>
          <w:rFonts w:ascii="Times New Roman" w:hAnsi="Times New Roman" w:cs="Times New Roman"/>
          <w:sz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The most well-articulated normative paradigm is interpretivism. The central </w:t>
      </w:r>
      <w:r w:rsidRPr="00944EB8">
        <w:rPr>
          <w:rFonts w:ascii="Times New Roman" w:hAnsi="Times New Roman" w:cs="Times New Roman"/>
          <w:sz w:val="24"/>
          <w:szCs w:val="24"/>
        </w:rPr>
        <w:lastRenderedPageBreak/>
        <w:t xml:space="preserve">endeavour of the interpretivist paradigm is to understand the subjective world of human experience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{"citationID":"gyU9b1YE","properties":{"formattedCitation":"(\\uc0\\u8220{}Guba,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szCs w:val="24"/>
        </w:rPr>
        <w:t>(</w:t>
      </w:r>
      <w:r>
        <w:rPr>
          <w:rFonts w:ascii="Times New Roman" w:hAnsi="Times New Roman" w:cs="Times New Roman"/>
          <w:sz w:val="24"/>
          <w:szCs w:val="24"/>
        </w:rPr>
        <w:t>Guba &amp; Lincoln, 1994</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This accords with the views of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{"citationID":"x7Q6TdFe","properties":{"formattedCitation":"(\\uc0\\u8220{}Something a Little Out of the Ordinary: Reflections on Becoming an Interpretivist Researcher in Special Education - Dianne L. Ferguson, 1993,\\uc0\\u8221{} n.d.)","plainCitation":"(“Something a Little Out of the Ordinary: Reflections on Becoming an Interpretivist Researcher in Special Education - Dianne L. Ferguson, 1993,” n.d.)","noteIndex":0},"citationItems":[{"id":707,"uris":["http://zotero.org/users/local/arLofKbg/items/JIRQV6QA"],"uri":["http://zotero.org/users/local/arLofKbg/items/JIRQV6QA"],"itemData":{"id":707,"type":"webpage","title":"Something a Little Out of the Ordinary: Reflections on Becoming an Interpretivist Researcher in Special Education - Dianne L. Ferguson, 1993","URL":"https://journals.sagepub.com/doi/10.1177/074193259301400408","accessed":{"date-parts":[["2021",8,15]]}}}],"schema":"https://github.com/citation-style-language/schema/raw/master/csl-citation.json"}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szCs w:val="24"/>
        </w:rPr>
        <w:t>Dianne L. Ferguson, (1993</w:t>
      </w:r>
      <w:r w:rsidRPr="001577B5">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who explained interpretivist paradigm in the following words: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spacing w:before="0"/>
        <w:ind w:left="1020" w:right="510"/>
        <w:jc w:val="both"/>
        <w:rPr>
          <w:rFonts w:ascii="Times New Roman" w:hAnsi="Times New Roman" w:cs="Times New Roman"/>
          <w:sz w:val="24"/>
          <w:szCs w:val="24"/>
        </w:rPr>
      </w:pPr>
      <w:r w:rsidRPr="00944EB8">
        <w:rPr>
          <w:rFonts w:ascii="Times New Roman" w:hAnsi="Times New Roman" w:cs="Times New Roman"/>
          <w:sz w:val="24"/>
          <w:szCs w:val="24"/>
        </w:rPr>
        <w:t>At the risk of oversimplification, interpretivism might be simply characterized as the belief that “facts” are not things out in some objective world waiting to be discovered, but, rather, are the social constructions of humans who apprehend the world through interpretive activity. (p. 36)</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interpretivist paradigm approach attempts to ‘get into the head of the subjects being studied’ so to speak, and to understand and interpret what the subject is thinking or the meaning s/he is making of the context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{"citationID":"9otmjF3k","properties":{"formattedCitation":"(Makombe, 2017)","plainCitation":"(Makombe, 2017)","noteIndex":0},"citationItems":[{"id":667,"uris":["http://zotero.org/users/local/arLofKbg/items/6ZTQDX8G"],"uri":["http://zotero.org/users/local/arLofKbg/items/6ZTQDX8G"],"itemData":{"id":667,"type":"article-journal","container-title":"The Qualitative Report","DOI":"10.46743/2160-3715/2017.3054","ISSN":"1052-0147","issue":"12","page":"3363-3382","title":"An Expose of the Relationship between Paradigm, Method and Design in Research","URL":"https://nsuworks.nova.edu/tqr/vol22/iss12/18","volume":"22","author":[{"family":"Makombe","given":"Godswill"}],"issued":{"date-parts":[["2017",12,25]]}}}],"schema":"https://github.com/citation-style-language/schema/raw/master/csl-citation.json"}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rPr>
        <w:t>(Makombe, 2017)</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w:t>
      </w:r>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other types of normative paradigms are Social Constructivism, also referred to as naturalistic inquiry, and which “…denotes an alternative paradigm whose breakaway assumption is the move from ontological realism to ontological relativism”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{"citationID":"9y89OIbE","properties":{"formattedCitation":"(\\uc0\\u8220{}Guba,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szCs w:val="24"/>
        </w:rPr>
        <w:t>(</w:t>
      </w:r>
      <w:r>
        <w:rPr>
          <w:rFonts w:ascii="Times New Roman" w:hAnsi="Times New Roman" w:cs="Times New Roman"/>
          <w:sz w:val="24"/>
          <w:szCs w:val="24"/>
        </w:rPr>
        <w:t>Guba &amp; Lincoln, 1994, p. 109</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Criticalism (or Critical theory) which includes participatory inquiry, neo-Marxism, materialism and feminism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{"citationID":"yelOTIB0","properties":{"formattedCitation":"(\\uc0\\u8220{}Guba, E. G., &amp; Lincoln, Y. S. (1994). Competing paradigms in qualitative research. In N. K. Denzin &amp; Y. S. Lincoln (Eds.), Handbook of qualitative research (pp. 105-117). London: Sage.,\\uc0\\u8221{} n.d.)","plainCitation":"(“Guba, E. G., &amp; Lincoln, Y. S. (1994). Competing paradigms in qualitative research. In N. K. Denzin &amp; Y. S. Lincoln (Eds.), Handbook of qualitative research (pp. 105-117). London: Sage.,” n.d.)","dontUpdate":true,"noteIndex":0},"citationItems":[{"id":671,"uris":["http://zotero.org/users/local/arLofKbg/items/YRYPYC2N"],"uri":["http://zotero.org/users/local/arLofKbg/items/YRYPYC2N"],"itemData":{"id":671,"type":"article","title":"Guba, E. G., &amp; Lincoln, Y. S. (1994). Competing paradigms in qualitative research. In N. K. Denzin &amp; Y. S. Lincoln (Eds.), Handbook of qualitative research (pp. 105-117). London: Sage.","URL":"https://sedl.org/pubs/pic02/picbib-output.cgi?searchuniqueid=17","accessed":{"date-parts":[["2021",8,15]]}}}],"schema":"https://github.com/citation-style-language/schema/raw/master/csl-citation.json"} </w:instrText>
      </w:r>
      <w:r>
        <w:rPr>
          <w:rFonts w:ascii="Times New Roman" w:hAnsi="Times New Roman" w:cs="Times New Roman"/>
          <w:sz w:val="24"/>
          <w:szCs w:val="24"/>
        </w:rPr>
        <w:fldChar w:fldCharType="separate"/>
      </w:r>
      <w:r w:rsidRPr="005428B6">
        <w:rPr>
          <w:rFonts w:ascii="Times New Roman" w:hAnsi="Times New Roman" w:cs="Times New Roman"/>
          <w:sz w:val="24"/>
          <w:szCs w:val="24"/>
        </w:rPr>
        <w:t>(</w:t>
      </w:r>
      <w:r>
        <w:rPr>
          <w:rFonts w:ascii="Times New Roman" w:hAnsi="Times New Roman" w:cs="Times New Roman"/>
          <w:sz w:val="24"/>
          <w:szCs w:val="24"/>
        </w:rPr>
        <w:t>Guba &amp; Lincoln, 1994</w:t>
      </w:r>
      <w:r w:rsidRPr="005428B6">
        <w:rPr>
          <w:rFonts w:ascii="Times New Roman" w:hAnsi="Times New Roman" w:cs="Times New Roman"/>
          <w:sz w:val="24"/>
          <w:szCs w:val="24"/>
        </w:rPr>
        <w:t>)</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and critical race theory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{"citationID":"4laJgHQT","properties":{"formattedCitation":"(Logan, 2016)","plainCitation":"(Logan, 2016)","noteIndex":0},"citationItems":[{"id":710,"uris":["http://zotero.org/users/local/arLofKbg/items/IYXK55JB"],"uri":["http://zotero.org/users/local/arLofKbg/items/IYXK55JB"],"itemData":{"id":710,"type":"article-journal","abstract":"In response to a series of race-related incidents in the United States in 2014, Starbucks launched the Race Together Initiative, a multifaceted public relations campaign designed to spark a national dialogue on race. The campaign generated a great deal of discussion in the public sphere including some praise and much criticism. This article uses critical race theory as a theoretical lens to analyze the Race Together campaign as well as reactions to it in the news media and on Twitter. The purpose of this article is to use critical race theory to enrich understandings of the Race Together campaign as well as to explore the implications of corporate public relations campaigns that attempt to address sensitive social issues such as race.","container-title":"Public Relations Inquiry","DOI":"10.1177/2046147X15626969","ISSN":"2046-147X","issue":"1","journalAbbreviation":"Public Relations Inquiry","language":"en","note":"publisher: SAGE Publications","page":"93-113","source":"SAGE Journals","title":"The Starbucks Race Together Initiative: Analyzing a public relations campaign with critical race theory","title-short":"The Starbucks Race Together Initiative","URL":"https://doi.org/10.1177/2046147X15626969","volume":"5","author":[{"family":"Logan","given":"Nneka"}],"accessed":{"date-parts":[["2021",8,15]]},"issued":{"date-parts":[["2016",1,1]]}}}],"schema":"https://github.com/citation-style-language/schema/raw/master/csl-citation.json"} </w:instrText>
      </w:r>
      <w:r>
        <w:rPr>
          <w:rFonts w:ascii="Times New Roman" w:hAnsi="Times New Roman" w:cs="Times New Roman"/>
          <w:sz w:val="24"/>
          <w:szCs w:val="24"/>
        </w:rPr>
        <w:fldChar w:fldCharType="separate"/>
      </w:r>
      <w:r w:rsidRPr="00164DB4">
        <w:rPr>
          <w:rFonts w:ascii="Times New Roman" w:hAnsi="Times New Roman" w:cs="Times New Roman"/>
          <w:sz w:val="24"/>
        </w:rPr>
        <w:t>(Logan, 2016)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{"citationID":"PMIfGxId","properties":{"formattedCitation":"(\\uc0\\u8220{}Joel M Modiri,\\uc0\\u8221{} n.d.)","plainCitation":"(“Joel M Modiri,” n.d.)","noteIndex":0},"citationItems":[{"id":708,"uris":["http://zotero.org/users/local/arLofKbg/items/4TJKYMAH"],"uri":["http://zotero.org/users/local/arLofKbg/items/4TJKYMAH"],"itemData":{"id":708,"type":"webpage","abstract":"Associate Professor, Jurisprudence, University of Pretoria‬ - Cited by 154‬‬ - Critical race theory‬ - Jurisprudence‬ - Legal Education‬ - Race and identity‬ - African philosophy and decolonisation‬","title":"Joel M Modiri","URL":"https://scholar.google.co.za/citations?user=Cl28B0wAAAAJ&amp;hl=en","accessed":{"date-parts":[["2021",8,15]]}}}],"schema":"https://github.com/citation-style-language/schema/raw/master/csl-citation.json"} </w:instrText>
      </w:r>
      <w:r>
        <w:rPr>
          <w:rFonts w:ascii="Times New Roman" w:hAnsi="Times New Roman" w:cs="Times New Roman"/>
          <w:sz w:val="24"/>
          <w:szCs w:val="24"/>
        </w:rPr>
        <w:fldChar w:fldCharType="separate"/>
      </w:r>
      <w:r w:rsidRPr="00164DB4">
        <w:rPr>
          <w:rFonts w:ascii="Times New Roman" w:hAnsi="Times New Roman" w:cs="Times New Roman"/>
          <w:sz w:val="24"/>
          <w:szCs w:val="24"/>
        </w:rPr>
        <w:t>(Joel M Modiri,</w:t>
      </w:r>
      <w:r>
        <w:rPr>
          <w:rFonts w:ascii="Times New Roman" w:hAnsi="Times New Roman" w:cs="Times New Roman"/>
          <w:sz w:val="24"/>
          <w:szCs w:val="24"/>
        </w:rPr>
        <w:t xml:space="preserve"> 2012</w:t>
      </w:r>
      <w:r w:rsidRPr="00164DB4">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44EB8">
        <w:rPr>
          <w:rFonts w:ascii="Times New Roman" w:hAnsi="Times New Roman" w:cs="Times New Roman"/>
          <w:sz w:val="24"/>
          <w:szCs w:val="24"/>
        </w:rPr>
        <w:t xml:space="preserve"> among others, and believes that participative research is subjective-objective and self-reflexive; and Pragmatism which is the paradigm that accommodates mixed methods and is therefore applicable to both quantitative and qualitative methods. As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{"citationID":"AdtJcdE2","properties":{"formattedCitation":"(Doyle et al., 2009)","plainCitation":"(Doyle et al., 2009)","noteIndex":0},"citationItems":[{"id":711,"uris":["http://zotero.org/users/local/arLofKbg/items/KGRFZXVE"],"uri":["http://zotero.org/users/local/arLofKbg/items/KGRFZXVE"],"itemData":{"id":711,"type":"article-journal","abstract":"Mixed methods research is viewed as the third methodological movement and as an approach it has much to offer health and social science research. Its emergence was in response to the limitations of the sole use of quantitative or qualitative methods and is now considered by many a legitimate alternative to these two traditions. Purists’ view of the dichotomy between positivist and non-positivist philosophies is prevalent; however, mixed methods afford researchers an opportunity to overcome this ‘false dichotomy’. The philosophical underpinning of pragmatism allows and guides mixed methods researchers to use a variety of approaches to answer research questions that cannot be addressed using a singular method. In particular, healthcare researchers may benefit from the opportunity to use such a dynamic approach to address the complex and multi-faceted research problems often encountered in the health care sector. (PsycINFO Database Record (c) 2019 APA, all rights reserved)","container-title":"Journal of Research in Nursing","DOI":"10.1177/1744987108093962","ISSN":"1744-988X(Electronic),1744-9871(Print)","issue":"2","note":"Place: US\npublisher: Sage Publications","page":"175-185","source":"APA PsycNET","title":"An overview of mixed methods research","volume":"14","author":[{"family":"Doyle","given":"Louise"},{"family":"Brady","given":"Anne-Marie"},{"family":"Byrne","given":"Gobnait"}],"issued":{"date-parts":[["2009"]]}}}],"schema":"https://github.com/citation-style-language/schema/raw/master/csl-citation.json"} </w:instrText>
      </w:r>
      <w:r>
        <w:rPr>
          <w:rFonts w:ascii="Times New Roman" w:hAnsi="Times New Roman" w:cs="Times New Roman"/>
          <w:sz w:val="24"/>
          <w:szCs w:val="24"/>
        </w:rPr>
        <w:fldChar w:fldCharType="separate"/>
      </w:r>
      <w:r w:rsidRPr="00164DB4">
        <w:rPr>
          <w:rFonts w:ascii="Times New Roman" w:hAnsi="Times New Roman" w:cs="Times New Roman"/>
          <w:sz w:val="24"/>
        </w:rPr>
        <w:t xml:space="preserve">Doyle et al., </w:t>
      </w:r>
      <w:r>
        <w:rPr>
          <w:rFonts w:ascii="Times New Roman" w:hAnsi="Times New Roman" w:cs="Times New Roman"/>
          <w:sz w:val="24"/>
        </w:rPr>
        <w:t>(</w:t>
      </w:r>
      <w:r w:rsidRPr="00164DB4">
        <w:rPr>
          <w:rFonts w:ascii="Times New Roman" w:hAnsi="Times New Roman" w:cs="Times New Roman"/>
          <w:sz w:val="24"/>
        </w:rPr>
        <w:t>2009)</w:t>
      </w:r>
      <w:r>
        <w:rPr>
          <w:rFonts w:ascii="Times New Roman" w:hAnsi="Times New Roman" w:cs="Times New Roman"/>
          <w:sz w:val="24"/>
          <w:szCs w:val="24"/>
        </w:rPr>
        <w:fldChar w:fldCharType="end"/>
      </w:r>
      <w:r w:rsidRPr="00944EB8">
        <w:rPr>
          <w:rFonts w:ascii="Times New Roman" w:hAnsi="Times New Roman" w:cs="Times New Roman"/>
          <w:sz w:val="24"/>
          <w:szCs w:val="24"/>
        </w:rPr>
        <w:t xml:space="preserve"> noted, “[t]he philosophical underpinning of pragmatism allows and guides mixed methods researchers to use a variety of approaches to answer research questions that cannot be addressed using a singular method.”</w:t>
      </w:r>
      <w:r>
        <w:t>‬‬‬‬‬‬‬‬</w:t>
      </w:r>
    </w:p>
    <w:p w:rsidR="001C2CCB" w:rsidRPr="00944EB8" w:rsidRDefault="001C2CCB" w:rsidP="001C2CCB">
      <w:pPr>
        <w:pStyle w:val="ListParagraph"/>
        <w:spacing w:before="0" w:line="360" w:lineRule="auto"/>
        <w:ind w:left="450"/>
        <w:jc w:val="both"/>
        <w:rPr>
          <w:rFonts w:ascii="Times New Roman" w:hAnsi="Times New Roman" w:cs="Times New Roman"/>
          <w:sz w:val="24"/>
          <w:szCs w:val="24"/>
        </w:rPr>
      </w:pPr>
    </w:p>
    <w:p w:rsidR="001C2CCB" w:rsidRDefault="001C2CCB" w:rsidP="001C2CCB">
      <w:pPr>
        <w:pStyle w:val="ListParagraph"/>
        <w:numPr>
          <w:ilvl w:val="0"/>
          <w:numId w:val="34"/>
        </w:numPr>
        <w:spacing w:before="0" w:line="360" w:lineRule="auto"/>
        <w:jc w:val="both"/>
        <w:rPr>
          <w:rFonts w:ascii="Times New Roman" w:hAnsi="Times New Roman" w:cs="Times New Roman"/>
          <w:sz w:val="24"/>
          <w:szCs w:val="24"/>
        </w:rPr>
      </w:pPr>
      <w:r w:rsidRPr="00944EB8">
        <w:rPr>
          <w:rFonts w:ascii="Times New Roman" w:hAnsi="Times New Roman" w:cs="Times New Roman"/>
          <w:sz w:val="24"/>
          <w:szCs w:val="24"/>
        </w:rPr>
        <w:t>The paradigm adopted in this research is the interpretivism paradigm. This is because, under the interpretivism paradigm, emphasis is placed on understanding the individual and their interpretation of the world around them</w:t>
      </w:r>
      <w:r>
        <w:rPr>
          <w:rFonts w:ascii="Times New Roman" w:hAnsi="Times New Roman" w:cs="Times New Roman"/>
          <w:sz w:val="24"/>
          <w:szCs w:val="24"/>
        </w:rPr>
        <w:t xml:space="preserve"> and because </w:t>
      </w:r>
      <w:r w:rsidRPr="00944EB8">
        <w:rPr>
          <w:rFonts w:ascii="Times New Roman" w:hAnsi="Times New Roman" w:cs="Times New Roman"/>
          <w:sz w:val="24"/>
          <w:szCs w:val="24"/>
        </w:rPr>
        <w:t xml:space="preserve">the key tenet of the Interpretivist paradigm is that reality is socially constructed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{"citationID":"buEDJUWr","properties":{"formattedCitation":"(Bogdan and Biklen, 1998)","plainCitation":"(Bogdan and Biklen, 1998)","noteIndex":0},"citationItems":[{"id":713,"uris":["http://zotero.org/users/local/arLofKbg/items/BQKSFPBP"],"uri":["http://zotero.org/users/local/arLofKbg/items/BQKSFPBP"],"itemData":{"id":713,"type":"book","call-number":"LB1028 .B56 1998","edition":"3rd ed","event-place":"Boston","ISBN":"978-0-205-27564-9","number-of-pages":"276","publisher":"Allyn and Bacon","publisher-place":"Boston","source":"Library Catalog (Blacklight)","title":"Qualitative research for education: an introduction to theory and methods","title-short":"Qualitative research for education","author":[{"family":"Bogdan","given":"Robert"},{"family":"Biklen","given":"Sari Knopp"}],"issued":{"date-parts":[["1998"]]}}}],"schema":"https://github.com/citation-style-language/schema/raw/master/csl-citation.json"} </w:instrText>
      </w:r>
      <w:r>
        <w:rPr>
          <w:rFonts w:ascii="Times New Roman" w:hAnsi="Times New Roman" w:cs="Times New Roman"/>
          <w:sz w:val="24"/>
          <w:szCs w:val="24"/>
        </w:rPr>
        <w:fldChar w:fldCharType="separate"/>
      </w:r>
      <w:r w:rsidRPr="00B53505">
        <w:rPr>
          <w:rFonts w:ascii="Times New Roman" w:hAnsi="Times New Roman" w:cs="Times New Roman"/>
          <w:sz w:val="24"/>
        </w:rPr>
        <w:t>(Bogdan and Biklen, 1998)</w:t>
      </w:r>
      <w:r>
        <w:rPr>
          <w:rFonts w:ascii="Times New Roman" w:hAnsi="Times New Roman" w:cs="Times New Roman"/>
          <w:sz w:val="24"/>
          <w:szCs w:val="24"/>
        </w:rPr>
        <w:fldChar w:fldCharType="end"/>
      </w:r>
      <w:r>
        <w:rPr>
          <w:rFonts w:ascii="Times New Roman" w:hAnsi="Times New Roman" w:cs="Times New Roman"/>
          <w:sz w:val="24"/>
          <w:szCs w:val="24"/>
        </w:rPr>
        <w:t>. Further, i</w:t>
      </w:r>
      <w:r w:rsidRPr="00944EB8">
        <w:rPr>
          <w:rFonts w:ascii="Times New Roman" w:hAnsi="Times New Roman" w:cs="Times New Roman"/>
          <w:sz w:val="24"/>
          <w:szCs w:val="24"/>
        </w:rPr>
        <w:t>n this paradigm, theory does not precede research but follows it so that it is grounded on the data generated by the research act.</w:t>
      </w:r>
      <w:r>
        <w:rPr>
          <w:rFonts w:ascii="Times New Roman" w:hAnsi="Times New Roman" w:cs="Times New Roman"/>
          <w:sz w:val="24"/>
          <w:szCs w:val="24"/>
        </w:rPr>
        <w:t xml:space="preserve"> Thus, the answer to my research questions will depend largely on the views of the users of the arbitration process in Nigeria.</w:t>
      </w:r>
    </w:p>
    <w:p w:rsidR="001C2CCB" w:rsidRPr="00EA3A7F" w:rsidRDefault="001C2CCB" w:rsidP="001C2CCB">
      <w:pPr>
        <w:pStyle w:val="ListParagraph"/>
        <w:numPr>
          <w:ilvl w:val="0"/>
          <w:numId w:val="34"/>
        </w:numPr>
        <w:spacing w:before="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noted above, while there </w:t>
      </w:r>
      <w:r w:rsidRPr="00944EB8">
        <w:rPr>
          <w:rFonts w:ascii="Times New Roman" w:hAnsi="Times New Roman" w:cs="Times New Roman"/>
          <w:sz w:val="24"/>
          <w:szCs w:val="24"/>
        </w:rPr>
        <w:t>are certainly discussions in existing literature on the concept of judicial interference in the arbitral process</w:t>
      </w:r>
      <w:r>
        <w:rPr>
          <w:rFonts w:ascii="Times New Roman" w:hAnsi="Times New Roman" w:cs="Times New Roman"/>
          <w:sz w:val="24"/>
          <w:szCs w:val="24"/>
        </w:rPr>
        <w:t xml:space="preserve">, there is clearly </w:t>
      </w:r>
      <w:r w:rsidRPr="00944EB8">
        <w:rPr>
          <w:rFonts w:ascii="Times New Roman" w:hAnsi="Times New Roman" w:cs="Times New Roman"/>
          <w:sz w:val="24"/>
          <w:szCs w:val="24"/>
        </w:rPr>
        <w:t xml:space="preserve">a gap on the critical question of the extent to which Nigerian courts intervene or intercede in the arbitral process so as to facilitate rather than inhibit the process. </w:t>
      </w:r>
      <w:r w:rsidRPr="00EA3A7F">
        <w:rPr>
          <w:rFonts w:ascii="Times New Roman" w:hAnsi="Times New Roman" w:cs="Times New Roman"/>
          <w:sz w:val="24"/>
          <w:szCs w:val="24"/>
        </w:rPr>
        <w:t>It is this gap that this research seeks to fill and to this extent, this research will make original contribution to the existing body of works on international commercial arbitration in general and commercial arbitration in Nigeria in particular. Adopting the interpretivism paradigm will enable this research to study the above question from the lens of arbitration users and participants – arbitrators, counsel and parties alike, as well as arbitration teachers, to understand how they comprehend the arbitral process in general and the concept of judicial intervention in the arbitral process in particular. Therefore, the adoption of the interpretivism paradigm</w:t>
      </w:r>
      <w:r>
        <w:rPr>
          <w:rFonts w:ascii="Times New Roman" w:hAnsi="Times New Roman" w:cs="Times New Roman"/>
          <w:sz w:val="24"/>
          <w:szCs w:val="24"/>
        </w:rPr>
        <w:t xml:space="preserve"> is central to the actualisation of the research objectives.</w:t>
      </w:r>
    </w:p>
    <w:p w:rsidR="001C2CCB" w:rsidRPr="00944EB8" w:rsidRDefault="001C2CCB" w:rsidP="001C2CCB">
      <w:pPr>
        <w:pStyle w:val="Heading3"/>
        <w:numPr>
          <w:ilvl w:val="1"/>
          <w:numId w:val="25"/>
        </w:numPr>
      </w:pPr>
      <w:bookmarkStart w:id="40" w:name="_Toc80808253"/>
      <w:r w:rsidRPr="00944EB8">
        <w:t>Research Design</w:t>
      </w:r>
      <w:bookmarkEnd w:id="40"/>
    </w:p>
    <w:p w:rsidR="001C2CCB" w:rsidRPr="00B550F7" w:rsidRDefault="001C2CCB" w:rsidP="001C2CCB">
      <w:pPr>
        <w:pStyle w:val="NormalWeb"/>
        <w:numPr>
          <w:ilvl w:val="0"/>
          <w:numId w:val="34"/>
        </w:numPr>
        <w:spacing w:before="240" w:beforeAutospacing="0" w:after="0" w:afterAutospacing="0" w:line="360" w:lineRule="auto"/>
        <w:jc w:val="both"/>
        <w:rPr>
          <w:color w:val="0E101A"/>
          <w:lang w:val="en-GB"/>
        </w:rPr>
      </w:pPr>
      <w:r>
        <w:rPr>
          <w:color w:val="0E101A"/>
          <w:lang w:val="en-GB"/>
        </w:rPr>
        <w:t xml:space="preserve">In the words of </w:t>
      </w:r>
      <w:r>
        <w:rPr>
          <w:color w:val="0E101A"/>
          <w:lang w:val="en-GB"/>
        </w:rPr>
        <w:fldChar w:fldCharType="begin"/>
      </w:r>
      <w:r>
        <w:rPr>
          <w:color w:val="0E101A"/>
          <w:lang w:val="en-GB"/>
        </w:rPr>
        <w:instrText xml:space="preserve"> ADDIN ZOTERO_ITEM CSL_CITATION {"citationID":"fZS8Pumn","properties":{"formattedCitation":"(Creswell, 2009)","plainCitation":"(Creswell, 2009)","dontUpdate":true,"noteIndex":0},"citationItems":[{"id":716,"uris":["http://zotero.org/users/local/arLofKbg/items/UB4EHS99"],"uri":["http://zotero.org/users/local/arLofKbg/items/UB4EHS99"],"itemData":{"id":716,"type":"chapter","ISBN":"978-1-4129-6557-6","source":"ResearchGate","title":"Research Design: Qualitative, Quantitative, and Mixed-Method Approaches","title-short":"Research Design","author":[{"family":"Creswell","given":"John"}],"issued":{"date-parts":[["2009",1,1]]}}}],"schema":"https://github.com/citation-style-language/schema/raw/master/csl-citation.json"} </w:instrText>
      </w:r>
      <w:r>
        <w:rPr>
          <w:color w:val="0E101A"/>
          <w:lang w:val="en-GB"/>
        </w:rPr>
        <w:fldChar w:fldCharType="separate"/>
      </w:r>
      <w:r>
        <w:t>(Creswell, 2014</w:t>
      </w:r>
      <w:r w:rsidRPr="00B53505">
        <w:t>)</w:t>
      </w:r>
      <w:r>
        <w:rPr>
          <w:color w:val="0E101A"/>
          <w:lang w:val="en-GB"/>
        </w:rPr>
        <w:fldChar w:fldCharType="end"/>
      </w:r>
      <w:r>
        <w:rPr>
          <w:color w:val="0E101A"/>
          <w:lang w:val="en-GB"/>
        </w:rPr>
        <w:t>, t</w:t>
      </w:r>
      <w:r w:rsidRPr="0000072A">
        <w:rPr>
          <w:rFonts w:eastAsia="TimesNewRomanPSMT"/>
        </w:rPr>
        <w:t xml:space="preserve">he researcher not only selects a qualitative, quantitative, or mixed methods study to conduct; </w:t>
      </w:r>
      <w:r>
        <w:rPr>
          <w:rFonts w:eastAsia="TimesNewRomanPSMT"/>
        </w:rPr>
        <w:t xml:space="preserve">he </w:t>
      </w:r>
      <w:r w:rsidRPr="0000072A">
        <w:rPr>
          <w:rFonts w:eastAsia="TimesNewRomanPSMT"/>
        </w:rPr>
        <w:t xml:space="preserve">also decides on a type of study within these three choices. Research designs are types of inquiry within qualitative, quantitative, and mixed methods approaches that provide specific direction for procedures in a research design. </w:t>
      </w:r>
      <w:r>
        <w:rPr>
          <w:rFonts w:eastAsia="TimesNewRomanPSMT"/>
        </w:rPr>
        <w:t xml:space="preserve">Or as </w:t>
      </w:r>
      <w:r>
        <w:rPr>
          <w:rFonts w:eastAsia="TimesNewRomanPSMT"/>
        </w:rPr>
        <w:fldChar w:fldCharType="begin"/>
      </w:r>
      <w:r>
        <w:rPr>
          <w:rFonts w:eastAsia="TimesNewRomanPSMT"/>
        </w:rPr>
        <w:instrText xml:space="preserve"> ADDIN ZOTERO_ITEM CSL_CITATION {"citationID":"VwVR2Khi","properties":{"formattedCitation":"(Denzin and Lincoln, 2017)","plainCitation":"(Denzin and Lincoln, 2017)","noteIndex":0},"citationItems":[{"id":665,"uris":["http://zotero.org/users/local/arLofKbg/items/UVFZTMA3"],"uri":["http://zotero.org/users/local/arLofKbg/items/UVFZTMA3"],"itemData":{"id":665,"type":"book","abstract":"The substantially updated and revised Fifth Edition of The SAGE Handbook of Qualitative Research by editors Norman K. Denzin and Yvonna S. Lincoln presents the state-of-the-art theory and practice of qualitative inquiry. Representing top scholars from around the world, the editors and contributors continue the tradition of synthesizing existing literature, defining the present, and shaping the future of qualitative research. The Fifth Edition contains 19 new chapters, with 16 revised―making it virtually a new volume―while retaining six classic chapters from previous editions. New contributors to this edition include Jamel K. Donnor and Gloria Ladson-Billings; Margaret Kovach; Paula Saukko; Bryant Keith Alexander; Thomas A. Schwandt and Emily F. Gates; Johnny Saldaña; Uwe Flick; Mirka Koro-Ljungberg, Maggie MacLure, and Jasmine Ulmer; Maria Elena Torre, Brett G. Stoudt, Einat Manoff, and Michelle Fine; Jack Bratich; Svend Brinkmann; Eric Margolis and Renu Zunjarwad; Annette N. Markham; Alecia Y. Jackson and Lisa A. Mazzei; Jonathan Wyatt, Ken Gale, Susanne Gannon, and Bronwyn Davies; Janice Morse; Peter Dahler-Larsen; Mark Spooner; and David A. Westbrook.","edition":"Fifth edition","event-place":"Los Angeles London New Delhi Singapore Washington DC Melbourne","ISBN":"978-1-4833-4980-0","language":"English","number-of-pages":"992","publisher":"SAGE Publications, Inc","publisher-place":"Los Angeles London New Delhi Singapore Washington DC Melbourne","source":"Amazon","title":"The SAGE Handbook of Qualitative Research","editor":[{"family":"Denzin","given":"Norman K."},{"family":"Lincoln","given":"Yvonna S."}],"issued":{"date-parts":[["2017",2,15]]}}}],"schema":"https://github.com/citation-style-language/schema/raw/master/csl-citation.json"} </w:instrText>
      </w:r>
      <w:r>
        <w:rPr>
          <w:rFonts w:eastAsia="TimesNewRomanPSMT"/>
        </w:rPr>
        <w:fldChar w:fldCharType="separate"/>
      </w:r>
      <w:r w:rsidRPr="00A323C7">
        <w:rPr>
          <w:rFonts w:eastAsia="TimesNewRomanPSMT"/>
        </w:rPr>
        <w:t xml:space="preserve">Denzin and Lincoln, </w:t>
      </w:r>
      <w:r>
        <w:rPr>
          <w:rFonts w:eastAsia="TimesNewRomanPSMT"/>
        </w:rPr>
        <w:t>(</w:t>
      </w:r>
      <w:r w:rsidRPr="00A323C7">
        <w:rPr>
          <w:rFonts w:eastAsia="TimesNewRomanPSMT"/>
        </w:rPr>
        <w:t>2017)</w:t>
      </w:r>
      <w:r>
        <w:rPr>
          <w:rFonts w:eastAsia="TimesNewRomanPSMT"/>
        </w:rPr>
        <w:fldChar w:fldCharType="end"/>
      </w:r>
      <w:r>
        <w:rPr>
          <w:rFonts w:eastAsia="TimesNewRomanPSMT"/>
        </w:rPr>
        <w:t xml:space="preserve"> put it, they are </w:t>
      </w:r>
      <w:r w:rsidRPr="0000072A">
        <w:rPr>
          <w:rFonts w:eastAsia="TimesNewRomanPSMT"/>
        </w:rPr>
        <w:t xml:space="preserve">strategies of inquiry. </w:t>
      </w:r>
      <w:r>
        <w:rPr>
          <w:rFonts w:eastAsia="TimesNewRomanPSMT"/>
        </w:rPr>
        <w:t xml:space="preserve">As </w:t>
      </w:r>
      <w:r>
        <w:rPr>
          <w:color w:val="0E101A"/>
          <w:lang w:val="en-GB"/>
        </w:rPr>
        <w:fldChar w:fldCharType="begin"/>
      </w:r>
      <w:r>
        <w:rPr>
          <w:color w:val="0E101A"/>
          <w:lang w:val="en-GB"/>
        </w:rPr>
        <w:instrText xml:space="preserve"> ADDIN ZOTERO_ITEM CSL_CITATION {"citationID":"DJ7mloeK","properties":{"formattedCitation":"(Creswell, 2009)","plainCitation":"(Creswell, 2009)","dontUpdate":true,"noteIndex":0},"citationItems":[{"id":716,"uris":["http://zotero.org/users/local/arLofKbg/items/UB4EHS99"],"uri":["http://zotero.org/users/local/arLofKbg/items/UB4EHS99"],"itemData":{"id":716,"type":"chapter","ISBN":"978-1-4129-6557-6","source":"ResearchGate","title":"Research Design: Qualitative, Quantitative, and Mixed-Method Approaches","title-short":"Research Design","author":[{"family":"Creswell","given":"John"}],"issued":{"date-parts":[["2009",1,1]]}}}],"schema":"https://github.com/citation-style-language/schema/raw/master/csl-citation.json"} </w:instrText>
      </w:r>
      <w:r>
        <w:rPr>
          <w:color w:val="0E101A"/>
          <w:lang w:val="en-GB"/>
        </w:rPr>
        <w:fldChar w:fldCharType="separate"/>
      </w:r>
      <w:r>
        <w:t>Creswell, (2014</w:t>
      </w:r>
      <w:r w:rsidRPr="00B53505">
        <w:t>)</w:t>
      </w:r>
      <w:r>
        <w:rPr>
          <w:color w:val="0E101A"/>
          <w:lang w:val="en-GB"/>
        </w:rPr>
        <w:fldChar w:fldCharType="end"/>
      </w:r>
      <w:r w:rsidRPr="0000072A">
        <w:t xml:space="preserve"> perceptively</w:t>
      </w:r>
      <w:r>
        <w:t xml:space="preserve"> observes,</w:t>
      </w:r>
      <w:r w:rsidRPr="0000072A">
        <w:t xml:space="preserve"> the </w:t>
      </w:r>
      <w:r w:rsidRPr="00B550F7">
        <w:rPr>
          <w:rFonts w:eastAsia="TimesNewRomanPSMT"/>
        </w:rPr>
        <w:t>designs available to the researcher have grown over the years as computer technology has advanced our data analysis and ability to analyse complex models and as individuals have articulated new procedures for conducting social science research</w:t>
      </w:r>
      <w:r>
        <w:rPr>
          <w:rFonts w:eastAsia="TimesNewRomanPSMT"/>
        </w:rPr>
        <w:t>.</w:t>
      </w:r>
    </w:p>
    <w:p w:rsidR="001C2CCB" w:rsidRDefault="001C2CCB" w:rsidP="001C2CCB">
      <w:pPr>
        <w:pStyle w:val="NormalWeb"/>
        <w:numPr>
          <w:ilvl w:val="0"/>
          <w:numId w:val="34"/>
        </w:numPr>
        <w:spacing w:before="240" w:beforeAutospacing="0" w:after="0" w:afterAutospacing="0" w:line="360" w:lineRule="auto"/>
        <w:jc w:val="both"/>
        <w:rPr>
          <w:color w:val="0E101A"/>
          <w:lang w:val="en-GB"/>
        </w:rPr>
      </w:pPr>
      <w:r w:rsidRPr="00944EB8">
        <w:rPr>
          <w:color w:val="0E101A"/>
          <w:lang w:val="en-GB"/>
        </w:rPr>
        <w:t xml:space="preserve">The research design puts the research into focus by integrating and harmonising the research objectives to the data collection process, therefore enhancing the synergy, coherency, and logical flow of the research finding </w:t>
      </w:r>
      <w:r>
        <w:rPr>
          <w:color w:val="0E101A"/>
          <w:lang w:val="en-GB"/>
        </w:rPr>
        <w:t>(</w:t>
      </w:r>
      <w:r>
        <w:rPr>
          <w:color w:val="0E101A"/>
          <w:lang w:val="en-GB"/>
        </w:rPr>
        <w:fldChar w:fldCharType="begin"/>
      </w:r>
      <w:r>
        <w:rPr>
          <w:color w:val="0E101A"/>
          <w:lang w:val="en-GB"/>
        </w:rPr>
        <w:instrText xml:space="preserve"> ADDIN ZOTERO_ITEM CSL_CITATION {"citationID":"i97wpGXR","properties":{"formattedCitation":"(Creswell, 2009)","plainCitation":"(Creswell, 2009)","dontUpdate":true,"noteIndex":0},"citationItems":[{"id":716,"uris":["http://zotero.org/users/local/arLofKbg/items/UB4EHS99"],"uri":["http://zotero.org/users/local/arLofKbg/items/UB4EHS99"],"itemData":{"id":716,"type":"chapter","ISBN":"978-1-4129-6557-6","source":"ResearchGate","title":"Research Design: Qualitative, Quantitative, and Mixed-Method Approaches","title-short":"Research Design","author":[{"family":"Creswell","given":"John"}],"issued":{"date-parts":[["2009",1,1]]}}}],"schema":"https://github.com/citation-style-language/schema/raw/master/csl-citation.json"} </w:instrText>
      </w:r>
      <w:r>
        <w:rPr>
          <w:color w:val="0E101A"/>
          <w:lang w:val="en-GB"/>
        </w:rPr>
        <w:fldChar w:fldCharType="separate"/>
      </w:r>
      <w:r>
        <w:t>Creswell, 2014</w:t>
      </w:r>
      <w:r w:rsidRPr="00B53505">
        <w:t>)</w:t>
      </w:r>
      <w:r>
        <w:rPr>
          <w:color w:val="0E101A"/>
          <w:lang w:val="en-GB"/>
        </w:rPr>
        <w:fldChar w:fldCharType="end"/>
      </w:r>
      <w:r w:rsidRPr="00944EB8">
        <w:rPr>
          <w:color w:val="0E101A"/>
          <w:lang w:val="en-GB"/>
        </w:rPr>
        <w:t xml:space="preserve">. </w:t>
      </w:r>
      <w:r>
        <w:rPr>
          <w:color w:val="0E101A"/>
          <w:lang w:val="en-GB"/>
        </w:rPr>
        <w:t xml:space="preserve">In other words, while the world view of the researcher, i.e. the </w:t>
      </w:r>
      <w:r w:rsidRPr="00944EB8">
        <w:rPr>
          <w:color w:val="0E101A"/>
          <w:lang w:val="en-GB"/>
        </w:rPr>
        <w:t>research paradigm</w:t>
      </w:r>
      <w:r>
        <w:rPr>
          <w:color w:val="0E101A"/>
          <w:lang w:val="en-GB"/>
        </w:rPr>
        <w:t xml:space="preserve"> focuses on the </w:t>
      </w:r>
      <w:r>
        <w:rPr>
          <w:lang w:val="en-GB"/>
        </w:rPr>
        <w:t xml:space="preserve">rules or </w:t>
      </w:r>
      <w:r w:rsidRPr="00944EB8">
        <w:rPr>
          <w:lang w:val="en-GB"/>
        </w:rPr>
        <w:t>governing principles that describe the procedures and processes of acquiring knowledge</w:t>
      </w:r>
      <w:r>
        <w:rPr>
          <w:lang w:val="en-GB"/>
        </w:rPr>
        <w:t xml:space="preserve">, </w:t>
      </w:r>
      <w:r w:rsidRPr="00944EB8">
        <w:rPr>
          <w:color w:val="0E101A"/>
          <w:lang w:val="en-GB"/>
        </w:rPr>
        <w:t xml:space="preserve">the research </w:t>
      </w:r>
      <w:r>
        <w:rPr>
          <w:color w:val="0E101A"/>
          <w:lang w:val="en-GB"/>
        </w:rPr>
        <w:t xml:space="preserve">provide the </w:t>
      </w:r>
      <w:r w:rsidRPr="0000072A">
        <w:rPr>
          <w:rFonts w:eastAsia="TimesNewRomanPSMT"/>
        </w:rPr>
        <w:t>approaches that provide specific direction for procedures</w:t>
      </w:r>
      <w:r>
        <w:rPr>
          <w:rFonts w:eastAsia="TimesNewRomanPSMT"/>
        </w:rPr>
        <w:t xml:space="preserve"> to be adopted.</w:t>
      </w:r>
      <w:r>
        <w:rPr>
          <w:color w:val="0E101A"/>
          <w:lang w:val="en-GB"/>
        </w:rPr>
        <w:t xml:space="preserve"> Put differently, </w:t>
      </w:r>
      <w:r w:rsidRPr="00B550F7">
        <w:rPr>
          <w:color w:val="0E101A"/>
          <w:lang w:val="en-GB"/>
        </w:rPr>
        <w:t xml:space="preserve">research design harmonises the paradigm and approach and creates a unified blueprint to answer the research questions and achieve the research objectives </w:t>
      </w:r>
      <w:r>
        <w:rPr>
          <w:color w:val="0E101A"/>
          <w:lang w:val="en-GB"/>
        </w:rPr>
        <w:fldChar w:fldCharType="begin"/>
      </w:r>
      <w:r>
        <w:rPr>
          <w:color w:val="0E101A"/>
          <w:lang w:val="en-GB"/>
        </w:rPr>
        <w:instrText xml:space="preserve"> ADDIN ZOTERO_ITEM CSL_CITATION {"citationID":"AHtwsz3B","properties":{"formattedCitation":"(Grix, 2010)","plainCitation":"(Grix, 2010)","noteIndex":0},"citationItems":[{"id":720,"uris":["http://zotero.org/users/local/arLofKbg/items/E2S84UMJ"],"uri":["http://zotero.org/users/local/arLofKbg/items/E2S84UMJ"],"itemData":{"id":720,"type":"book","edition":"Second edition","event-place":"Basingstoke","ISBN":"978-0-230-24897-7","language":"English","number-of-pages":"224","publisher":"Palgrave Macmillan","publisher-place":"Basingstoke","source":"Amazon","title":"The Foundations of Research","author":[{"family":"Grix","given":"Jonathan"}],"issued":{"date-parts":[["2010",6,15]]}}}],"schema":"https://github.com/citation-style-language/schema/raw/master/csl-citation.json"} </w:instrText>
      </w:r>
      <w:r>
        <w:rPr>
          <w:color w:val="0E101A"/>
          <w:lang w:val="en-GB"/>
        </w:rPr>
        <w:fldChar w:fldCharType="separate"/>
      </w:r>
      <w:r w:rsidRPr="00DC1782">
        <w:t>(Grix, 2010)</w:t>
      </w:r>
      <w:r>
        <w:rPr>
          <w:color w:val="0E101A"/>
          <w:lang w:val="en-GB"/>
        </w:rPr>
        <w:fldChar w:fldCharType="end"/>
      </w:r>
      <w:r w:rsidRPr="00B550F7">
        <w:rPr>
          <w:color w:val="0E101A"/>
          <w:lang w:val="en-GB"/>
        </w:rPr>
        <w:t>.</w:t>
      </w:r>
    </w:p>
    <w:p w:rsidR="001C2CCB" w:rsidRPr="00152432" w:rsidRDefault="001C2CCB" w:rsidP="001C2CCB">
      <w:pPr>
        <w:pStyle w:val="NormalWeb"/>
        <w:numPr>
          <w:ilvl w:val="0"/>
          <w:numId w:val="34"/>
        </w:numPr>
        <w:spacing w:before="240" w:beforeAutospacing="0" w:after="0" w:afterAutospacing="0" w:line="360" w:lineRule="auto"/>
        <w:jc w:val="both"/>
        <w:rPr>
          <w:color w:val="0E101A"/>
          <w:lang w:val="en-GB"/>
        </w:rPr>
      </w:pPr>
      <w:r w:rsidRPr="00152432">
        <w:lastRenderedPageBreak/>
        <w:t xml:space="preserve">This research adopts a non-experimental qualitative research design, specifically the use of structured questionnaires for data collection. </w:t>
      </w:r>
      <w:r w:rsidRPr="00152432">
        <w:rPr>
          <w:rFonts w:eastAsiaTheme="minorHAnsi"/>
        </w:rPr>
        <w:t xml:space="preserve">Survey research </w:t>
      </w:r>
      <w:r w:rsidRPr="00152432">
        <w:rPr>
          <w:rFonts w:eastAsia="TimesNewRomanPSMT"/>
        </w:rPr>
        <w:t>provides a description of trends, attitudes, or opinions of a population by studying a sample of that population. It includes cross-sectional and longitudinal studies using questionnaires or structured interviews for data collection—with the intent of generalizing from a sample to a population</w:t>
      </w:r>
      <w:r>
        <w:rPr>
          <w:rFonts w:eastAsia="TimesNewRomanPSMT"/>
        </w:rPr>
        <w:t xml:space="preserve"> </w:t>
      </w:r>
      <w:r>
        <w:rPr>
          <w:rFonts w:eastAsia="TimesNewRomanPSMT"/>
        </w:rPr>
        <w:fldChar w:fldCharType="begin"/>
      </w:r>
      <w:r>
        <w:rPr>
          <w:rFonts w:eastAsia="TimesNewRomanPSMT"/>
        </w:rPr>
        <w:instrText xml:space="preserve"> ADDIN ZOTERO_ITEM CSL_CITATION {"citationID":"Wm2eunQi","properties":{"formattedCitation":"(Fowler, 2008)","plainCitation":"(Fowler, 2008)","noteIndex":0},"citationItems":[{"id":726,"uris":["http://zotero.org/users/local/arLofKbg/items/FN868Y3B"],"uri":["http://zotero.org/users/local/arLofKbg/items/FN868Y3B"],"itemData":{"id":726,"type":"book","abstract":"No marks, cover shows wear from reading.","edition":"Applied Social Research Methods edition","publisher":"SAGE Publications, Inc","source":"Amazon","title":"By Floyd J. Fowler - Survey Research Methods","author":[{"family":"Fowler","given":"Floyd J."}],"issued":{"date-parts":[["2008",8,26]]}}}],"schema":"https://github.com/citation-style-language/schema/raw/master/csl-citation.json"} </w:instrText>
      </w:r>
      <w:r>
        <w:rPr>
          <w:rFonts w:eastAsia="TimesNewRomanPSMT"/>
        </w:rPr>
        <w:fldChar w:fldCharType="separate"/>
      </w:r>
      <w:r w:rsidRPr="00DC1782">
        <w:rPr>
          <w:rFonts w:eastAsia="TimesNewRomanPSMT"/>
        </w:rPr>
        <w:t>(Fowler, 2008)</w:t>
      </w:r>
      <w:r>
        <w:rPr>
          <w:rFonts w:eastAsia="TimesNewRomanPSMT"/>
        </w:rPr>
        <w:fldChar w:fldCharType="end"/>
      </w:r>
      <w:r w:rsidRPr="00152432">
        <w:rPr>
          <w:rFonts w:eastAsia="TimesNewRomanPSMT"/>
        </w:rPr>
        <w:t>.</w:t>
      </w:r>
    </w:p>
    <w:p w:rsidR="001C2CCB" w:rsidRDefault="001C2CCB" w:rsidP="001C2CCB">
      <w:pPr>
        <w:pStyle w:val="NormalWeb"/>
        <w:numPr>
          <w:ilvl w:val="0"/>
          <w:numId w:val="34"/>
        </w:numPr>
        <w:spacing w:before="240" w:beforeAutospacing="0" w:after="0" w:afterAutospacing="0" w:line="360" w:lineRule="auto"/>
        <w:jc w:val="both"/>
        <w:rPr>
          <w:color w:val="0E101A"/>
          <w:lang w:val="en-GB"/>
        </w:rPr>
      </w:pPr>
      <w:r w:rsidRPr="005A47AA">
        <w:rPr>
          <w:color w:val="0E101A"/>
          <w:lang w:val="en-GB"/>
        </w:rPr>
        <w:t xml:space="preserve">The rationale for the choice of this design is because it provides a relatively wide pool of data thus enabling the researcher to obtain a wide spectrum of views from arbitration users including </w:t>
      </w:r>
      <w:r>
        <w:t>ar</w:t>
      </w:r>
      <w:r w:rsidRPr="00E565D9">
        <w:t>bitrators</w:t>
      </w:r>
      <w:r>
        <w:t>; p</w:t>
      </w:r>
      <w:r w:rsidRPr="00E565D9">
        <w:t>rivate legal practitioners in law firms</w:t>
      </w:r>
      <w:r>
        <w:t xml:space="preserve"> who have appeared as counsel in arbitrations; i</w:t>
      </w:r>
      <w:r w:rsidRPr="00E565D9">
        <w:t xml:space="preserve">n-house </w:t>
      </w:r>
      <w:r>
        <w:t>c</w:t>
      </w:r>
      <w:r w:rsidRPr="00E565D9">
        <w:t xml:space="preserve">ounsel </w:t>
      </w:r>
      <w:r>
        <w:t xml:space="preserve">whose organisations use the arbitral process; </w:t>
      </w:r>
      <w:r w:rsidRPr="00E565D9">
        <w:t xml:space="preserve">and </w:t>
      </w:r>
      <w:r>
        <w:t>law l</w:t>
      </w:r>
      <w:r w:rsidRPr="00E565D9">
        <w:t>ecturers</w:t>
      </w:r>
      <w:r>
        <w:t xml:space="preserve">. This accords with the objectives the research to </w:t>
      </w:r>
      <w:r w:rsidRPr="000B176E">
        <w:t xml:space="preserve">provide a comprehensive analysis of the concept of judicial intervention in the arbitral process </w:t>
      </w:r>
      <w:r>
        <w:t xml:space="preserve">in Nigeria, </w:t>
      </w:r>
      <w:r w:rsidRPr="000B176E">
        <w:t xml:space="preserve">undertake a </w:t>
      </w:r>
      <w:r w:rsidRPr="005A47AA">
        <w:rPr>
          <w:rFonts w:eastAsiaTheme="minorHAnsi"/>
        </w:rPr>
        <w:t>careful analysis of academic writings and important judicial</w:t>
      </w:r>
      <w:r w:rsidRPr="000B176E">
        <w:t xml:space="preserve"> </w:t>
      </w:r>
      <w:r w:rsidRPr="005A47AA">
        <w:rPr>
          <w:rFonts w:eastAsiaTheme="minorHAnsi"/>
        </w:rPr>
        <w:t>decisions</w:t>
      </w:r>
      <w:r w:rsidRPr="000B176E">
        <w:t xml:space="preserve"> on the concept of judicial interference in the arbitral process</w:t>
      </w:r>
      <w:r>
        <w:t xml:space="preserve"> and </w:t>
      </w:r>
      <w:r w:rsidRPr="00944EB8">
        <w:t>proffer</w:t>
      </w:r>
      <w:r>
        <w:t xml:space="preserve"> w</w:t>
      </w:r>
      <w:r w:rsidRPr="00944EB8">
        <w:t xml:space="preserve">orkable recommendations </w:t>
      </w:r>
      <w:r>
        <w:t>on how to enhance the process.</w:t>
      </w:r>
      <w:r w:rsidRPr="005A47AA">
        <w:rPr>
          <w:color w:val="0E101A"/>
          <w:lang w:val="en-GB"/>
        </w:rPr>
        <w:t xml:space="preserve"> A non-experimental qualitative research design specifically the use of semi-structured </w:t>
      </w:r>
      <w:r>
        <w:rPr>
          <w:color w:val="0E101A"/>
          <w:lang w:val="en-GB"/>
        </w:rPr>
        <w:t>questionnaires</w:t>
      </w:r>
      <w:r w:rsidRPr="005A47AA">
        <w:rPr>
          <w:color w:val="0E101A"/>
          <w:lang w:val="en-GB"/>
        </w:rPr>
        <w:t xml:space="preserve"> for data collection, will ensure in-depth and detailed responses by the participants and increased materials for the ultimate analysis in the research.</w:t>
      </w:r>
    </w:p>
    <w:p w:rsidR="001C2CCB" w:rsidRDefault="001C2CCB" w:rsidP="001C2CCB">
      <w:pPr>
        <w:pStyle w:val="Heading3"/>
        <w:numPr>
          <w:ilvl w:val="0"/>
          <w:numId w:val="0"/>
        </w:numPr>
        <w:ind w:left="360"/>
      </w:pPr>
    </w:p>
    <w:p w:rsidR="001C2CCB" w:rsidRPr="00944EB8" w:rsidRDefault="001C2CCB" w:rsidP="001C2CCB">
      <w:pPr>
        <w:pStyle w:val="Heading3"/>
        <w:numPr>
          <w:ilvl w:val="1"/>
          <w:numId w:val="25"/>
        </w:numPr>
      </w:pPr>
      <w:bookmarkStart w:id="41" w:name="_Toc80808254"/>
      <w:r w:rsidRPr="00944EB8">
        <w:t>Sources of Data</w:t>
      </w:r>
      <w:bookmarkEnd w:id="41"/>
    </w:p>
    <w:p w:rsidR="001C2CCB" w:rsidRPr="00E565D9" w:rsidRDefault="001C2CCB" w:rsidP="001C2CCB">
      <w:pPr>
        <w:pStyle w:val="NormalWeb"/>
        <w:numPr>
          <w:ilvl w:val="0"/>
          <w:numId w:val="34"/>
        </w:numPr>
        <w:spacing w:before="240" w:beforeAutospacing="0" w:after="0" w:afterAutospacing="0" w:line="360" w:lineRule="auto"/>
        <w:jc w:val="both"/>
        <w:rPr>
          <w:lang w:val="en-GB"/>
        </w:rPr>
      </w:pPr>
      <w:r w:rsidRPr="00E565D9">
        <w:rPr>
          <w:lang w:val="en-GB"/>
        </w:rPr>
        <w:t>For the purpose of this research, two broad sources of data are employed – the primary sources and the secondary sources. The primary source of data for this research are derived from a total of 3</w:t>
      </w:r>
      <w:r>
        <w:rPr>
          <w:lang w:val="en-GB"/>
        </w:rPr>
        <w:t>2</w:t>
      </w:r>
      <w:r w:rsidRPr="00E565D9">
        <w:rPr>
          <w:lang w:val="en-GB"/>
        </w:rPr>
        <w:t xml:space="preserve"> legal practitioners</w:t>
      </w:r>
      <w:r>
        <w:rPr>
          <w:lang w:val="en-GB"/>
        </w:rPr>
        <w:t xml:space="preserve"> who are all called to the Bar in Nigeria and who have varying degrees of involvement in the arbitral process in Nigeria as </w:t>
      </w:r>
      <w:r>
        <w:t>ar</w:t>
      </w:r>
      <w:r w:rsidRPr="00E565D9">
        <w:t>bitrators</w:t>
      </w:r>
      <w:r>
        <w:t>; p</w:t>
      </w:r>
      <w:r w:rsidRPr="00E565D9">
        <w:t>rivate legal practitioners in law firms</w:t>
      </w:r>
      <w:r>
        <w:t xml:space="preserve"> who have appeared as counsel in arbitrations; i</w:t>
      </w:r>
      <w:r w:rsidRPr="00E565D9">
        <w:t xml:space="preserve">n-house </w:t>
      </w:r>
      <w:r>
        <w:t>c</w:t>
      </w:r>
      <w:r w:rsidRPr="00E565D9">
        <w:t xml:space="preserve">ounsel </w:t>
      </w:r>
      <w:r>
        <w:t xml:space="preserve">whose organisations use the arbitral process; </w:t>
      </w:r>
      <w:r w:rsidRPr="00E565D9">
        <w:t xml:space="preserve">and </w:t>
      </w:r>
      <w:r>
        <w:t>law l</w:t>
      </w:r>
      <w:r w:rsidRPr="00E565D9">
        <w:t>ecturers</w:t>
      </w:r>
      <w:r>
        <w:t>.</w:t>
      </w:r>
      <w:r w:rsidRPr="00E565D9">
        <w:rPr>
          <w:color w:val="0E101A"/>
        </w:rPr>
        <w:t xml:space="preserve"> </w:t>
      </w:r>
    </w:p>
    <w:p w:rsidR="001C2CCB" w:rsidRDefault="001C2CCB" w:rsidP="001C2CCB">
      <w:pPr>
        <w:pStyle w:val="NormalWeb"/>
        <w:numPr>
          <w:ilvl w:val="0"/>
          <w:numId w:val="34"/>
        </w:numPr>
        <w:spacing w:before="240" w:beforeAutospacing="0" w:after="0" w:afterAutospacing="0" w:line="360" w:lineRule="auto"/>
        <w:jc w:val="both"/>
        <w:rPr>
          <w:color w:val="0E101A"/>
          <w:lang w:val="en-GB"/>
        </w:rPr>
      </w:pPr>
      <w:r>
        <w:rPr>
          <w:color w:val="0E101A"/>
          <w:lang w:val="en-GB"/>
        </w:rPr>
        <w:t xml:space="preserve">There is no gainsaying the fact that the collection of first-hand data directly from a broad range of </w:t>
      </w:r>
      <w:r w:rsidRPr="00944EB8">
        <w:rPr>
          <w:color w:val="0E101A"/>
          <w:lang w:val="en-GB"/>
        </w:rPr>
        <w:t>research participants</w:t>
      </w:r>
      <w:r>
        <w:rPr>
          <w:color w:val="0E101A"/>
          <w:lang w:val="en-GB"/>
        </w:rPr>
        <w:t xml:space="preserve"> is </w:t>
      </w:r>
      <w:r w:rsidRPr="00944EB8">
        <w:rPr>
          <w:color w:val="0E101A"/>
          <w:lang w:val="en-GB"/>
        </w:rPr>
        <w:t xml:space="preserve">considered as a more credible source of data because it is a direct reflection of the participants' opinions, experience, and perception, it is also more in-depth, precise, and explanatory </w:t>
      </w:r>
      <w:r>
        <w:rPr>
          <w:color w:val="0E101A"/>
          <w:lang w:val="en-GB"/>
        </w:rPr>
        <w:fldChar w:fldCharType="begin"/>
      </w:r>
      <w:r>
        <w:rPr>
          <w:color w:val="0E101A"/>
          <w:lang w:val="en-GB"/>
        </w:rPr>
        <w:instrText xml:space="preserve"> ADDIN ZOTERO_ITEM CSL_CITATION {"citationID":"wyT6BP2x","properties":{"formattedCitation":"(Miles and Huberman, 1994)","plainCitation":"(Miles and Huberman, 1994)","noteIndex":0},"citationItems":[{"id":728,"uris":["http://zotero.org/users/local/arLofKbg/items/W9WWY5NA"],"uri":["http://zotero.org/users/local/arLofKbg/items/W9WWY5NA"],"itemData":{"id":728,"type":"book","abstract":"The latest edition of this best-selling textbook by Miles and Huberman not only is considerably expanded in content, but is now available in paperback. Bringing the art of qualitative analysis up-to-date, this edition adds hundreds of new techniques, ideas and references developed in the past decade. The increase in the use of computers in qualitative analysis is also reflected in this volume. There is an extensive appendix on criteria to choose from among the currently available analysis packages. Through examples from a host of social science and professional disciplines, Qualitative Data Analysis remains the most comprehensive and complete treatment of this topic currently available to scholars and applied researchers.","ISBN":"978-0-8039-5540-0","language":"en","number-of-pages":"358","publisher":"SAGE","source":"Google Books","title":"Qualitative Data Analysis: An Expanded Sourcebook","title-short":"Qualitative Data Analysis","author":[{"family":"Miles","given":"Matthew B."},{"family":"Huberman","given":"A. Michael"}],"issued":{"date-parts":[["1994",1,12]]}}}],"schema":"https://github.com/citation-style-language/schema/raw/master/csl-citation.json"} </w:instrText>
      </w:r>
      <w:r>
        <w:rPr>
          <w:color w:val="0E101A"/>
          <w:lang w:val="en-GB"/>
        </w:rPr>
        <w:fldChar w:fldCharType="separate"/>
      </w:r>
      <w:r>
        <w:t>(Miles and Huberman, 2013</w:t>
      </w:r>
      <w:r w:rsidRPr="007B24C2">
        <w:t>)</w:t>
      </w:r>
      <w:r>
        <w:rPr>
          <w:color w:val="0E101A"/>
          <w:lang w:val="en-GB"/>
        </w:rPr>
        <w:fldChar w:fldCharType="end"/>
      </w:r>
    </w:p>
    <w:p w:rsidR="001C2CCB" w:rsidRPr="00CC184D" w:rsidRDefault="001C2CCB" w:rsidP="001C2CCB">
      <w:pPr>
        <w:pStyle w:val="NormalWeb"/>
        <w:numPr>
          <w:ilvl w:val="0"/>
          <w:numId w:val="34"/>
        </w:numPr>
        <w:spacing w:before="240" w:beforeAutospacing="0" w:after="0" w:afterAutospacing="0" w:line="360" w:lineRule="auto"/>
        <w:jc w:val="both"/>
        <w:rPr>
          <w:color w:val="0E101A"/>
          <w:lang w:val="en-GB"/>
        </w:rPr>
      </w:pPr>
      <w:r w:rsidRPr="000B176E">
        <w:lastRenderedPageBreak/>
        <w:t xml:space="preserve">In light of the research purpose which include to provide a comprehensive analysis of the concept of judicial intervention in the arbitral process and to undertake a </w:t>
      </w:r>
      <w:r w:rsidRPr="000B176E">
        <w:rPr>
          <w:rFonts w:eastAsiaTheme="minorHAnsi"/>
        </w:rPr>
        <w:t>careful analysis of academic writings and important judicial</w:t>
      </w:r>
      <w:r w:rsidRPr="000B176E">
        <w:t xml:space="preserve"> </w:t>
      </w:r>
      <w:r w:rsidRPr="000B176E">
        <w:rPr>
          <w:rFonts w:eastAsiaTheme="minorHAnsi"/>
        </w:rPr>
        <w:t>decisions</w:t>
      </w:r>
      <w:r w:rsidRPr="000B176E">
        <w:t xml:space="preserve"> on the concept of judicial interference in the arbitral process, the research will employ a doctrinal/literature-based research method drawn from secondary sources of data including the Nigerian arbitration legislation; relevant international arbitration conventions applicable to Nigeria; and judicial/arbitral decisions on the above. </w:t>
      </w:r>
      <w:r>
        <w:t xml:space="preserve">Other </w:t>
      </w:r>
      <w:r w:rsidRPr="000B176E">
        <w:t>secondary sources of data and information are international arbitration law textbooks, journal articles, law reviews and comments, conference papers, and reports of relevant international arbitration institutions.</w:t>
      </w:r>
      <w:r>
        <w:t xml:space="preserve"> These secondary data will be used to support the findings of the primary data.</w:t>
      </w:r>
    </w:p>
    <w:p w:rsidR="001C2CCB" w:rsidRPr="000B176E" w:rsidRDefault="001C2CCB" w:rsidP="001C2CCB">
      <w:pPr>
        <w:pStyle w:val="NormalWeb"/>
        <w:spacing w:before="0" w:beforeAutospacing="0" w:after="0" w:afterAutospacing="0" w:line="360" w:lineRule="auto"/>
        <w:ind w:left="360"/>
        <w:jc w:val="both"/>
        <w:rPr>
          <w:color w:val="0E101A"/>
          <w:lang w:val="en-GB"/>
        </w:rPr>
      </w:pPr>
    </w:p>
    <w:p w:rsidR="001C2CCB" w:rsidRPr="00944EB8" w:rsidRDefault="001C2CCB" w:rsidP="001C2CCB">
      <w:pPr>
        <w:pStyle w:val="Heading3"/>
        <w:numPr>
          <w:ilvl w:val="1"/>
          <w:numId w:val="25"/>
        </w:numPr>
      </w:pPr>
      <w:bookmarkStart w:id="42" w:name="_Toc80808255"/>
      <w:r w:rsidRPr="00944EB8">
        <w:t>Instrument of Data collection</w:t>
      </w:r>
      <w:bookmarkEnd w:id="42"/>
      <w:r w:rsidRPr="00944EB8">
        <w:t> </w:t>
      </w:r>
    </w:p>
    <w:p w:rsidR="001C2CCB" w:rsidRPr="00C24C39" w:rsidRDefault="001C2CCB" w:rsidP="001C2CCB">
      <w:pPr>
        <w:pStyle w:val="NormalWeb"/>
        <w:numPr>
          <w:ilvl w:val="0"/>
          <w:numId w:val="34"/>
        </w:numPr>
        <w:spacing w:before="240" w:beforeAutospacing="0" w:after="0" w:afterAutospacing="0" w:line="360" w:lineRule="auto"/>
        <w:jc w:val="both"/>
        <w:rPr>
          <w:color w:val="0E101A"/>
          <w:lang w:val="en-GB"/>
        </w:rPr>
      </w:pPr>
      <w:r>
        <w:rPr>
          <w:color w:val="0E101A"/>
          <w:lang w:val="en-GB"/>
        </w:rPr>
        <w:t xml:space="preserve">As noted above, the research adopts a non-experimental </w:t>
      </w:r>
      <w:r w:rsidRPr="00944EB8">
        <w:rPr>
          <w:color w:val="0E101A"/>
          <w:lang w:val="en-GB"/>
        </w:rPr>
        <w:t>qua</w:t>
      </w:r>
      <w:r>
        <w:rPr>
          <w:color w:val="0E101A"/>
          <w:lang w:val="en-GB"/>
        </w:rPr>
        <w:t>li</w:t>
      </w:r>
      <w:r w:rsidRPr="00944EB8">
        <w:rPr>
          <w:color w:val="0E101A"/>
          <w:lang w:val="en-GB"/>
        </w:rPr>
        <w:t>tative research design</w:t>
      </w:r>
      <w:r>
        <w:rPr>
          <w:color w:val="0E101A"/>
          <w:lang w:val="en-GB"/>
        </w:rPr>
        <w:t xml:space="preserve">. Accordingly, a survey by way of semi-structured written questionnaires using Google Forms will be the instrument of choice for data collection. </w:t>
      </w:r>
      <w:r w:rsidRPr="009D3CA1">
        <w:t>The semi-structured interview is a qualitative data collection strategy in which the researcher asks informants a series of predetermined but open-ended questions</w:t>
      </w:r>
      <w:r>
        <w:t xml:space="preserve"> while the respondent’s answer is documented and subsequently </w:t>
      </w:r>
      <w:proofErr w:type="spellStart"/>
      <w:r>
        <w:t>analysed</w:t>
      </w:r>
      <w:proofErr w:type="spellEnd"/>
      <w:r w:rsidRPr="009D3CA1">
        <w:t>.</w:t>
      </w:r>
      <w:r>
        <w:t xml:space="preserve"> A major benefit of the </w:t>
      </w:r>
      <w:r w:rsidRPr="009D3CA1">
        <w:t xml:space="preserve">semi-structured </w:t>
      </w:r>
      <w:r>
        <w:rPr>
          <w:color w:val="0E101A"/>
          <w:lang w:val="en-GB"/>
        </w:rPr>
        <w:t>questionnaire format</w:t>
      </w:r>
      <w:r>
        <w:t xml:space="preserve"> and determinant factor behind its adoption as the </w:t>
      </w:r>
      <w:r w:rsidRPr="00C24C39">
        <w:rPr>
          <w:color w:val="0E101A"/>
          <w:lang w:val="en-GB"/>
        </w:rPr>
        <w:t>instrument of choice for data collection for this research is the potential for obtaining in-depth and detailed responses from a wide range of respondents which translates into veritable data for analysis.</w:t>
      </w:r>
    </w:p>
    <w:p w:rsidR="001C2CCB" w:rsidRDefault="001C2CCB" w:rsidP="001C2CCB">
      <w:pPr>
        <w:pStyle w:val="NormalWeb"/>
        <w:numPr>
          <w:ilvl w:val="0"/>
          <w:numId w:val="34"/>
        </w:numPr>
        <w:spacing w:before="240" w:beforeAutospacing="0" w:after="0" w:afterAutospacing="0" w:line="360" w:lineRule="auto"/>
        <w:jc w:val="both"/>
        <w:rPr>
          <w:color w:val="0E101A"/>
          <w:lang w:val="en-GB"/>
        </w:rPr>
      </w:pPr>
      <w:r w:rsidRPr="00014C99">
        <w:rPr>
          <w:color w:val="0E101A"/>
          <w:lang w:val="en-GB"/>
        </w:rPr>
        <w:t xml:space="preserve">The survey questions were drafted bearing in mind the overarching theme and objectives of the research. </w:t>
      </w:r>
      <w:r>
        <w:rPr>
          <w:color w:val="0E101A"/>
          <w:lang w:val="en-GB"/>
        </w:rPr>
        <w:t>A</w:t>
      </w:r>
      <w:r w:rsidRPr="00014C99">
        <w:rPr>
          <w:color w:val="0E101A"/>
          <w:lang w:val="en-GB"/>
        </w:rPr>
        <w:t xml:space="preserve">s illustrated below, the survey questions have been drafted in an open-ended format to allow for sufficient room to enable the respondents express themselves while remaining within the bounds of the question. As advised by </w:t>
      </w:r>
      <w:r>
        <w:rPr>
          <w:color w:val="0E101A"/>
          <w:lang w:val="en-GB"/>
        </w:rPr>
        <w:fldChar w:fldCharType="begin"/>
      </w:r>
      <w:r>
        <w:rPr>
          <w:color w:val="0E101A"/>
          <w:lang w:val="en-GB"/>
        </w:rPr>
        <w:instrText xml:space="preserve"> ADDIN ZOTERO_ITEM CSL_CITATION {"citationID":"C3IJFE3o","properties":{"formattedCitation":"(Paris and Winn, 2013)","plainCitation":"(Paris and Winn, 2013)","noteIndex":0},"citationItems":[{"id":730,"uris":["http://zotero.org/users/local/arLofKbg/items/A5W2U7RZ"],"uri":["http://zotero.org/users/local/arLofKbg/items/A5W2U7RZ"],"itemData":{"id":730,"type":"book","abstract":"What does it mean to conduct research for justice with youth and communities who are marginalized by systems of inequality based on race, ethnicity, sexuality, citizenship status, gender, and other categories of difference? In this collection, editors Django Paris and Maisha Winn have selected essays written by top scholars in education on humanizing approaches to qualitative and ethnographic inquiry with youth and their communities. Vignettes, portraits, narratives, personal and collaborative explorations, photographs, and additional data excerpts bring the findings to life for a better understanding of how to use research for positive social change.","edition":"1st edition","event-place":"Thousand Oaks","ISBN":"978-1-4522-2539-5","language":"English","number-of-pages":"304","publisher":"SAGE Publications, Inc","publisher-place":"Thousand Oaks","source":"Amazon","title":"Humanizing Research: Decolonizing Qualitative Inquiry With Youth and Communities","title-short":"Humanizing Research","editor":[{"family":"Paris","given":"Django"},{"family":"Winn","given":"Maisha T."}],"issued":{"date-parts":[["2013",2,27]]}}}],"schema":"https://github.com/citation-style-language/schema/raw/master/csl-citation.json"} </w:instrText>
      </w:r>
      <w:r>
        <w:rPr>
          <w:color w:val="0E101A"/>
          <w:lang w:val="en-GB"/>
        </w:rPr>
        <w:fldChar w:fldCharType="separate"/>
      </w:r>
      <w:r w:rsidRPr="0060192C">
        <w:t xml:space="preserve">Paris and Winn, </w:t>
      </w:r>
      <w:r>
        <w:t>(</w:t>
      </w:r>
      <w:r w:rsidRPr="0060192C">
        <w:t>2013)</w:t>
      </w:r>
      <w:r>
        <w:rPr>
          <w:color w:val="0E101A"/>
          <w:lang w:val="en-GB"/>
        </w:rPr>
        <w:fldChar w:fldCharType="end"/>
      </w:r>
      <w:r w:rsidRPr="00014C99">
        <w:rPr>
          <w:color w:val="0E101A"/>
          <w:lang w:val="en-GB"/>
        </w:rPr>
        <w:t xml:space="preserve"> the open-ended format also allows for probes, thus leading to better and richer insights.</w:t>
      </w:r>
      <w:r>
        <w:rPr>
          <w:color w:val="0E101A"/>
          <w:lang w:val="en-GB"/>
        </w:rPr>
        <w:t xml:space="preserve"> The adopted tool of choice was also selected to ensure that the data is collected in a scientific and consistent manner and to enhance the accuracy, validity, and reliability of the findings.</w:t>
      </w:r>
      <w:r w:rsidRPr="00C24C39">
        <w:rPr>
          <w:color w:val="0E101A"/>
          <w:lang w:val="en-GB"/>
        </w:rPr>
        <w:t> It is hoped that the respondents will bring their extensive experiences to bear in providing insightful responses to the questions.</w:t>
      </w:r>
    </w:p>
    <w:p w:rsidR="001C2CCB" w:rsidRPr="00944EB8" w:rsidRDefault="001C2CCB" w:rsidP="001C2CCB">
      <w:pPr>
        <w:pStyle w:val="Heading3"/>
        <w:numPr>
          <w:ilvl w:val="1"/>
          <w:numId w:val="25"/>
        </w:numPr>
      </w:pPr>
      <w:bookmarkStart w:id="43" w:name="_Toc80808256"/>
      <w:r w:rsidRPr="00944EB8">
        <w:lastRenderedPageBreak/>
        <w:t>Participant</w:t>
      </w:r>
      <w:r>
        <w:t>s</w:t>
      </w:r>
      <w:r w:rsidRPr="00944EB8">
        <w:t xml:space="preserve"> of the Study</w:t>
      </w:r>
      <w:bookmarkEnd w:id="43"/>
    </w:p>
    <w:p w:rsidR="001C2CCB" w:rsidRPr="00CC184D" w:rsidRDefault="001C2CCB" w:rsidP="001C2CCB">
      <w:pPr>
        <w:pStyle w:val="NormalWeb"/>
        <w:numPr>
          <w:ilvl w:val="0"/>
          <w:numId w:val="34"/>
        </w:numPr>
        <w:spacing w:before="240" w:beforeAutospacing="0" w:after="0" w:afterAutospacing="0" w:line="360" w:lineRule="auto"/>
        <w:jc w:val="both"/>
        <w:rPr>
          <w:color w:val="0E101A"/>
          <w:lang w:val="en-GB"/>
        </w:rPr>
      </w:pPr>
      <w:r>
        <w:rPr>
          <w:color w:val="0E101A"/>
          <w:lang w:val="en-GB"/>
        </w:rPr>
        <w:t xml:space="preserve">In view of the technical nature of the area of the research, the survey was not opened to the public but was instead strategically targeted at legal practitioners who have been called to the Nigerian Bar and who have a working knowledge of the Arbitration and Conciliation Act. Further, the survey was targeted at those who have been </w:t>
      </w:r>
      <w:r>
        <w:t xml:space="preserve">directly involved in </w:t>
      </w:r>
      <w:r w:rsidRPr="00944EB8">
        <w:rPr>
          <w:color w:val="0E101A"/>
          <w:lang w:val="en-GB"/>
        </w:rPr>
        <w:t>Commercial arbitration</w:t>
      </w:r>
      <w:r>
        <w:rPr>
          <w:color w:val="0E101A"/>
          <w:lang w:val="en-GB"/>
        </w:rPr>
        <w:t xml:space="preserve">. For this reason, the questions were carefully crafted to provide the background and qualification of the respondents and by extension the extent of reliability of their responses. In the cases where the respondents do not have sufficient knowledge of the subject their responses are discarded. This also explains why over one hundred respondents were targeted and more than thirty responses were received. The respondents who responded to the survey are all legal practitioners based in Nigeria and among them include those </w:t>
      </w:r>
      <w:r>
        <w:rPr>
          <w:lang w:val="en-GB"/>
        </w:rPr>
        <w:t xml:space="preserve">who have varying degrees of involvement in the arbitral process in Nigeria as </w:t>
      </w:r>
      <w:r>
        <w:t>ar</w:t>
      </w:r>
      <w:r w:rsidRPr="00E565D9">
        <w:t>bitrators</w:t>
      </w:r>
      <w:r>
        <w:t>; p</w:t>
      </w:r>
      <w:r w:rsidRPr="00E565D9">
        <w:t>rivate legal practitioners in law firms</w:t>
      </w:r>
      <w:r>
        <w:t xml:space="preserve"> who have appeared as counsel in arbitrations; i</w:t>
      </w:r>
      <w:r w:rsidRPr="00E565D9">
        <w:t xml:space="preserve">n-house </w:t>
      </w:r>
      <w:r>
        <w:t>c</w:t>
      </w:r>
      <w:r w:rsidRPr="00E565D9">
        <w:t xml:space="preserve">ounsel </w:t>
      </w:r>
      <w:r>
        <w:t xml:space="preserve">whose organisations use the arbitral process; </w:t>
      </w:r>
      <w:r w:rsidRPr="00E565D9">
        <w:t xml:space="preserve">and </w:t>
      </w:r>
      <w:r>
        <w:t>law l</w:t>
      </w:r>
      <w:r w:rsidRPr="00E565D9">
        <w:t>ecturers</w:t>
      </w:r>
      <w:r>
        <w:t>.</w:t>
      </w:r>
    </w:p>
    <w:p w:rsidR="001C2CCB" w:rsidRDefault="001C2CCB" w:rsidP="001C2CCB">
      <w:pPr>
        <w:pStyle w:val="NormalWeb"/>
        <w:spacing w:before="0" w:beforeAutospacing="0" w:after="0" w:afterAutospacing="0" w:line="360" w:lineRule="auto"/>
        <w:ind w:left="450"/>
        <w:jc w:val="both"/>
        <w:rPr>
          <w:color w:val="0E101A"/>
          <w:lang w:val="en-GB"/>
        </w:rPr>
      </w:pPr>
    </w:p>
    <w:p w:rsidR="001C2CCB" w:rsidRPr="00944EB8" w:rsidRDefault="001C2CCB" w:rsidP="001C2CCB">
      <w:pPr>
        <w:pStyle w:val="Heading3"/>
        <w:numPr>
          <w:ilvl w:val="1"/>
          <w:numId w:val="25"/>
        </w:numPr>
      </w:pPr>
      <w:bookmarkStart w:id="44" w:name="_Toc80808257"/>
      <w:r w:rsidRPr="00944EB8">
        <w:t>Ethical Considerations</w:t>
      </w:r>
      <w:bookmarkEnd w:id="44"/>
    </w:p>
    <w:p w:rsidR="001C2CCB" w:rsidRPr="00C26824" w:rsidRDefault="001C2CCB" w:rsidP="001C2CCB">
      <w:pPr>
        <w:pStyle w:val="NormalWeb"/>
        <w:numPr>
          <w:ilvl w:val="0"/>
          <w:numId w:val="34"/>
        </w:numPr>
        <w:spacing w:before="240" w:beforeAutospacing="0" w:after="0" w:afterAutospacing="0" w:line="360" w:lineRule="auto"/>
        <w:jc w:val="both"/>
        <w:rPr>
          <w:color w:val="0E101A"/>
          <w:lang w:val="en-GB"/>
        </w:rPr>
      </w:pPr>
      <w:r w:rsidRPr="00C26824">
        <w:rPr>
          <w:color w:val="0E101A"/>
          <w:lang w:val="en-GB"/>
        </w:rPr>
        <w:t xml:space="preserve">From an axiological perspective, there are a number of critical questions which this research must answer and satisfy to protect the rights of the survey participants. Those questions include </w:t>
      </w:r>
      <w:r>
        <w:rPr>
          <w:color w:val="0E101A"/>
          <w:lang w:val="en-GB"/>
        </w:rPr>
        <w:t xml:space="preserve">what </w:t>
      </w:r>
      <w:r w:rsidRPr="00C26824">
        <w:rPr>
          <w:color w:val="000000"/>
        </w:rPr>
        <w:t>are the moral issues and characteristics that need to be considered? Which cultural,</w:t>
      </w:r>
      <w:r w:rsidRPr="00C26824">
        <w:rPr>
          <w:color w:val="000000"/>
          <w:lang w:val="en-GB"/>
        </w:rPr>
        <w:t xml:space="preserve"> </w:t>
      </w:r>
      <w:r w:rsidRPr="00C26824">
        <w:rPr>
          <w:color w:val="000000"/>
        </w:rPr>
        <w:t xml:space="preserve">intercultural and moral issues arise and how will they </w:t>
      </w:r>
      <w:proofErr w:type="gramStart"/>
      <w:r w:rsidRPr="00C26824">
        <w:rPr>
          <w:color w:val="000000"/>
        </w:rPr>
        <w:t>be</w:t>
      </w:r>
      <w:proofErr w:type="gramEnd"/>
      <w:r w:rsidRPr="00C26824">
        <w:rPr>
          <w:color w:val="000000"/>
        </w:rPr>
        <w:t xml:space="preserve"> addressed? How can the researcher secure the goodwill of participants?</w:t>
      </w:r>
      <w:r w:rsidRPr="00C26824">
        <w:rPr>
          <w:color w:val="000000"/>
          <w:lang w:val="en-GB"/>
        </w:rPr>
        <w:t xml:space="preserve"> </w:t>
      </w:r>
      <w:r w:rsidRPr="00C26824">
        <w:rPr>
          <w:color w:val="000000"/>
        </w:rPr>
        <w:t>How can the research be conducted in a socially just, respectful and peaceful manner? How shall risks or harm be avoided or at least minimised?</w:t>
      </w:r>
      <w:r>
        <w:rPr>
          <w:color w:val="000000"/>
        </w:rPr>
        <w:t xml:space="preserve"> etc.</w:t>
      </w:r>
    </w:p>
    <w:p w:rsidR="001C2CCB" w:rsidRDefault="001C2CCB" w:rsidP="001C2CCB">
      <w:pPr>
        <w:pStyle w:val="NormalWeb"/>
        <w:numPr>
          <w:ilvl w:val="0"/>
          <w:numId w:val="34"/>
        </w:numPr>
        <w:spacing w:before="240" w:beforeAutospacing="0" w:after="0" w:afterAutospacing="0" w:line="360" w:lineRule="auto"/>
        <w:jc w:val="both"/>
        <w:rPr>
          <w:color w:val="0E101A"/>
          <w:lang w:val="en-GB"/>
        </w:rPr>
      </w:pPr>
      <w:r w:rsidRPr="00C26824">
        <w:rPr>
          <w:color w:val="0E101A"/>
          <w:lang w:val="en-GB"/>
        </w:rPr>
        <w:t xml:space="preserve">As highlighted in the questions which are reproduced </w:t>
      </w:r>
      <w:r>
        <w:rPr>
          <w:color w:val="0E101A"/>
          <w:lang w:val="en-GB"/>
        </w:rPr>
        <w:t>at the end of this Chapter</w:t>
      </w:r>
      <w:r w:rsidRPr="00C26824">
        <w:rPr>
          <w:color w:val="0E101A"/>
          <w:lang w:val="en-GB"/>
        </w:rPr>
        <w:t>, just like the principle of party autonomy is the cardinal feature of the international arbitral process, so is the consent of the respondents central to the entire process. The participants were all over the age of 18 years</w:t>
      </w:r>
      <w:r>
        <w:rPr>
          <w:color w:val="0E101A"/>
          <w:lang w:val="en-GB"/>
        </w:rPr>
        <w:t xml:space="preserve"> </w:t>
      </w:r>
      <w:r w:rsidRPr="00C26824">
        <w:rPr>
          <w:color w:val="0E101A"/>
          <w:lang w:val="en-GB"/>
        </w:rPr>
        <w:t xml:space="preserve">and were expressly advised that </w:t>
      </w:r>
      <w:r>
        <w:rPr>
          <w:color w:val="0E101A"/>
          <w:lang w:val="en-GB"/>
        </w:rPr>
        <w:t xml:space="preserve">they can choose </w:t>
      </w:r>
      <w:r w:rsidRPr="00C26824">
        <w:rPr>
          <w:spacing w:val="2"/>
          <w:shd w:val="clear" w:color="auto" w:fill="FFFFFF"/>
        </w:rPr>
        <w:t xml:space="preserve">to terminate </w:t>
      </w:r>
      <w:r>
        <w:rPr>
          <w:spacing w:val="2"/>
          <w:shd w:val="clear" w:color="auto" w:fill="FFFFFF"/>
        </w:rPr>
        <w:t xml:space="preserve">their </w:t>
      </w:r>
      <w:r w:rsidRPr="00C26824">
        <w:rPr>
          <w:spacing w:val="2"/>
          <w:shd w:val="clear" w:color="auto" w:fill="FFFFFF"/>
        </w:rPr>
        <w:t>participation at any time for any reason</w:t>
      </w:r>
      <w:r>
        <w:rPr>
          <w:spacing w:val="2"/>
          <w:shd w:val="clear" w:color="auto" w:fill="FFFFFF"/>
        </w:rPr>
        <w:t>.</w:t>
      </w:r>
      <w:r>
        <w:rPr>
          <w:color w:val="0E101A"/>
          <w:lang w:val="en-GB"/>
        </w:rPr>
        <w:t xml:space="preserve"> </w:t>
      </w:r>
      <w:r w:rsidRPr="00C26824">
        <w:rPr>
          <w:color w:val="0E101A"/>
          <w:lang w:val="en-GB"/>
        </w:rPr>
        <w:t xml:space="preserve">The researcher is also bound by the principle of </w:t>
      </w:r>
      <w:r w:rsidRPr="00C26824">
        <w:rPr>
          <w:color w:val="0E101A"/>
          <w:lang w:val="en-GB"/>
        </w:rPr>
        <w:lastRenderedPageBreak/>
        <w:t>anonymity</w:t>
      </w:r>
      <w:r>
        <w:rPr>
          <w:color w:val="0E101A"/>
          <w:lang w:val="en-GB"/>
        </w:rPr>
        <w:t xml:space="preserve"> </w:t>
      </w:r>
      <w:r w:rsidRPr="00C26824">
        <w:rPr>
          <w:color w:val="0E101A"/>
          <w:lang w:val="en-GB"/>
        </w:rPr>
        <w:t>and will therefore ensure that the names and personal details of the participants will not be revealed.</w:t>
      </w:r>
    </w:p>
    <w:p w:rsidR="001C2CCB" w:rsidRPr="00C26824" w:rsidRDefault="001C2CCB" w:rsidP="001C2CCB">
      <w:pPr>
        <w:pStyle w:val="NormalWeb"/>
        <w:spacing w:before="0" w:beforeAutospacing="0" w:after="0" w:afterAutospacing="0" w:line="276" w:lineRule="auto"/>
        <w:ind w:left="450"/>
        <w:jc w:val="both"/>
        <w:rPr>
          <w:color w:val="0E101A"/>
          <w:lang w:val="en-GB"/>
        </w:rPr>
      </w:pPr>
    </w:p>
    <w:p w:rsidR="001C2CCB" w:rsidRPr="00944EB8" w:rsidRDefault="001C2CCB" w:rsidP="001C2CCB">
      <w:pPr>
        <w:pStyle w:val="Heading3"/>
        <w:numPr>
          <w:ilvl w:val="1"/>
          <w:numId w:val="25"/>
        </w:numPr>
      </w:pPr>
      <w:bookmarkStart w:id="45" w:name="_Toc80808258"/>
      <w:r w:rsidRPr="00944EB8">
        <w:t>Analysis of data</w:t>
      </w:r>
      <w:bookmarkEnd w:id="45"/>
    </w:p>
    <w:p w:rsidR="001C2CCB" w:rsidRPr="0030364F" w:rsidRDefault="001C2CCB" w:rsidP="001C2CCB">
      <w:pPr>
        <w:pStyle w:val="NormalWeb"/>
        <w:numPr>
          <w:ilvl w:val="0"/>
          <w:numId w:val="34"/>
        </w:numPr>
        <w:spacing w:before="240" w:beforeAutospacing="0" w:after="0" w:afterAutospacing="0" w:line="360" w:lineRule="auto"/>
        <w:jc w:val="both"/>
        <w:rPr>
          <w:lang w:val="en-GB"/>
        </w:rPr>
      </w:pPr>
      <w:r w:rsidRPr="0043428A">
        <w:rPr>
          <w:lang w:val="en-GB"/>
        </w:rPr>
        <w:t xml:space="preserve">The data collected from the semi-structured questionnaires will be analysed using the thematic analysis approach. The thematic analysis approach </w:t>
      </w:r>
      <w:r w:rsidRPr="0043428A">
        <w:rPr>
          <w:shd w:val="clear" w:color="auto" w:fill="FFFFFF"/>
        </w:rPr>
        <w:t>is one of the most common forms of analysis within qualitative research. It emphasises identifying, analysing</w:t>
      </w:r>
      <w:r>
        <w:rPr>
          <w:shd w:val="clear" w:color="auto" w:fill="FFFFFF"/>
        </w:rPr>
        <w:t xml:space="preserve">, </w:t>
      </w:r>
      <w:r w:rsidRPr="0043428A">
        <w:rPr>
          <w:shd w:val="clear" w:color="auto" w:fill="FFFFFF"/>
        </w:rPr>
        <w:t>and interpreting patterns of meaning within qualitative data.</w:t>
      </w:r>
      <w:r>
        <w:rPr>
          <w:lang w:val="en-GB"/>
        </w:rPr>
        <w:t xml:space="preserve"> </w:t>
      </w:r>
      <w:r w:rsidRPr="0043428A">
        <w:rPr>
          <w:color w:val="202124"/>
          <w:shd w:val="clear" w:color="auto" w:fill="FFFFFF"/>
        </w:rPr>
        <w:t>It is usually applied to a set of texts, such as interview transcripts</w:t>
      </w:r>
      <w:r>
        <w:rPr>
          <w:color w:val="202124"/>
          <w:shd w:val="clear" w:color="auto" w:fill="FFFFFF"/>
        </w:rPr>
        <w:t xml:space="preserve">, or in this case, responses to the </w:t>
      </w:r>
      <w:r w:rsidRPr="0043428A">
        <w:rPr>
          <w:lang w:val="en-GB"/>
        </w:rPr>
        <w:t>semi-structured questionnaires</w:t>
      </w:r>
      <w:r w:rsidRPr="0043428A">
        <w:rPr>
          <w:color w:val="202124"/>
          <w:shd w:val="clear" w:color="auto" w:fill="FFFFFF"/>
        </w:rPr>
        <w:t xml:space="preserve">. The </w:t>
      </w:r>
      <w:r>
        <w:rPr>
          <w:color w:val="202124"/>
          <w:shd w:val="clear" w:color="auto" w:fill="FFFFFF"/>
        </w:rPr>
        <w:t xml:space="preserve">data analysis involves a close examination of the received </w:t>
      </w:r>
      <w:r w:rsidRPr="0043428A">
        <w:rPr>
          <w:color w:val="202124"/>
          <w:shd w:val="clear" w:color="auto" w:fill="FFFFFF"/>
        </w:rPr>
        <w:t xml:space="preserve">data to identify common themes </w:t>
      </w:r>
      <w:r>
        <w:rPr>
          <w:color w:val="202124"/>
          <w:shd w:val="clear" w:color="auto" w:fill="FFFFFF"/>
        </w:rPr>
        <w:t xml:space="preserve">such as </w:t>
      </w:r>
      <w:r w:rsidRPr="0043428A">
        <w:rPr>
          <w:color w:val="202124"/>
          <w:shd w:val="clear" w:color="auto" w:fill="FFFFFF"/>
        </w:rPr>
        <w:t>topics, ideas and patterns of meaning</w:t>
      </w:r>
      <w:r>
        <w:rPr>
          <w:color w:val="202124"/>
          <w:shd w:val="clear" w:color="auto" w:fill="FFFFFF"/>
        </w:rPr>
        <w:t xml:space="preserve">. According to </w:t>
      </w:r>
      <w:r>
        <w:rPr>
          <w:color w:val="0E101A"/>
          <w:lang w:val="en-GB"/>
        </w:rPr>
        <w:fldChar w:fldCharType="begin"/>
      </w:r>
      <w:r>
        <w:rPr>
          <w:color w:val="0E101A"/>
          <w:lang w:val="en-GB"/>
        </w:rPr>
        <w:instrText xml:space="preserve"> ADDIN ZOTERO_ITEM CSL_CITATION {"citationID":"C3IJFE3o","properties":{"formattedCitation":"(Paris and Winn, 2013)","plainCitation":"(Paris and Winn, 2013)","noteIndex":0},"citationItems":[{"id":730,"uris":["http://zotero.org/users/local/arLofKbg/items/A5W2U7RZ"],"uri":["http://zotero.org/users/local/arLofKbg/items/A5W2U7RZ"],"itemData":{"id":730,"type":"book","abstract":"What does it mean to conduct research for justice with youth and communities who are marginalized by systems of inequality based on race, ethnicity, sexuality, citizenship status, gender, and other categories of difference? In this collection, editors Django Paris and Maisha Winn have selected essays written by top scholars in education on humanizing approaches to qualitative and ethnographic inquiry with youth and their communities. Vignettes, portraits, narratives, personal and collaborative explorations, photographs, and additional data excerpts bring the findings to life for a better understanding of how to use research for positive social change.","edition":"1st edition","event-place":"Thousand Oaks","ISBN":"978-1-4522-2539-5","language":"English","number-of-pages":"304","publisher":"SAGE Publications, Inc","publisher-place":"Thousand Oaks","source":"Amazon","title":"Humanizing Research: Decolonizing Qualitative Inquiry With Youth and Communities","title-short":"Humanizing Research","editor":[{"family":"Paris","given":"Django"},{"family":"Winn","given":"Maisha T."}],"issued":{"date-parts":[["2013",2,27]]}}}],"schema":"https://github.com/citation-style-language/schema/raw/master/csl-citation.json"} </w:instrText>
      </w:r>
      <w:r>
        <w:rPr>
          <w:color w:val="0E101A"/>
          <w:lang w:val="en-GB"/>
        </w:rPr>
        <w:fldChar w:fldCharType="separate"/>
      </w:r>
      <w:r w:rsidRPr="0060192C">
        <w:t xml:space="preserve">Paris and Winn, </w:t>
      </w:r>
      <w:r>
        <w:t>(</w:t>
      </w:r>
      <w:r w:rsidRPr="0060192C">
        <w:t>2013)</w:t>
      </w:r>
      <w:r>
        <w:rPr>
          <w:color w:val="0E101A"/>
          <w:lang w:val="en-GB"/>
        </w:rPr>
        <w:fldChar w:fldCharType="end"/>
      </w:r>
      <w:r>
        <w:rPr>
          <w:color w:val="0E101A"/>
          <w:lang w:val="en-GB"/>
        </w:rPr>
        <w:t xml:space="preserve">, the </w:t>
      </w:r>
      <w:r w:rsidRPr="00944EB8">
        <w:rPr>
          <w:color w:val="0E101A"/>
          <w:lang w:val="en-GB"/>
        </w:rPr>
        <w:t>method for thematic analysis</w:t>
      </w:r>
      <w:r>
        <w:rPr>
          <w:color w:val="0E101A"/>
          <w:lang w:val="en-GB"/>
        </w:rPr>
        <w:t xml:space="preserve"> include:</w:t>
      </w:r>
      <w:r>
        <w:rPr>
          <w:lang w:val="en-GB"/>
        </w:rPr>
        <w:t xml:space="preserve"> the t</w:t>
      </w:r>
      <w:r w:rsidRPr="0043428A">
        <w:rPr>
          <w:color w:val="0E101A"/>
          <w:lang w:val="en-GB"/>
        </w:rPr>
        <w:t>ranscription of responses to the questionnaires</w:t>
      </w:r>
      <w:r>
        <w:rPr>
          <w:color w:val="0E101A"/>
          <w:lang w:val="en-GB"/>
        </w:rPr>
        <w:t xml:space="preserve">; coding </w:t>
      </w:r>
      <w:r w:rsidRPr="0043428A">
        <w:rPr>
          <w:color w:val="0E101A"/>
          <w:lang w:val="en-GB"/>
        </w:rPr>
        <w:t>of data</w:t>
      </w:r>
      <w:r>
        <w:rPr>
          <w:color w:val="0E101A"/>
          <w:lang w:val="en-GB"/>
        </w:rPr>
        <w:t xml:space="preserve">; </w:t>
      </w:r>
      <w:r>
        <w:rPr>
          <w:color w:val="202124"/>
          <w:shd w:val="clear" w:color="auto" w:fill="FFFFFF"/>
        </w:rPr>
        <w:t xml:space="preserve">a close examination of the </w:t>
      </w:r>
      <w:r w:rsidRPr="0043428A">
        <w:rPr>
          <w:color w:val="202124"/>
          <w:shd w:val="clear" w:color="auto" w:fill="FFFFFF"/>
        </w:rPr>
        <w:t>data to identify common themes</w:t>
      </w:r>
      <w:r>
        <w:rPr>
          <w:color w:val="202124"/>
          <w:shd w:val="clear" w:color="auto" w:fill="FFFFFF"/>
        </w:rPr>
        <w:t>; development of the themes; synthesisation of the themes with secondary literature and the discussion of the findings.</w:t>
      </w:r>
    </w:p>
    <w:p w:rsidR="001C2CCB" w:rsidRPr="0043428A" w:rsidRDefault="001C2CCB" w:rsidP="001C2CCB">
      <w:pPr>
        <w:pStyle w:val="NormalWeb"/>
        <w:spacing w:before="240" w:beforeAutospacing="0" w:after="0" w:afterAutospacing="0" w:line="360" w:lineRule="auto"/>
        <w:ind w:left="450"/>
        <w:jc w:val="both"/>
        <w:rPr>
          <w:lang w:val="en-GB"/>
        </w:rPr>
      </w:pPr>
    </w:p>
    <w:p w:rsidR="001C2CCB" w:rsidRPr="00944EB8" w:rsidRDefault="001C2CCB" w:rsidP="001C2CCB">
      <w:pPr>
        <w:pStyle w:val="Heading3"/>
        <w:numPr>
          <w:ilvl w:val="1"/>
          <w:numId w:val="25"/>
        </w:numPr>
      </w:pPr>
      <w:bookmarkStart w:id="46" w:name="_Toc80808259"/>
      <w:r w:rsidRPr="00944EB8">
        <w:t>Conclusion</w:t>
      </w:r>
      <w:bookmarkEnd w:id="46"/>
    </w:p>
    <w:p w:rsidR="001C2CCB" w:rsidRPr="00944EB8" w:rsidRDefault="001C2CCB" w:rsidP="001C2CCB">
      <w:pPr>
        <w:pStyle w:val="NormalWeb"/>
        <w:numPr>
          <w:ilvl w:val="0"/>
          <w:numId w:val="34"/>
        </w:numPr>
        <w:spacing w:before="240" w:beforeAutospacing="0" w:after="0" w:afterAutospacing="0" w:line="360" w:lineRule="auto"/>
        <w:jc w:val="both"/>
        <w:rPr>
          <w:lang w:val="en-GB"/>
        </w:rPr>
      </w:pPr>
      <w:r w:rsidRPr="00944EB8">
        <w:rPr>
          <w:lang w:val="en-GB"/>
        </w:rPr>
        <w:t xml:space="preserve">The aim of the research methodology adopted is to ensure that the outcome of the study is verifiable and accepted as an original contribution to the body of knowledge. It is hoped that that the outcome of the study will lend credence to the central thesis of this research that </w:t>
      </w:r>
      <w:r w:rsidRPr="00944EB8">
        <w:t>the principle of judicial non-interference in international arbitral proceedings is the central pillar of contemporary international arbitration; while Nigerian courts are doing the best they can to provide institutional support to the arbitral process within the limits of their remit under the Arbitration and Conciliation Act, a lot still needs to be done to ensure the actualisation of the Nigerian arbitration policy of not only making Nigeria arbitration friendly, but also that Nigeria becomes a veritable arbitration hub in the sub-Saharan Africa region.</w:t>
      </w:r>
      <w:r w:rsidRPr="00944EB8">
        <w:rPr>
          <w:lang w:val="en-GB"/>
        </w:rPr>
        <w:t xml:space="preserve"> On the strength of the findings of the research, recommendations will be proffered.</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lang w:val="en-US"/>
        </w:rPr>
      </w:pPr>
    </w:p>
    <w:p w:rsidR="001C2CCB" w:rsidRDefault="001C2CCB" w:rsidP="001C2CCB">
      <w:pPr>
        <w:spacing w:before="0"/>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rsidR="001C2CCB" w:rsidRPr="00944EB8" w:rsidRDefault="001C2CCB" w:rsidP="001C2CCB">
      <w:pPr>
        <w:pStyle w:val="ListParagraph"/>
        <w:spacing w:before="0" w:after="0" w:line="360" w:lineRule="auto"/>
        <w:ind w:left="450"/>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Arbitration Questionnaire</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lang w:val="en-US"/>
        </w:rPr>
      </w:pPr>
    </w:p>
    <w:p w:rsidR="001C2CCB" w:rsidRDefault="001C2CCB" w:rsidP="001C2CCB">
      <w:pPr>
        <w:pStyle w:val="ListParagraph"/>
        <w:spacing w:before="0" w:after="0" w:line="360" w:lineRule="auto"/>
        <w:ind w:left="450"/>
        <w:jc w:val="both"/>
        <w:rPr>
          <w:rFonts w:ascii="Times New Roman" w:hAnsi="Times New Roman" w:cs="Times New Roman"/>
          <w:spacing w:val="2"/>
          <w:sz w:val="24"/>
          <w:szCs w:val="24"/>
          <w:shd w:val="clear" w:color="auto" w:fill="FFFFFF"/>
        </w:rPr>
      </w:pPr>
      <w:r w:rsidRPr="00944EB8">
        <w:rPr>
          <w:rFonts w:ascii="Times New Roman" w:hAnsi="Times New Roman" w:cs="Times New Roman"/>
          <w:spacing w:val="2"/>
          <w:sz w:val="24"/>
          <w:szCs w:val="24"/>
          <w:shd w:val="clear" w:color="auto" w:fill="FFFFFF"/>
        </w:rPr>
        <w:t xml:space="preserve">My name is Emeka Emmanson Okoroafor. I am a student of Griffith College in Dublin Ireland. I am interested in understanding the role of national courts in the arbitral process using Nigeria as a case study. For this study, you will be presented with information relevant to the role of national courts in the arbitral process in Nigeria. Then, you will be asked to answer some questions about it. Your responses will be kept completely confidential. The study should take you around 5 minutes to complete. You will receive incentives for your participation. Your participation in this research is voluntary. You have the right to withdraw at any point during the study. The Principal Investigator of this study can be contacted at </w:t>
      </w:r>
      <w:hyperlink r:id="rId12" w:history="1">
        <w:r w:rsidRPr="00944EB8">
          <w:rPr>
            <w:rStyle w:val="Hyperlink"/>
            <w:rFonts w:ascii="Times New Roman" w:hAnsi="Times New Roman" w:cs="Times New Roman"/>
            <w:color w:val="auto"/>
            <w:spacing w:val="2"/>
            <w:sz w:val="24"/>
            <w:szCs w:val="24"/>
            <w:shd w:val="clear" w:color="auto" w:fill="FFFFFF"/>
          </w:rPr>
          <w:t>emekaemmanson.okoroafor@student.griffith</w:t>
        </w:r>
      </w:hyperlink>
      <w:r w:rsidRPr="00944EB8">
        <w:rPr>
          <w:rFonts w:ascii="Times New Roman" w:hAnsi="Times New Roman" w:cs="Times New Roman"/>
          <w:spacing w:val="2"/>
          <w:sz w:val="24"/>
          <w:szCs w:val="24"/>
          <w:shd w:val="clear" w:color="auto" w:fill="FFFFFF"/>
        </w:rPr>
        <w:t xml:space="preserve"> i.e. by clicking the button below, you acknowledge: Your participation in the study is voluntary. You are 18 years of age. You are aware that you may choose to terminate your participation at any time for any reason.</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lang w:val="en-US"/>
        </w:rPr>
      </w:pPr>
    </w:p>
    <w:p w:rsidR="001C2CCB" w:rsidRPr="00944EB8" w:rsidRDefault="001C2CCB" w:rsidP="001C2CCB">
      <w:pPr>
        <w:pStyle w:val="Heading3"/>
        <w:numPr>
          <w:ilvl w:val="2"/>
          <w:numId w:val="25"/>
        </w:numPr>
        <w:jc w:val="center"/>
      </w:pPr>
      <w:bookmarkStart w:id="47" w:name="_Toc80808260"/>
      <w:r>
        <w:t>Interview</w:t>
      </w:r>
      <w:r w:rsidRPr="00944EB8">
        <w:t xml:space="preserve"> Questions</w:t>
      </w:r>
      <w:bookmarkEnd w:id="47"/>
    </w:p>
    <w:p w:rsidR="001C2CCB" w:rsidRPr="00944EB8" w:rsidRDefault="001C2CCB" w:rsidP="001C2CCB">
      <w:pPr>
        <w:spacing w:after="0"/>
        <w:ind w:left="720" w:hanging="360"/>
        <w:rPr>
          <w:rFonts w:ascii="Times New Roman" w:hAnsi="Times New Roman" w:cs="Times New Roman"/>
          <w:sz w:val="22"/>
          <w:szCs w:val="22"/>
        </w:rPr>
      </w:pP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is your name?</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When were you called to the Nigerian Bar?</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Did you study commercial arbitration in University?</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On a scale of 1-10, how conversant are you with the provisions of the Nigerian Arbitration and Conciliation Act?</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bookmarkStart w:id="48" w:name="_Hlk46145620"/>
      <w:r w:rsidRPr="00944EB8">
        <w:rPr>
          <w:rFonts w:ascii="Times New Roman" w:hAnsi="Times New Roman" w:cs="Times New Roman"/>
          <w:sz w:val="24"/>
          <w:szCs w:val="24"/>
        </w:rPr>
        <w:t>Have you been directly involved in a commercial arbitration case before? If yes, how many?</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was the nature of your direct involvement in commercial arbitration?</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Do you believe in the concept of party autonomy and why?</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In your experience, do you agree that the Nigerian judicial system is arbitration friendly and why?</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In what ways do Nigerian courts support arbitration?</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In what ways do Nigerian courts inhibit the arbitral system?</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What is the most positive thing you have experienced in a Nigerian court in relation to the arbitral process?</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is the most negative thing you have experienced in a Nigerian court in relation to the arbitral process?</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In your opinion, should the courts be involved in the appointment or removal of arbitrators and why do you think so?</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is the one thing that you expect Nigerian courts to do better to support the arbitral process?</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On a scale of 1-10, how do you rate the Nigerian Arbitration and Conciliation Act in terms of its contributions to the actualisation of the principle of judicial non-intervention?</w:t>
      </w:r>
    </w:p>
    <w:p w:rsidR="001C2CCB" w:rsidRPr="00944EB8"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is the singular most important provision of the Nigerian Arbitration and Conciliation Act that you think should be amended to facilitate the arbitral process in Nigeria?</w:t>
      </w:r>
    </w:p>
    <w:p w:rsidR="001C2CCB" w:rsidRPr="00EB4966" w:rsidRDefault="001C2CCB" w:rsidP="001C2CCB">
      <w:pPr>
        <w:pStyle w:val="ListParagraph"/>
        <w:numPr>
          <w:ilvl w:val="0"/>
          <w:numId w:val="27"/>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What general suggestions do you have for the improvement of the arbitral system in Nigeria?</w:t>
      </w:r>
      <w:bookmarkEnd w:id="48"/>
    </w:p>
    <w:p w:rsidR="001C2CCB" w:rsidRPr="00944EB8" w:rsidRDefault="001C2CCB" w:rsidP="001C2CCB">
      <w:pPr>
        <w:pStyle w:val="ListParagraph"/>
        <w:spacing w:before="0" w:after="0"/>
        <w:ind w:left="360"/>
        <w:rPr>
          <w:rFonts w:ascii="Times New Roman" w:hAnsi="Times New Roman" w:cs="Times New Roman"/>
        </w:rPr>
      </w:pPr>
    </w:p>
    <w:p w:rsidR="001C2CCB" w:rsidRPr="00944EB8" w:rsidRDefault="001C2CCB" w:rsidP="001C2CCB">
      <w:pPr>
        <w:spacing w:before="0"/>
        <w:rPr>
          <w:rFonts w:ascii="Times New Roman" w:eastAsiaTheme="majorEastAsia" w:hAnsi="Times New Roman" w:cs="Times New Roman"/>
          <w:b/>
          <w:bCs/>
          <w:sz w:val="24"/>
          <w:szCs w:val="28"/>
          <w:lang w:val="en-GB"/>
        </w:rPr>
      </w:pPr>
      <w:r w:rsidRPr="00944EB8">
        <w:rPr>
          <w:rFonts w:ascii="Times New Roman" w:hAnsi="Times New Roman" w:cs="Times New Roman"/>
        </w:rPr>
        <w:br w:type="page"/>
      </w:r>
    </w:p>
    <w:p w:rsidR="001C2CCB" w:rsidRPr="00944EB8" w:rsidRDefault="001C2CCB" w:rsidP="001C2CCB">
      <w:pPr>
        <w:pStyle w:val="Heading1"/>
        <w:numPr>
          <w:ilvl w:val="0"/>
          <w:numId w:val="26"/>
        </w:numPr>
        <w:spacing w:before="0"/>
        <w:jc w:val="center"/>
        <w:rPr>
          <w:rFonts w:cs="Times New Roman"/>
          <w:color w:val="auto"/>
        </w:rPr>
      </w:pPr>
      <w:bookmarkStart w:id="49" w:name="_Toc80808261"/>
      <w:r w:rsidRPr="00944EB8">
        <w:rPr>
          <w:rFonts w:cs="Times New Roman"/>
          <w:color w:val="auto"/>
        </w:rPr>
        <w:lastRenderedPageBreak/>
        <w:t>CHAPTER FOUR</w:t>
      </w:r>
      <w:bookmarkEnd w:id="49"/>
    </w:p>
    <w:p w:rsidR="001C2CCB" w:rsidRPr="00944EB8" w:rsidRDefault="001C2CCB" w:rsidP="001C2CCB">
      <w:pPr>
        <w:pStyle w:val="Heading1"/>
        <w:numPr>
          <w:ilvl w:val="0"/>
          <w:numId w:val="0"/>
        </w:numPr>
        <w:spacing w:before="0"/>
        <w:jc w:val="center"/>
        <w:rPr>
          <w:rFonts w:eastAsiaTheme="minorHAnsi" w:cs="Times New Roman"/>
          <w:color w:val="auto"/>
          <w:lang w:val="en-US"/>
        </w:rPr>
      </w:pPr>
    </w:p>
    <w:p w:rsidR="001C2CCB" w:rsidRDefault="001C2CCB" w:rsidP="001C2CCB">
      <w:pPr>
        <w:pStyle w:val="Heading1"/>
        <w:numPr>
          <w:ilvl w:val="0"/>
          <w:numId w:val="0"/>
        </w:numPr>
        <w:spacing w:before="0"/>
        <w:jc w:val="center"/>
        <w:rPr>
          <w:rFonts w:eastAsiaTheme="minorHAnsi" w:cs="Times New Roman"/>
          <w:color w:val="auto"/>
          <w:lang w:val="en-US"/>
        </w:rPr>
      </w:pPr>
      <w:bookmarkStart w:id="50" w:name="_Toc80808262"/>
      <w:r>
        <w:rPr>
          <w:rFonts w:eastAsiaTheme="minorHAnsi" w:cs="Times New Roman"/>
          <w:color w:val="auto"/>
          <w:lang w:val="en-US"/>
        </w:rPr>
        <w:t>PRESENTATION AND DISCUSSION OF THE FINDINGS</w:t>
      </w:r>
      <w:bookmarkEnd w:id="50"/>
    </w:p>
    <w:p w:rsidR="001C2CCB" w:rsidRDefault="001C2CCB" w:rsidP="001C2CCB">
      <w:pPr>
        <w:pStyle w:val="Heading1"/>
        <w:numPr>
          <w:ilvl w:val="0"/>
          <w:numId w:val="0"/>
        </w:numPr>
        <w:spacing w:before="0"/>
        <w:jc w:val="center"/>
        <w:rPr>
          <w:rFonts w:eastAsiaTheme="minorHAnsi" w:cs="Times New Roman"/>
          <w:color w:val="auto"/>
          <w:lang w:val="en-US"/>
        </w:rPr>
      </w:pPr>
    </w:p>
    <w:p w:rsidR="001C2CCB" w:rsidRPr="00944EB8" w:rsidRDefault="001C2CCB" w:rsidP="001C2CCB">
      <w:pPr>
        <w:pStyle w:val="Heading2"/>
        <w:numPr>
          <w:ilvl w:val="1"/>
          <w:numId w:val="26"/>
        </w:numPr>
        <w:tabs>
          <w:tab w:val="num" w:pos="360"/>
        </w:tabs>
        <w:spacing w:before="0"/>
        <w:ind w:left="576" w:hanging="576"/>
        <w:rPr>
          <w:rFonts w:cs="Times New Roman"/>
          <w:color w:val="auto"/>
        </w:rPr>
      </w:pPr>
      <w:bookmarkStart w:id="51" w:name="_Toc80808263"/>
      <w:r w:rsidRPr="00944EB8">
        <w:rPr>
          <w:rFonts w:cs="Times New Roman"/>
          <w:color w:val="auto"/>
        </w:rPr>
        <w:t>Overview</w:t>
      </w:r>
      <w:bookmarkEnd w:id="51"/>
    </w:p>
    <w:p w:rsidR="001C2CCB" w:rsidRPr="00944EB8" w:rsidRDefault="001C2CCB" w:rsidP="001C2CCB">
      <w:pPr>
        <w:pStyle w:val="Heading2"/>
        <w:numPr>
          <w:ilvl w:val="0"/>
          <w:numId w:val="0"/>
        </w:numPr>
        <w:spacing w:before="0"/>
        <w:ind w:left="900"/>
        <w:rPr>
          <w:rFonts w:cs="Times New Roman"/>
          <w:color w:val="auto"/>
        </w:rPr>
      </w:pPr>
    </w:p>
    <w:p w:rsidR="001C2CCB"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D22460">
        <w:rPr>
          <w:rFonts w:ascii="Times New Roman" w:hAnsi="Times New Roman" w:cs="Times New Roman"/>
          <w:sz w:val="24"/>
          <w:szCs w:val="24"/>
        </w:rPr>
        <w:t xml:space="preserve">The first two chapters of this research have outlined the position that one of the overriding principles of commercial arbitration is that of judicial non-interference in the conduct of arbitral proceedings, especially international arbitration, to ensure that an arbitration can proceed as envisaged by the parties’ agreement without the delays, second-guessing and other problems associated with the interlocutory judicial review of procedural decisions, </w:t>
      </w:r>
      <w:r w:rsidRPr="00D22460">
        <w:rPr>
          <w:rFonts w:ascii="Times New Roman" w:hAnsi="Times New Roman" w:cs="Times New Roman"/>
          <w:sz w:val="24"/>
          <w:szCs w:val="24"/>
        </w:rPr>
        <w:fldChar w:fldCharType="begin"/>
      </w:r>
      <w:r w:rsidRPr="00D22460">
        <w:rPr>
          <w:rFonts w:ascii="Times New Roman" w:hAnsi="Times New Roman" w:cs="Times New Roman"/>
          <w:sz w:val="24"/>
          <w:szCs w:val="24"/>
        </w:rPr>
        <w:instrText xml:space="preserve"> ADDIN ZOTERO_ITEM CSL_CITATION {"citationID":"2taSwNM5","properties":{"formattedCitation":"(Gary Born author, 2014)","plainCitation":"(Gary Born author, 2014)","noteIndex":0},"citationItems":[{"id":573,"uris":["http://zotero.org/users/local/arLofKbg/items/WFW6Q8AX"],"uri":["http://zotero.org/users/local/arLofKbg/items/WFW6Q8AX"],"itemData":{"id":573,"type":"book","abstract":"Contents: v. 1. International arbitration agreements -- v. 2. International arbitral procedures -- v. 3. International arbitral awards.","call-number":"YC.2014.a.14204, YC.2014.a.14203, YC.2014.a.14205","edition":"Second edition","event-place":"Alphen aan den Rijn, The Netherlands","ISBN":"978-90-411-5219-0","language":"eng","publisher":"Wolters Kluwer, Law &amp; Business, 2014","publisher-place":"Alphen aan den Rijn, The Netherlands","source":"explore.bl.uk","title":"International commercial arbitration / Gary B. Born.","author":[{"literal":"Gary Born author"}],"issued":{"date-parts":[["2014"]]}}}],"schema":"https://github.com/citation-style-language/schema/raw/master/csl-citation.json"} </w:instrText>
      </w:r>
      <w:r w:rsidRPr="00D22460">
        <w:rPr>
          <w:rFonts w:ascii="Times New Roman" w:hAnsi="Times New Roman" w:cs="Times New Roman"/>
          <w:sz w:val="24"/>
          <w:szCs w:val="24"/>
        </w:rPr>
        <w:fldChar w:fldCharType="separate"/>
      </w:r>
      <w:r w:rsidRPr="00D22460">
        <w:rPr>
          <w:rFonts w:ascii="Times New Roman" w:hAnsi="Times New Roman" w:cs="Times New Roman"/>
          <w:sz w:val="24"/>
          <w:szCs w:val="24"/>
        </w:rPr>
        <w:t>(Gary Born author, 2014)</w:t>
      </w:r>
      <w:r w:rsidRPr="00D22460">
        <w:rPr>
          <w:rFonts w:ascii="Times New Roman" w:hAnsi="Times New Roman" w:cs="Times New Roman"/>
          <w:sz w:val="24"/>
          <w:szCs w:val="24"/>
        </w:rPr>
        <w:fldChar w:fldCharType="end"/>
      </w:r>
      <w:r w:rsidRPr="00D22460">
        <w:rPr>
          <w:rFonts w:ascii="Times New Roman" w:hAnsi="Times New Roman" w:cs="Times New Roman"/>
          <w:sz w:val="24"/>
          <w:szCs w:val="24"/>
        </w:rPr>
        <w:t xml:space="preserve">. The third chapter outlined the research methodology adopted. As noted in that chapter, this research adopts a non-experimental qualitative research design, specifically the use of structured questionnaires for data collection. </w:t>
      </w:r>
    </w:p>
    <w:p w:rsidR="001C2CCB"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D22460"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D22460">
        <w:rPr>
          <w:rFonts w:ascii="Times New Roman" w:hAnsi="Times New Roman" w:cs="Times New Roman"/>
          <w:sz w:val="24"/>
          <w:szCs w:val="24"/>
        </w:rPr>
        <w:t xml:space="preserve">Two broad sources of data are employed – the primary sources and the secondary sources. The primary source of data for this research are derived from a total of 32 legal practitioners who are all called to the Bar in Nigeria and who have varying degrees of involvement in the arbitral process in Nigeria as arbitrators; private legal practitioners in law firms who have appeared as counsel in arbitrations; in-house counsel whose organisations use the arbitral process; and law lecturers. This chapter </w:t>
      </w:r>
      <w:r w:rsidRPr="00D22460">
        <w:rPr>
          <w:rFonts w:ascii="Times New Roman" w:eastAsiaTheme="minorHAnsi" w:hAnsi="Times New Roman" w:cs="Times New Roman"/>
          <w:sz w:val="24"/>
          <w:szCs w:val="24"/>
          <w:lang w:val="en-US"/>
        </w:rPr>
        <w:t>presents the data gathered, the analysis undertaken, and the information obtained from it.</w:t>
      </w:r>
    </w:p>
    <w:p w:rsidR="001C2CCB" w:rsidRPr="00D22460" w:rsidRDefault="001C2CCB" w:rsidP="001C2CCB">
      <w:pPr>
        <w:pStyle w:val="ListParagraph"/>
        <w:rPr>
          <w:rFonts w:ascii="Times New Roman" w:hAnsi="Times New Roman" w:cs="Times New Roman"/>
          <w:sz w:val="24"/>
          <w:szCs w:val="24"/>
        </w:rPr>
      </w:pPr>
    </w:p>
    <w:p w:rsidR="001C2CCB"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qualitative approach to the presentation and findings entailed an in-depth analysis of the responses to the </w:t>
      </w:r>
      <w:r w:rsidRPr="00D22460">
        <w:rPr>
          <w:rFonts w:ascii="Times New Roman" w:hAnsi="Times New Roman" w:cs="Times New Roman"/>
          <w:sz w:val="24"/>
          <w:szCs w:val="24"/>
        </w:rPr>
        <w:t>structured questionnaires</w:t>
      </w:r>
      <w:r>
        <w:rPr>
          <w:rFonts w:ascii="Times New Roman" w:hAnsi="Times New Roman" w:cs="Times New Roman"/>
          <w:sz w:val="24"/>
          <w:szCs w:val="24"/>
        </w:rPr>
        <w:t xml:space="preserve"> derived from the </w:t>
      </w:r>
      <w:r w:rsidRPr="00D22460">
        <w:rPr>
          <w:rFonts w:ascii="Times New Roman" w:hAnsi="Times New Roman" w:cs="Times New Roman"/>
          <w:sz w:val="24"/>
          <w:szCs w:val="24"/>
        </w:rPr>
        <w:t>32</w:t>
      </w:r>
      <w:r>
        <w:rPr>
          <w:rFonts w:ascii="Times New Roman" w:hAnsi="Times New Roman" w:cs="Times New Roman"/>
          <w:sz w:val="24"/>
          <w:szCs w:val="24"/>
        </w:rPr>
        <w:t xml:space="preserve"> respondents. As also stated in the previous chapter, the interview was conducted using Google Forms to extract detailed responses from the participants. Upon receipt of the responses, I automatically harvested them using the Google Forms in order to draw a link between the conceptual framework and the fundamental questions which the research set out to answer, to wit:</w:t>
      </w:r>
    </w:p>
    <w:p w:rsidR="001C2CCB" w:rsidRPr="00CA4881"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t>What is the overall attitude of Nigerian courts to the question of party autonomy and the necessity or otherwise of judicial intervention in the arbitral process?</w:t>
      </w:r>
    </w:p>
    <w:p w:rsidR="001C2CCB"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lastRenderedPageBreak/>
        <w:t>What are the relevant provisions of the Nigerian Arbitration and Conciliation Act relating to the question of judicial intervention in the arbitral process?</w:t>
      </w:r>
    </w:p>
    <w:p w:rsidR="001C2CCB" w:rsidRPr="00944EB8" w:rsidRDefault="001C2CCB" w:rsidP="001C2CCB">
      <w:pPr>
        <w:pStyle w:val="ListParagraph"/>
        <w:spacing w:before="0" w:after="0" w:line="360" w:lineRule="auto"/>
        <w:ind w:left="1080"/>
        <w:jc w:val="both"/>
        <w:rPr>
          <w:rFonts w:ascii="Times New Roman" w:hAnsi="Times New Roman" w:cs="Times New Roman"/>
          <w:sz w:val="24"/>
          <w:szCs w:val="24"/>
        </w:rPr>
      </w:pPr>
    </w:p>
    <w:p w:rsidR="001C2CCB" w:rsidRPr="00944EB8" w:rsidRDefault="001C2CCB" w:rsidP="001C2CCB">
      <w:pPr>
        <w:pStyle w:val="ListParagraph"/>
        <w:numPr>
          <w:ilvl w:val="0"/>
          <w:numId w:val="2"/>
        </w:numPr>
        <w:spacing w:before="0" w:after="0" w:line="360" w:lineRule="auto"/>
        <w:ind w:left="1080"/>
        <w:jc w:val="both"/>
        <w:rPr>
          <w:rFonts w:ascii="Times New Roman" w:hAnsi="Times New Roman" w:cs="Times New Roman"/>
          <w:sz w:val="24"/>
          <w:szCs w:val="24"/>
        </w:rPr>
      </w:pPr>
      <w:r w:rsidRPr="00944EB8">
        <w:rPr>
          <w:rFonts w:ascii="Times New Roman" w:hAnsi="Times New Roman" w:cs="Times New Roman"/>
          <w:sz w:val="24"/>
          <w:szCs w:val="24"/>
        </w:rPr>
        <w:t>To what extent is the current Nigerian arbitration legal framework a barrier to the observance of the doctrine of non-intervention of national courts in the arbitral process and what are the prospects for reform?</w:t>
      </w:r>
    </w:p>
    <w:p w:rsidR="001C2CCB" w:rsidRPr="00D22460"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CF6B0C"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F868DC">
        <w:rPr>
          <w:rFonts w:ascii="Times New Roman" w:hAnsi="Times New Roman" w:cs="Times New Roman"/>
          <w:sz w:val="24"/>
          <w:szCs w:val="24"/>
        </w:rPr>
        <w:t xml:space="preserve">Using the same format adopted for the literature review which sets the conceptual framework for the research, this Chapter 4 elaborates on the empirical findings from the responses to the </w:t>
      </w:r>
      <w:r w:rsidRPr="00F868DC">
        <w:rPr>
          <w:rFonts w:ascii="Times New Roman" w:hAnsi="Times New Roman" w:cs="Times New Roman"/>
          <w:color w:val="0E101A"/>
          <w:sz w:val="24"/>
          <w:szCs w:val="24"/>
        </w:rPr>
        <w:t xml:space="preserve">semi-structured questionnaires to </w:t>
      </w:r>
      <w:r w:rsidRPr="00F868DC">
        <w:rPr>
          <w:rFonts w:ascii="Times New Roman" w:hAnsi="Times New Roman" w:cs="Times New Roman"/>
          <w:sz w:val="24"/>
          <w:szCs w:val="24"/>
        </w:rPr>
        <w:t xml:space="preserve">highlight instances of judicial intervention at different stages of the arbitral process, to wit: before arbitration, during arbitration proceedings proper and at the post award stage and ultimately reveals the true extent to which national courts in Nigeria have intervened or interceded in the arbitral process to determine whether, beyond the rhetoric they have facilitated or inhibited the process. The responses align with the central thesis of this research which is to the effect that there is a necessity for the limited intervention of national courts in the arbitral process in a way that facilitates rather than inhibits the process, </w:t>
      </w:r>
      <w:r w:rsidRPr="00F868DC">
        <w:rPr>
          <w:rFonts w:ascii="Times New Roman" w:hAnsi="Times New Roman" w:cs="Times New Roman"/>
          <w:sz w:val="24"/>
          <w:szCs w:val="24"/>
        </w:rPr>
        <w:fldChar w:fldCharType="begin"/>
      </w:r>
      <w:r w:rsidRPr="00F868DC">
        <w:rPr>
          <w:rFonts w:ascii="Times New Roman" w:hAnsi="Times New Roman" w:cs="Times New Roman"/>
          <w:sz w:val="24"/>
          <w:szCs w:val="24"/>
        </w:rPr>
        <w:instrText xml:space="preserve"> ADDIN ZOTERO_ITEM CSL_CITATION {"citationID":"RaAnV3aE","properties":{"formattedCitation":"(Bamigboye, 2015)","plainCitation":"(Bamigboye, 2015)","noteIndex":0},"citationItems":[{"id":618,"uris":["http://zotero.org/users/local/arLofKbg/items/6YMWH2RI"],"uri":["http://zotero.org/users/local/arLofKbg/items/6YMWH2RI"],"itemData":{"id":618,"type":"report","abstract":"Most people are of the opinion that dispute resolution by litigation in court is time consuming and money consuming whereas arbitration may speed the resolution and lower the expenses of disputes. However to ensure the integrity of the arbitral process and protect the public interest, the courts must support and supervise that process. On the other hand, to prevent the confidence of users of the arbitral system from being damaged, the level of judicial control should not be too high. The debate in commercial arbitration is what scale of judicial intervention should be allowed. While it is argued that arbitration must be free from courts, in order to be effective, it is also accepted that arbitration needs the support of national courts to be effective. This paper focuses on the effect and challenges currently facing this relationship in Nigeria. It proceeds to strike a balance between the competing interests of the courts and the arbitral process and makes recommendations in order to maintain the essential nature of commercial arbitration.","event-place":"Rochester, NY","genre":"SSRN Scholarly Paper","language":"en","note":"DOI: 10.2139/ssrn.2858812","number":"ID 2858812","publisher":"Social Science Research Network","publisher-place":"Rochester, NY","source":"papers.ssrn.com","title":"Does National Court Involvement Undermine the Arbitration Processes?","URL":"https://papers.ssrn.com/abstract=2858812","author":[{"family":"Bamigboye","given":"Mike"}],"accessed":{"date-parts":[["2021",4,22]]},"issued":{"date-parts":[["2015",2,29]]}}}],"schema":"https://github.com/citation-style-language/schema/raw/master/csl-citation.json"} </w:instrText>
      </w:r>
      <w:r w:rsidRPr="00F868DC">
        <w:rPr>
          <w:rFonts w:ascii="Times New Roman" w:hAnsi="Times New Roman" w:cs="Times New Roman"/>
          <w:sz w:val="24"/>
          <w:szCs w:val="24"/>
        </w:rPr>
        <w:fldChar w:fldCharType="separate"/>
      </w:r>
      <w:r w:rsidRPr="00F868DC">
        <w:rPr>
          <w:rFonts w:ascii="Times New Roman" w:hAnsi="Times New Roman" w:cs="Times New Roman"/>
          <w:sz w:val="24"/>
        </w:rPr>
        <w:t>(Bamigboye, 2015)</w:t>
      </w:r>
      <w:r w:rsidRPr="00F868DC">
        <w:rPr>
          <w:rFonts w:ascii="Times New Roman" w:hAnsi="Times New Roman" w:cs="Times New Roman"/>
          <w:sz w:val="24"/>
          <w:szCs w:val="24"/>
        </w:rPr>
        <w:fldChar w:fldCharType="end"/>
      </w:r>
      <w:r w:rsidRPr="00F868DC">
        <w:rPr>
          <w:rFonts w:ascii="Times New Roman" w:hAnsi="Times New Roman" w:cs="Times New Roman"/>
          <w:sz w:val="24"/>
          <w:szCs w:val="24"/>
        </w:rPr>
        <w:t xml:space="preserve">. </w:t>
      </w:r>
      <w:r w:rsidRPr="00CF6B0C">
        <w:rPr>
          <w:rFonts w:ascii="Times New Roman" w:hAnsi="Times New Roman" w:cs="Times New Roman"/>
          <w:sz w:val="24"/>
          <w:szCs w:val="24"/>
        </w:rPr>
        <w:t>This chapter shall now present the findings having regard to the research objective which is to interrogate the correct extent to which national courts can, under applicable law, intervene or intercede in the arbitral process so as to facilitate rather than inhibit the process.</w:t>
      </w:r>
    </w:p>
    <w:p w:rsidR="001C2CCB" w:rsidRDefault="001C2CCB" w:rsidP="001C2CCB">
      <w:pPr>
        <w:pStyle w:val="Heading2"/>
        <w:numPr>
          <w:ilvl w:val="1"/>
          <w:numId w:val="26"/>
        </w:numPr>
        <w:tabs>
          <w:tab w:val="num" w:pos="360"/>
        </w:tabs>
        <w:ind w:left="576" w:hanging="576"/>
        <w:rPr>
          <w:rFonts w:cs="Times New Roman"/>
          <w:color w:val="auto"/>
        </w:rPr>
      </w:pPr>
      <w:bookmarkStart w:id="52" w:name="_Toc80808264"/>
      <w:r w:rsidRPr="00944EB8">
        <w:rPr>
          <w:rFonts w:cs="Times New Roman"/>
          <w:color w:val="auto"/>
        </w:rPr>
        <w:t>Findings</w:t>
      </w:r>
      <w:bookmarkEnd w:id="52"/>
    </w:p>
    <w:p w:rsidR="001C2CCB" w:rsidRDefault="001C2CCB" w:rsidP="001C2CCB">
      <w:pPr>
        <w:pStyle w:val="Heading2"/>
        <w:numPr>
          <w:ilvl w:val="2"/>
          <w:numId w:val="26"/>
        </w:numPr>
      </w:pPr>
      <w:bookmarkStart w:id="53" w:name="_Toc80808265"/>
      <w:r>
        <w:t>Statistical Data</w:t>
      </w:r>
      <w:bookmarkEnd w:id="53"/>
    </w:p>
    <w:p w:rsidR="001C2CCB" w:rsidRPr="00A80B7B" w:rsidRDefault="001C2CCB" w:rsidP="001C2CCB">
      <w:pPr>
        <w:spacing w:before="0" w:after="0"/>
        <w:rPr>
          <w:lang w:val="en-US"/>
        </w:rPr>
      </w:pPr>
    </w:p>
    <w:p w:rsidR="001C2CCB" w:rsidRDefault="001C2CCB" w:rsidP="001C2CCB">
      <w:pPr>
        <w:pStyle w:val="NormalWeb"/>
        <w:numPr>
          <w:ilvl w:val="0"/>
          <w:numId w:val="34"/>
        </w:numPr>
        <w:spacing w:before="0" w:beforeAutospacing="0" w:after="0" w:afterAutospacing="0" w:line="360" w:lineRule="auto"/>
        <w:jc w:val="both"/>
        <w:rPr>
          <w:color w:val="0E101A"/>
          <w:lang w:val="en-GB"/>
        </w:rPr>
      </w:pPr>
      <w:r w:rsidRPr="00A80B7B">
        <w:rPr>
          <w:color w:val="0E101A"/>
          <w:lang w:val="en-GB"/>
        </w:rPr>
        <w:t xml:space="preserve">Owing to the technical nature of the area of the research, the survey was not opened to the public but was instead strategically targeted at legal practitioners who have been called to the Nigerian Bar and who have a working knowledge of the Arbitration and Conciliation Act. In all 32 responses were received which sufficient wide enough to enable the researcher validly to draw some conclusions from the responses. </w:t>
      </w:r>
    </w:p>
    <w:p w:rsidR="001C2CCB" w:rsidRPr="00A80B7B" w:rsidRDefault="001C2CCB" w:rsidP="001C2CCB">
      <w:pPr>
        <w:pStyle w:val="NormalWeb"/>
        <w:spacing w:before="0" w:beforeAutospacing="0" w:after="0" w:afterAutospacing="0" w:line="360" w:lineRule="auto"/>
        <w:ind w:left="450"/>
        <w:jc w:val="both"/>
        <w:rPr>
          <w:color w:val="0E101A"/>
          <w:lang w:val="en-GB"/>
        </w:rPr>
      </w:pPr>
    </w:p>
    <w:p w:rsidR="001C2CCB" w:rsidRDefault="001C2CCB" w:rsidP="001C2CCB">
      <w:pPr>
        <w:pStyle w:val="Heading2"/>
        <w:numPr>
          <w:ilvl w:val="2"/>
          <w:numId w:val="26"/>
        </w:numPr>
        <w:spacing w:before="0"/>
      </w:pPr>
      <w:bookmarkStart w:id="54" w:name="_Toc80808266"/>
      <w:r>
        <w:lastRenderedPageBreak/>
        <w:t>Demographical Data</w:t>
      </w:r>
      <w:bookmarkEnd w:id="54"/>
    </w:p>
    <w:p w:rsidR="001C2CCB" w:rsidRPr="00073949" w:rsidRDefault="001C2CCB" w:rsidP="001C2CCB">
      <w:pPr>
        <w:spacing w:before="0" w:after="0"/>
        <w:rPr>
          <w:lang w:val="en-US"/>
        </w:rPr>
      </w:pPr>
    </w:p>
    <w:p w:rsidR="001C2CCB" w:rsidRDefault="001C2CCB" w:rsidP="001C2CCB">
      <w:pPr>
        <w:pStyle w:val="NormalWeb"/>
        <w:numPr>
          <w:ilvl w:val="0"/>
          <w:numId w:val="34"/>
        </w:numPr>
        <w:spacing w:before="0" w:beforeAutospacing="0" w:after="0" w:afterAutospacing="0" w:line="360" w:lineRule="auto"/>
        <w:jc w:val="both"/>
        <w:rPr>
          <w:color w:val="0E101A"/>
          <w:lang w:val="en-GB"/>
        </w:rPr>
      </w:pPr>
      <w:r>
        <w:rPr>
          <w:color w:val="0E101A"/>
          <w:lang w:val="en-GB"/>
        </w:rPr>
        <w:t>There was no special demographic group targeted for the purpose of this interview, consequently the respondents were not asked to indicate their age or gender</w:t>
      </w:r>
      <w:r w:rsidRPr="00073949">
        <w:rPr>
          <w:color w:val="0E101A"/>
          <w:lang w:val="en-GB"/>
        </w:rPr>
        <w:t>.</w:t>
      </w:r>
      <w:r>
        <w:rPr>
          <w:color w:val="0E101A"/>
          <w:lang w:val="en-GB"/>
        </w:rPr>
        <w:t xml:space="preserve"> However, the respondents were asked when they were admitted to the Nigerian Bar as legal practitioners. As the table below indicates, the years of experience of the respondents range from three years to fourteen years. There was one respondent who indicated his date of call to the Nigerian Bar as 20 November 2021. This was clearly an error as the respondent was indeed called to the Nigerian Bar on 20 November 2012.</w:t>
      </w:r>
    </w:p>
    <w:p w:rsidR="001C2CCB" w:rsidRDefault="001C2CCB" w:rsidP="001C2CCB">
      <w:pPr>
        <w:pStyle w:val="NormalWeb"/>
        <w:spacing w:before="0" w:beforeAutospacing="0" w:after="0" w:afterAutospacing="0" w:line="360" w:lineRule="auto"/>
        <w:ind w:left="450"/>
        <w:jc w:val="both"/>
        <w:rPr>
          <w:color w:val="0E101A"/>
          <w:lang w:val="en-GB"/>
        </w:rPr>
      </w:pPr>
    </w:p>
    <w:p w:rsidR="001C2CCB" w:rsidRPr="00073949" w:rsidRDefault="001C2CCB" w:rsidP="001C2CCB">
      <w:pPr>
        <w:pStyle w:val="NormalWeb"/>
        <w:spacing w:before="0" w:beforeAutospacing="0" w:after="0" w:afterAutospacing="0" w:line="360" w:lineRule="auto"/>
        <w:ind w:left="450"/>
        <w:jc w:val="both"/>
        <w:rPr>
          <w:color w:val="0E101A"/>
          <w:lang w:val="en-GB"/>
        </w:rPr>
      </w:pPr>
      <w:r>
        <w:rPr>
          <w:noProof/>
        </w:rPr>
        <w:drawing>
          <wp:inline distT="0" distB="0" distL="0" distR="0">
            <wp:extent cx="5731510" cy="2724785"/>
            <wp:effectExtent l="0" t="0" r="2540" b="0"/>
            <wp:docPr id="814"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724785"/>
                    </a:xfrm>
                    <a:prstGeom prst="rect">
                      <a:avLst/>
                    </a:prstGeom>
                    <a:noFill/>
                    <a:ln>
                      <a:noFill/>
                    </a:ln>
                  </pic:spPr>
                </pic:pic>
              </a:graphicData>
            </a:graphic>
          </wp:inline>
        </w:drawing>
      </w:r>
    </w:p>
    <w:p w:rsidR="001C2CCB" w:rsidRDefault="001C2CCB" w:rsidP="001C2CCB">
      <w:pPr>
        <w:pStyle w:val="Heading2"/>
        <w:numPr>
          <w:ilvl w:val="0"/>
          <w:numId w:val="0"/>
        </w:numPr>
        <w:spacing w:before="0"/>
        <w:ind w:left="1440"/>
      </w:pPr>
    </w:p>
    <w:p w:rsidR="001C2CCB" w:rsidRPr="00022775" w:rsidRDefault="001C2CCB" w:rsidP="001C2CCB">
      <w:pPr>
        <w:pStyle w:val="Heading2"/>
        <w:numPr>
          <w:ilvl w:val="0"/>
          <w:numId w:val="0"/>
        </w:numPr>
        <w:spacing w:before="0"/>
        <w:ind w:left="1440"/>
        <w:rPr>
          <w:sz w:val="20"/>
          <w:szCs w:val="22"/>
        </w:rPr>
      </w:pPr>
      <w:bookmarkStart w:id="55" w:name="_Toc80808267"/>
      <w:r>
        <w:rPr>
          <w:sz w:val="20"/>
          <w:szCs w:val="22"/>
        </w:rPr>
        <w:t>Figure 1: Interview</w:t>
      </w:r>
      <w:r w:rsidRPr="00022775">
        <w:rPr>
          <w:sz w:val="20"/>
          <w:szCs w:val="22"/>
        </w:rPr>
        <w:t xml:space="preserve"> Result</w:t>
      </w:r>
      <w:bookmarkEnd w:id="55"/>
    </w:p>
    <w:p w:rsidR="001C2CCB" w:rsidRPr="00022775" w:rsidRDefault="001C2CCB" w:rsidP="001C2CCB">
      <w:pPr>
        <w:rPr>
          <w:lang w:val="en-US"/>
        </w:rPr>
      </w:pPr>
    </w:p>
    <w:p w:rsidR="001C2CCB" w:rsidRDefault="001C2CCB" w:rsidP="001C2CCB">
      <w:pPr>
        <w:pStyle w:val="Heading2"/>
        <w:numPr>
          <w:ilvl w:val="2"/>
          <w:numId w:val="26"/>
        </w:numPr>
        <w:spacing w:before="0"/>
      </w:pPr>
      <w:bookmarkStart w:id="56" w:name="_Toc80808268"/>
      <w:r>
        <w:t>Knowledge of Commercial Arbitration</w:t>
      </w:r>
      <w:bookmarkEnd w:id="56"/>
    </w:p>
    <w:p w:rsidR="001C2CCB" w:rsidRPr="00A80B7B" w:rsidRDefault="001C2CCB" w:rsidP="001C2CCB">
      <w:pPr>
        <w:pStyle w:val="ListParagraph"/>
        <w:spacing w:before="0" w:after="0" w:line="360" w:lineRule="auto"/>
        <w:ind w:left="540"/>
        <w:jc w:val="both"/>
        <w:rPr>
          <w:rFonts w:ascii="Times New Roman" w:hAnsi="Times New Roman" w:cs="Times New Roman"/>
          <w:i/>
          <w:iCs/>
          <w:sz w:val="32"/>
          <w:szCs w:val="32"/>
        </w:rPr>
      </w:pPr>
    </w:p>
    <w:p w:rsidR="001C2CCB" w:rsidRPr="00A80B7B" w:rsidRDefault="001C2CCB" w:rsidP="001C2CCB">
      <w:pPr>
        <w:pStyle w:val="NormalWeb"/>
        <w:numPr>
          <w:ilvl w:val="0"/>
          <w:numId w:val="34"/>
        </w:numPr>
        <w:spacing w:before="0" w:beforeAutospacing="0" w:after="0" w:afterAutospacing="0" w:line="360" w:lineRule="auto"/>
        <w:jc w:val="both"/>
        <w:rPr>
          <w:color w:val="0E101A"/>
          <w:lang w:val="en-GB"/>
        </w:rPr>
      </w:pPr>
      <w:r w:rsidRPr="00A80B7B">
        <w:rPr>
          <w:color w:val="0E101A"/>
          <w:lang w:val="en-GB"/>
        </w:rPr>
        <w:t xml:space="preserve">As previously stated, the respondents are all legal practitioners based in Nigeria and among them include those </w:t>
      </w:r>
      <w:r w:rsidRPr="00A80B7B">
        <w:rPr>
          <w:lang w:val="en-GB"/>
        </w:rPr>
        <w:t xml:space="preserve">who have varying degrees of involvement in the arbitral process in Nigeria as </w:t>
      </w:r>
      <w:r w:rsidRPr="00A80B7B">
        <w:t>arbitrators; private legal practitioners in law firms who have appeared as counsel in arbitrations; in-house counsel whose organisations use the arbitral process; and law lecturers.</w:t>
      </w:r>
      <w:r w:rsidRPr="00A80B7B">
        <w:rPr>
          <w:color w:val="0E101A"/>
          <w:lang w:val="en-GB"/>
        </w:rPr>
        <w:t xml:space="preserve"> </w:t>
      </w:r>
      <w:r w:rsidRPr="00073949">
        <w:rPr>
          <w:color w:val="0E101A"/>
          <w:lang w:val="en-GB"/>
        </w:rPr>
        <w:t>Further, to ensure the validity and reliability of the research, in the cases where the respondents do not have sufficient knowledge of the subject, their responses are discarded.</w:t>
      </w:r>
      <w:r>
        <w:rPr>
          <w:color w:val="0E101A"/>
          <w:lang w:val="en-GB"/>
        </w:rPr>
        <w:t xml:space="preserve"> </w:t>
      </w:r>
      <w:r>
        <w:rPr>
          <w:color w:val="0E101A"/>
          <w:lang w:val="en-GB"/>
        </w:rPr>
        <w:lastRenderedPageBreak/>
        <w:t>In terms of studying, when asked whether they studied Commercial Arbitration in school, less than half of the respondents (43.8%) responded in the affirmative while almost half (46.9%) responded in the negative. Curiously almost one-tenth of the respondents said maybe.</w:t>
      </w:r>
    </w:p>
    <w:p w:rsidR="001C2CCB" w:rsidRDefault="001C2CCB" w:rsidP="001C2CCB">
      <w:pPr>
        <w:pStyle w:val="ListParagraph"/>
        <w:spacing w:before="0" w:after="0" w:line="360" w:lineRule="auto"/>
        <w:ind w:left="540"/>
        <w:jc w:val="both"/>
        <w:rPr>
          <w:rFonts w:ascii="Times New Roman" w:hAnsi="Times New Roman" w:cs="Times New Roman"/>
          <w:i/>
          <w:iCs/>
          <w:sz w:val="24"/>
          <w:szCs w:val="24"/>
        </w:rPr>
      </w:pPr>
    </w:p>
    <w:p w:rsidR="001C2CCB" w:rsidRPr="00A80B7B" w:rsidRDefault="001C2CCB" w:rsidP="001C2CCB">
      <w:pPr>
        <w:pStyle w:val="ListParagraph"/>
        <w:spacing w:before="0" w:after="0" w:line="360" w:lineRule="auto"/>
        <w:ind w:left="540"/>
        <w:jc w:val="both"/>
        <w:rPr>
          <w:rFonts w:ascii="Times New Roman" w:hAnsi="Times New Roman" w:cs="Times New Roman"/>
          <w:i/>
          <w:iCs/>
          <w:sz w:val="24"/>
          <w:szCs w:val="24"/>
        </w:rPr>
      </w:pPr>
      <w:r>
        <w:rPr>
          <w:noProof/>
          <w:lang w:val="en-US"/>
        </w:rPr>
        <w:drawing>
          <wp:inline distT="0" distB="0" distL="0" distR="0">
            <wp:extent cx="5731510" cy="2411730"/>
            <wp:effectExtent l="0" t="0" r="2540" b="7620"/>
            <wp:docPr id="815" name="Picture 2"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pie 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411730"/>
                    </a:xfrm>
                    <a:prstGeom prst="rect">
                      <a:avLst/>
                    </a:prstGeom>
                    <a:noFill/>
                    <a:ln>
                      <a:noFill/>
                    </a:ln>
                  </pic:spPr>
                </pic:pic>
              </a:graphicData>
            </a:graphic>
          </wp:inline>
        </w:drawing>
      </w:r>
    </w:p>
    <w:p w:rsidR="001C2CCB" w:rsidRPr="00022775" w:rsidRDefault="001C2CCB" w:rsidP="001C2CCB">
      <w:pPr>
        <w:pStyle w:val="Heading2"/>
        <w:numPr>
          <w:ilvl w:val="0"/>
          <w:numId w:val="0"/>
        </w:numPr>
        <w:spacing w:before="0"/>
        <w:ind w:left="1440"/>
        <w:rPr>
          <w:sz w:val="20"/>
          <w:szCs w:val="22"/>
        </w:rPr>
      </w:pPr>
      <w:bookmarkStart w:id="57" w:name="_Toc80808269"/>
      <w:r w:rsidRPr="00022775">
        <w:rPr>
          <w:sz w:val="20"/>
          <w:szCs w:val="22"/>
        </w:rPr>
        <w:t xml:space="preserve">Figure </w:t>
      </w:r>
      <w:r>
        <w:rPr>
          <w:sz w:val="20"/>
          <w:szCs w:val="22"/>
        </w:rPr>
        <w:t>2: Interview</w:t>
      </w:r>
      <w:r w:rsidRPr="00022775">
        <w:rPr>
          <w:sz w:val="20"/>
          <w:szCs w:val="22"/>
        </w:rPr>
        <w:t xml:space="preserve"> Result</w:t>
      </w:r>
      <w:bookmarkEnd w:id="57"/>
    </w:p>
    <w:p w:rsidR="001C2CCB" w:rsidRDefault="001C2CCB" w:rsidP="001C2CCB">
      <w:pPr>
        <w:pStyle w:val="ListParagraph"/>
        <w:spacing w:before="0" w:after="0" w:line="360" w:lineRule="auto"/>
        <w:ind w:left="540"/>
        <w:jc w:val="both"/>
        <w:rPr>
          <w:rFonts w:ascii="Times New Roman" w:hAnsi="Times New Roman" w:cs="Times New Roman"/>
          <w:sz w:val="24"/>
          <w:szCs w:val="24"/>
        </w:rPr>
      </w:pPr>
    </w:p>
    <w:p w:rsidR="001C2CCB" w:rsidRPr="00794B76" w:rsidRDefault="001C2CCB" w:rsidP="001C2CCB">
      <w:pPr>
        <w:pStyle w:val="ListParagraph"/>
        <w:numPr>
          <w:ilvl w:val="0"/>
          <w:numId w:val="34"/>
        </w:numPr>
        <w:spacing w:before="0" w:after="0" w:line="360" w:lineRule="auto"/>
        <w:ind w:left="540" w:hanging="540"/>
        <w:jc w:val="both"/>
        <w:rPr>
          <w:rFonts w:ascii="Times New Roman" w:hAnsi="Times New Roman" w:cs="Times New Roman"/>
          <w:sz w:val="24"/>
          <w:szCs w:val="24"/>
        </w:rPr>
      </w:pPr>
      <w:r w:rsidRPr="007C39B2">
        <w:rPr>
          <w:rFonts w:ascii="Times New Roman" w:hAnsi="Times New Roman" w:cs="Times New Roman"/>
          <w:sz w:val="24"/>
          <w:szCs w:val="24"/>
        </w:rPr>
        <w:t>Th</w:t>
      </w:r>
      <w:r>
        <w:rPr>
          <w:rFonts w:ascii="Times New Roman" w:hAnsi="Times New Roman" w:cs="Times New Roman"/>
          <w:sz w:val="24"/>
          <w:szCs w:val="24"/>
        </w:rPr>
        <w:t xml:space="preserve">e above is consistent with what was anticipated because </w:t>
      </w:r>
      <w:r w:rsidRPr="007C39B2">
        <w:rPr>
          <w:rFonts w:ascii="Times New Roman" w:hAnsi="Times New Roman" w:cs="Times New Roman"/>
          <w:color w:val="0E101A"/>
          <w:sz w:val="24"/>
          <w:szCs w:val="24"/>
        </w:rPr>
        <w:t>Commercial Arbitration</w:t>
      </w:r>
      <w:r>
        <w:rPr>
          <w:rFonts w:ascii="Times New Roman" w:hAnsi="Times New Roman" w:cs="Times New Roman"/>
          <w:color w:val="0E101A"/>
          <w:sz w:val="24"/>
          <w:szCs w:val="24"/>
        </w:rPr>
        <w:t xml:space="preserve"> is for inexplicable reasons not studied in Nigerian Universities as an undergraduate course. A significant majority of arbitration practitioners in Nigeria lack formal education in the area of law and derive their knowledge and expertise either from attending courses or from self-development efforts. It also partly explains the early aversion that Nigerian judges historically greet arbitration as a dispute resolution mechanism. This state of affairs needs to be remedied.</w:t>
      </w:r>
    </w:p>
    <w:p w:rsidR="001C2CCB" w:rsidRPr="00794B76" w:rsidRDefault="001C2CCB" w:rsidP="001C2CCB">
      <w:pPr>
        <w:pStyle w:val="ListParagraph"/>
        <w:spacing w:before="0" w:after="0" w:line="360" w:lineRule="auto"/>
        <w:ind w:left="540"/>
        <w:jc w:val="both"/>
        <w:rPr>
          <w:rFonts w:ascii="Times New Roman" w:hAnsi="Times New Roman" w:cs="Times New Roman"/>
          <w:sz w:val="24"/>
          <w:szCs w:val="24"/>
        </w:rPr>
      </w:pPr>
    </w:p>
    <w:p w:rsidR="001C2CCB" w:rsidRPr="00D1408A" w:rsidRDefault="001C2CCB" w:rsidP="001C2CCB">
      <w:pPr>
        <w:pStyle w:val="ListParagraph"/>
        <w:numPr>
          <w:ilvl w:val="0"/>
          <w:numId w:val="34"/>
        </w:numPr>
        <w:spacing w:before="0" w:after="0" w:line="360" w:lineRule="auto"/>
        <w:ind w:left="540" w:hanging="540"/>
        <w:jc w:val="both"/>
        <w:rPr>
          <w:rFonts w:ascii="Times New Roman" w:hAnsi="Times New Roman" w:cs="Times New Roman"/>
          <w:sz w:val="24"/>
          <w:szCs w:val="24"/>
        </w:rPr>
      </w:pPr>
      <w:r>
        <w:rPr>
          <w:rFonts w:ascii="Times New Roman" w:hAnsi="Times New Roman" w:cs="Times New Roman"/>
          <w:color w:val="0E101A"/>
          <w:sz w:val="24"/>
          <w:szCs w:val="24"/>
        </w:rPr>
        <w:t xml:space="preserve">Thankfully the above findings do not significantly diminish the quality of the responses as most of respondents indicated that they were very familiar with the provisions of the Nigerian Arbitration and Conciliation Act. An overwhelming majority of respondents are very familiar with the provisions of the Act, with over one-tenth immodestly considering </w:t>
      </w:r>
      <w:proofErr w:type="gramStart"/>
      <w:r>
        <w:rPr>
          <w:rFonts w:ascii="Times New Roman" w:hAnsi="Times New Roman" w:cs="Times New Roman"/>
          <w:color w:val="0E101A"/>
          <w:sz w:val="24"/>
          <w:szCs w:val="24"/>
        </w:rPr>
        <w:t>themselves</w:t>
      </w:r>
      <w:proofErr w:type="gramEnd"/>
      <w:r>
        <w:rPr>
          <w:rFonts w:ascii="Times New Roman" w:hAnsi="Times New Roman" w:cs="Times New Roman"/>
          <w:color w:val="0E101A"/>
          <w:sz w:val="24"/>
          <w:szCs w:val="24"/>
        </w:rPr>
        <w:t xml:space="preserve"> to be absolutely familiar with the provisions of the legislation. This is also consistent with the point earlier made that a significant majority of arbitration practitioners </w:t>
      </w:r>
      <w:r>
        <w:rPr>
          <w:rFonts w:ascii="Times New Roman" w:hAnsi="Times New Roman" w:cs="Times New Roman"/>
          <w:color w:val="0E101A"/>
          <w:sz w:val="24"/>
          <w:szCs w:val="24"/>
        </w:rPr>
        <w:lastRenderedPageBreak/>
        <w:t>in Nigeria derive their knowledge and expertise either from attending courses or from self-development efforts.</w:t>
      </w:r>
    </w:p>
    <w:p w:rsidR="001C2CCB" w:rsidRPr="00D1408A" w:rsidRDefault="001C2CCB" w:rsidP="001C2CCB">
      <w:pPr>
        <w:pStyle w:val="ListParagraph"/>
        <w:rPr>
          <w:rFonts w:ascii="Times New Roman" w:hAnsi="Times New Roman" w:cs="Times New Roman"/>
          <w:sz w:val="24"/>
          <w:szCs w:val="24"/>
        </w:rPr>
      </w:pPr>
    </w:p>
    <w:p w:rsidR="001C2CCB" w:rsidRPr="007C39B2" w:rsidRDefault="001C2CCB" w:rsidP="001C2CCB">
      <w:pPr>
        <w:pStyle w:val="ListParagraph"/>
        <w:spacing w:before="0" w:after="0" w:line="360" w:lineRule="auto"/>
        <w:ind w:left="540"/>
        <w:jc w:val="both"/>
        <w:rPr>
          <w:rFonts w:ascii="Times New Roman" w:hAnsi="Times New Roman" w:cs="Times New Roman"/>
          <w:sz w:val="24"/>
          <w:szCs w:val="24"/>
        </w:rPr>
      </w:pPr>
      <w:r>
        <w:rPr>
          <w:noProof/>
          <w:lang w:val="en-US"/>
        </w:rPr>
        <w:drawing>
          <wp:inline distT="0" distB="0" distL="0" distR="0">
            <wp:extent cx="5731510" cy="2912745"/>
            <wp:effectExtent l="0" t="0" r="2540" b="1905"/>
            <wp:docPr id="816" name="Picture 3"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 histogram&#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912745"/>
                    </a:xfrm>
                    <a:prstGeom prst="rect">
                      <a:avLst/>
                    </a:prstGeom>
                    <a:noFill/>
                    <a:ln>
                      <a:noFill/>
                    </a:ln>
                  </pic:spPr>
                </pic:pic>
              </a:graphicData>
            </a:graphic>
          </wp:inline>
        </w:drawing>
      </w:r>
    </w:p>
    <w:p w:rsidR="001C2CCB" w:rsidRPr="00022775" w:rsidRDefault="001C2CCB" w:rsidP="001C2CCB">
      <w:pPr>
        <w:pStyle w:val="Heading2"/>
        <w:numPr>
          <w:ilvl w:val="0"/>
          <w:numId w:val="0"/>
        </w:numPr>
        <w:spacing w:before="0"/>
        <w:ind w:left="1440"/>
        <w:rPr>
          <w:sz w:val="20"/>
          <w:szCs w:val="22"/>
        </w:rPr>
      </w:pPr>
      <w:bookmarkStart w:id="58" w:name="_Toc80808270"/>
      <w:r w:rsidRPr="00022775">
        <w:rPr>
          <w:sz w:val="20"/>
          <w:szCs w:val="22"/>
        </w:rPr>
        <w:t xml:space="preserve">Figure </w:t>
      </w:r>
      <w:r>
        <w:rPr>
          <w:sz w:val="20"/>
          <w:szCs w:val="22"/>
        </w:rPr>
        <w:t>3: Interview</w:t>
      </w:r>
      <w:r w:rsidRPr="00022775">
        <w:rPr>
          <w:sz w:val="20"/>
          <w:szCs w:val="22"/>
        </w:rPr>
        <w:t xml:space="preserve"> Result</w:t>
      </w:r>
      <w:bookmarkEnd w:id="58"/>
    </w:p>
    <w:p w:rsidR="001C2CCB"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Default="001C2CCB" w:rsidP="001C2CCB">
      <w:pPr>
        <w:pStyle w:val="Heading2"/>
        <w:numPr>
          <w:ilvl w:val="2"/>
          <w:numId w:val="26"/>
        </w:numPr>
        <w:spacing w:before="0"/>
      </w:pPr>
      <w:bookmarkStart w:id="59" w:name="_Toc80808271"/>
      <w:r>
        <w:t>Commercial Arbitration Experience</w:t>
      </w:r>
      <w:bookmarkEnd w:id="59"/>
    </w:p>
    <w:p w:rsidR="001C2CCB" w:rsidRPr="00A80B7B" w:rsidRDefault="001C2CCB" w:rsidP="001C2CCB">
      <w:pPr>
        <w:pStyle w:val="ListParagraph"/>
        <w:spacing w:before="0" w:after="0" w:line="360" w:lineRule="auto"/>
        <w:ind w:left="540"/>
        <w:jc w:val="both"/>
        <w:rPr>
          <w:rFonts w:ascii="Times New Roman" w:hAnsi="Times New Roman" w:cs="Times New Roman"/>
          <w:i/>
          <w:iCs/>
          <w:sz w:val="32"/>
          <w:szCs w:val="32"/>
        </w:rPr>
      </w:pPr>
    </w:p>
    <w:p w:rsidR="001C2CCB" w:rsidRPr="00D70277"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726256">
        <w:rPr>
          <w:rFonts w:ascii="Times New Roman" w:hAnsi="Times New Roman" w:cs="Times New Roman"/>
          <w:sz w:val="24"/>
          <w:szCs w:val="24"/>
        </w:rPr>
        <w:t xml:space="preserve">Related to the above issue is the actual experience of the respondents in order to enhance the </w:t>
      </w:r>
      <w:r w:rsidRPr="00726256">
        <w:rPr>
          <w:rFonts w:ascii="Times New Roman" w:hAnsi="Times New Roman" w:cs="Times New Roman"/>
          <w:color w:val="0E101A"/>
          <w:sz w:val="24"/>
          <w:szCs w:val="24"/>
        </w:rPr>
        <w:t>accuracy, validity, and reliability of the findings.</w:t>
      </w:r>
      <w:r>
        <w:rPr>
          <w:rFonts w:ascii="Times New Roman" w:hAnsi="Times New Roman" w:cs="Times New Roman"/>
          <w:color w:val="0E101A"/>
          <w:sz w:val="24"/>
          <w:szCs w:val="24"/>
        </w:rPr>
        <w:t xml:space="preserve"> Almost 80% of the respondents have been directly involved in arbitration proceedings in one capacity or the other while one seven of the respondents, representing 21.9% have no prior involvement.</w:t>
      </w:r>
    </w:p>
    <w:p w:rsidR="001C2CCB" w:rsidRDefault="001C2CCB" w:rsidP="001C2CCB">
      <w:pPr>
        <w:pStyle w:val="ListParagraph"/>
        <w:spacing w:before="0" w:after="0" w:line="360" w:lineRule="auto"/>
        <w:ind w:left="450"/>
        <w:jc w:val="both"/>
        <w:rPr>
          <w:rFonts w:ascii="Times New Roman" w:hAnsi="Times New Roman" w:cs="Times New Roman"/>
          <w:color w:val="0E101A"/>
          <w:sz w:val="24"/>
          <w:szCs w:val="24"/>
        </w:rPr>
      </w:pPr>
    </w:p>
    <w:p w:rsidR="001C2CCB" w:rsidRDefault="001C2CCB" w:rsidP="001C2CCB">
      <w:pPr>
        <w:pStyle w:val="ListParagraph"/>
        <w:spacing w:before="0" w:after="0" w:line="360" w:lineRule="auto"/>
        <w:ind w:left="450"/>
        <w:jc w:val="both"/>
        <w:rPr>
          <w:rFonts w:ascii="Times New Roman" w:hAnsi="Times New Roman" w:cs="Times New Roman"/>
          <w:color w:val="0E101A"/>
          <w:sz w:val="24"/>
          <w:szCs w:val="24"/>
        </w:rPr>
      </w:pPr>
      <w:r>
        <w:rPr>
          <w:noProof/>
          <w:lang w:val="en-US"/>
        </w:rPr>
        <w:lastRenderedPageBreak/>
        <w:drawing>
          <wp:inline distT="0" distB="0" distL="0" distR="0">
            <wp:extent cx="5731510" cy="2724785"/>
            <wp:effectExtent l="0" t="0" r="2540" b="0"/>
            <wp:docPr id="817"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histogram&#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724785"/>
                    </a:xfrm>
                    <a:prstGeom prst="rect">
                      <a:avLst/>
                    </a:prstGeom>
                    <a:noFill/>
                    <a:ln>
                      <a:noFill/>
                    </a:ln>
                  </pic:spPr>
                </pic:pic>
              </a:graphicData>
            </a:graphic>
          </wp:inline>
        </w:drawing>
      </w:r>
    </w:p>
    <w:p w:rsidR="001C2CCB" w:rsidRPr="00022775" w:rsidRDefault="001C2CCB" w:rsidP="001C2CCB">
      <w:pPr>
        <w:pStyle w:val="Heading2"/>
        <w:numPr>
          <w:ilvl w:val="0"/>
          <w:numId w:val="0"/>
        </w:numPr>
        <w:spacing w:before="0"/>
        <w:ind w:left="1440"/>
        <w:rPr>
          <w:sz w:val="20"/>
          <w:szCs w:val="22"/>
        </w:rPr>
      </w:pPr>
      <w:bookmarkStart w:id="60" w:name="_Toc80808272"/>
      <w:r w:rsidRPr="00022775">
        <w:rPr>
          <w:sz w:val="20"/>
          <w:szCs w:val="22"/>
        </w:rPr>
        <w:t xml:space="preserve">Figure </w:t>
      </w:r>
      <w:r>
        <w:rPr>
          <w:sz w:val="20"/>
          <w:szCs w:val="22"/>
        </w:rPr>
        <w:t>4: Interview</w:t>
      </w:r>
      <w:r w:rsidRPr="00022775">
        <w:rPr>
          <w:sz w:val="20"/>
          <w:szCs w:val="22"/>
        </w:rPr>
        <w:t xml:space="preserve"> Result</w:t>
      </w:r>
      <w:bookmarkEnd w:id="60"/>
    </w:p>
    <w:p w:rsidR="001C2CCB" w:rsidRPr="00D70277"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756A5B"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sidRPr="00756A5B">
        <w:rPr>
          <w:rFonts w:ascii="Times New Roman" w:hAnsi="Times New Roman" w:cs="Times New Roman"/>
          <w:b/>
          <w:bCs/>
          <w:color w:val="0E101A"/>
          <w:sz w:val="24"/>
          <w:szCs w:val="24"/>
        </w:rPr>
        <w:t>The concept of Party Autonomy</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All but two of the respondents to the interview questionnaires agree that the concept of party autonomy is the hallmark of the arbitral process. Of the two dissenting views, one came from the only respondent who has no knowledge of the provisions </w:t>
      </w:r>
      <w:r w:rsidRPr="00944EB8">
        <w:rPr>
          <w:rFonts w:ascii="Times New Roman" w:hAnsi="Times New Roman" w:cs="Times New Roman"/>
          <w:sz w:val="24"/>
          <w:szCs w:val="24"/>
        </w:rPr>
        <w:t>of the Arbitration and Conciliation Act</w:t>
      </w:r>
      <w:r>
        <w:rPr>
          <w:rFonts w:ascii="Times New Roman" w:hAnsi="Times New Roman" w:cs="Times New Roman"/>
          <w:sz w:val="24"/>
          <w:szCs w:val="24"/>
        </w:rPr>
        <w:t xml:space="preserve">. Consequently, the response in its entirety was disregarded, leaving only one dissenting view. An illustrative example of a response in favour of party autonomy comes from a respondent who believes that </w:t>
      </w:r>
      <w:r w:rsidRPr="002A1EB3">
        <w:rPr>
          <w:rFonts w:ascii="Times New Roman" w:hAnsi="Times New Roman" w:cs="Times New Roman"/>
          <w:sz w:val="24"/>
          <w:szCs w:val="24"/>
        </w:rPr>
        <w:t>the sanctity of arbitration demands that parties are allowed to direct</w:t>
      </w:r>
      <w:r>
        <w:rPr>
          <w:rFonts w:ascii="Times New Roman" w:hAnsi="Times New Roman" w:cs="Times New Roman"/>
          <w:sz w:val="24"/>
          <w:szCs w:val="24"/>
        </w:rPr>
        <w:t>ly</w:t>
      </w:r>
      <w:r w:rsidRPr="002A1EB3">
        <w:rPr>
          <w:rFonts w:ascii="Times New Roman" w:hAnsi="Times New Roman" w:cs="Times New Roman"/>
          <w:sz w:val="24"/>
          <w:szCs w:val="24"/>
        </w:rPr>
        <w:t xml:space="preserve"> navigate the process themselves</w:t>
      </w:r>
      <w:r>
        <w:rPr>
          <w:rFonts w:ascii="Times New Roman" w:hAnsi="Times New Roman" w:cs="Times New Roman"/>
          <w:sz w:val="24"/>
          <w:szCs w:val="24"/>
        </w:rPr>
        <w:t xml:space="preserve">; that it </w:t>
      </w:r>
      <w:r w:rsidRPr="002A1EB3">
        <w:rPr>
          <w:rFonts w:ascii="Times New Roman" w:hAnsi="Times New Roman" w:cs="Times New Roman"/>
          <w:sz w:val="24"/>
          <w:szCs w:val="24"/>
        </w:rPr>
        <w:t>permits parties to create a custom-tailored procedure to meet their desired needs</w:t>
      </w:r>
      <w:r>
        <w:rPr>
          <w:rFonts w:ascii="Times New Roman" w:hAnsi="Times New Roman" w:cs="Times New Roman"/>
          <w:sz w:val="24"/>
          <w:szCs w:val="24"/>
        </w:rPr>
        <w:t>; and that</w:t>
      </w:r>
      <w:r w:rsidRPr="002A1EB3">
        <w:rPr>
          <w:rFonts w:ascii="Times New Roman" w:hAnsi="Times New Roman" w:cs="Times New Roman"/>
          <w:sz w:val="24"/>
          <w:szCs w:val="24"/>
        </w:rPr>
        <w:t xml:space="preserve"> it gives parties power to select neutral decision makers </w:t>
      </w:r>
      <w:r>
        <w:rPr>
          <w:rFonts w:ascii="Times New Roman" w:hAnsi="Times New Roman" w:cs="Times New Roman"/>
          <w:sz w:val="24"/>
          <w:szCs w:val="24"/>
        </w:rPr>
        <w:t>and</w:t>
      </w:r>
      <w:r w:rsidRPr="002A1EB3">
        <w:rPr>
          <w:rFonts w:ascii="Times New Roman" w:hAnsi="Times New Roman" w:cs="Times New Roman"/>
          <w:sz w:val="24"/>
          <w:szCs w:val="24"/>
        </w:rPr>
        <w:t xml:space="preserve"> experts in the field of dispute.</w:t>
      </w:r>
      <w:r>
        <w:rPr>
          <w:rFonts w:ascii="Times New Roman" w:hAnsi="Times New Roman" w:cs="Times New Roman"/>
          <w:sz w:val="24"/>
          <w:szCs w:val="24"/>
        </w:rPr>
        <w:t xml:space="preserve"> Some of the phrases used by the respondents to characterise party autonomy include, the hallmark of arbitration, a vital factor in arbitration, and the bedrock of commercial arbitration.</w:t>
      </w:r>
    </w:p>
    <w:p w:rsidR="001C2CCB"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756A5B"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Pr>
          <w:rFonts w:ascii="Times New Roman" w:hAnsi="Times New Roman" w:cs="Times New Roman"/>
          <w:b/>
          <w:bCs/>
          <w:color w:val="0E101A"/>
          <w:sz w:val="24"/>
          <w:szCs w:val="24"/>
        </w:rPr>
        <w:t>Whether Nigeria is an Arbitration Friendly Jurisdiction</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The preponderance of the responses is in favour of describing Nigeria as an arbitration friendly jurisdiction. This is however tempered with a note of caution and an admission by most of the respondents that a lot more work still needs to be done in this regard.</w:t>
      </w:r>
    </w:p>
    <w:p w:rsidR="001C2CCB" w:rsidRPr="00756A5B"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Pr>
          <w:rFonts w:ascii="Times New Roman" w:hAnsi="Times New Roman" w:cs="Times New Roman"/>
          <w:b/>
          <w:bCs/>
          <w:color w:val="0E101A"/>
          <w:sz w:val="24"/>
          <w:szCs w:val="24"/>
        </w:rPr>
        <w:lastRenderedPageBreak/>
        <w:t>In what ways do Nigerian courts support Arbitration</w:t>
      </w:r>
    </w:p>
    <w:p w:rsidR="001C2CCB" w:rsidRDefault="001C2CCB" w:rsidP="001C2CCB">
      <w:pPr>
        <w:pStyle w:val="ListParagraph"/>
        <w:spacing w:before="0" w:after="0" w:line="360" w:lineRule="auto"/>
        <w:ind w:left="540"/>
        <w:jc w:val="bot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To further probe the basis for the respondents’ conclusion that Nigeria is an arbitration friendly jurisdiction, the respondents were specifically asked to outline the various ways in which Nigerian courts support arbitration. </w:t>
      </w:r>
      <w:r w:rsidRPr="00254D7F">
        <w:rPr>
          <w:rFonts w:ascii="Times New Roman" w:hAnsi="Times New Roman" w:cs="Times New Roman"/>
          <w:sz w:val="24"/>
          <w:szCs w:val="24"/>
        </w:rPr>
        <w:t>Some of the instances, provided by the respondents, of the areas where the courts in Nigeria support the arbitral process are the readiness of the courts to stay their proceedings in cases where the underlying contract that has resulted in the court action contains an arbitration clause; the readiness of the courts to recognise and enforce arbitral awards and the reluctance of the courts to set aside arbitral awards except in exceptional circumstances and under limited grounds.</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756A5B"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Pr>
          <w:rFonts w:ascii="Times New Roman" w:hAnsi="Times New Roman" w:cs="Times New Roman"/>
          <w:b/>
          <w:bCs/>
          <w:color w:val="0E101A"/>
          <w:sz w:val="24"/>
          <w:szCs w:val="24"/>
        </w:rPr>
        <w:t>In what ways do Nigerian courts inhibit Arbitration?</w:t>
      </w:r>
    </w:p>
    <w:p w:rsidR="001C2CCB" w:rsidRDefault="001C2CCB" w:rsidP="001C2CCB">
      <w:pPr>
        <w:pStyle w:val="ListParagraph"/>
        <w:spacing w:before="0" w:after="0" w:line="360" w:lineRule="auto"/>
        <w:ind w:left="540"/>
        <w:jc w:val="both"/>
        <w:rPr>
          <w:rFonts w:ascii="Times New Roman" w:hAnsi="Times New Roman" w:cs="Times New Roman"/>
          <w:sz w:val="24"/>
          <w:szCs w:val="24"/>
        </w:rPr>
      </w:pPr>
    </w:p>
    <w:p w:rsidR="001C2CCB" w:rsidRDefault="001C2CCB" w:rsidP="001C2CCB">
      <w:pPr>
        <w:pStyle w:val="ListParagraph"/>
        <w:numPr>
          <w:ilvl w:val="0"/>
          <w:numId w:val="34"/>
        </w:numPr>
        <w:spacing w:line="360" w:lineRule="auto"/>
        <w:jc w:val="both"/>
        <w:rPr>
          <w:rFonts w:ascii="Times New Roman" w:hAnsi="Times New Roman" w:cs="Times New Roman"/>
          <w:sz w:val="24"/>
          <w:szCs w:val="24"/>
        </w:rPr>
      </w:pPr>
      <w:r w:rsidRPr="005A06A8">
        <w:rPr>
          <w:rFonts w:ascii="Times New Roman" w:hAnsi="Times New Roman" w:cs="Times New Roman"/>
          <w:sz w:val="24"/>
          <w:szCs w:val="24"/>
        </w:rPr>
        <w:t>On the contrary, some of the respondents highlighted the delays occasioned by applications to appoint or remove an arbitrator; applications to set aside or resist the enforcement of an award; appeals against decisions of court to recognise or enforce an award, etc as some of the ways in which the court system in Nigeria inhibits the arbitral process.</w:t>
      </w:r>
    </w:p>
    <w:p w:rsidR="001C2CCB" w:rsidRDefault="001C2CCB" w:rsidP="001C2CCB">
      <w:pPr>
        <w:pStyle w:val="ListParagraph"/>
        <w:spacing w:line="360" w:lineRule="auto"/>
        <w:ind w:left="450"/>
        <w:jc w:val="both"/>
        <w:rPr>
          <w:rFonts w:ascii="Times New Roman" w:hAnsi="Times New Roman" w:cs="Times New Roman"/>
          <w:sz w:val="24"/>
          <w:szCs w:val="24"/>
        </w:rPr>
      </w:pPr>
    </w:p>
    <w:p w:rsidR="001C2CCB" w:rsidRPr="00C66EA3"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sidRPr="00C66EA3">
        <w:rPr>
          <w:rFonts w:ascii="Times New Roman" w:eastAsia="Times New Roman" w:hAnsi="Times New Roman" w:cs="Times New Roman"/>
          <w:b/>
          <w:bCs/>
          <w:spacing w:val="2"/>
          <w:sz w:val="24"/>
          <w:szCs w:val="24"/>
          <w:lang w:eastAsia="en-IE"/>
        </w:rPr>
        <w:t>What is the most positive thing you have experienced in a Nigerian court in relation to the arbitral process?</w:t>
      </w:r>
    </w:p>
    <w:p w:rsidR="001C2CCB" w:rsidRPr="00C66EA3" w:rsidRDefault="001C2CCB" w:rsidP="001C2CCB">
      <w:pPr>
        <w:pStyle w:val="ListParagraph"/>
        <w:spacing w:before="0" w:after="0" w:line="360" w:lineRule="auto"/>
        <w:ind w:left="1440"/>
        <w:jc w:val="both"/>
        <w:rPr>
          <w:rFonts w:ascii="Times New Roman" w:hAnsi="Times New Roman" w:cs="Times New Roman"/>
          <w:b/>
          <w:bCs/>
          <w:sz w:val="24"/>
          <w:szCs w:val="24"/>
        </w:rPr>
      </w:pPr>
    </w:p>
    <w:p w:rsidR="001C2CCB" w:rsidRPr="00C1751D"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color w:val="0E101A"/>
          <w:sz w:val="24"/>
          <w:szCs w:val="24"/>
        </w:rPr>
        <w:t xml:space="preserve">As promised in the previous chapter, the researcher took the wise counsel of </w:t>
      </w:r>
      <w:r w:rsidRPr="000E10C0">
        <w:rPr>
          <w:rFonts w:ascii="Times New Roman" w:hAnsi="Times New Roman" w:cs="Times New Roman"/>
          <w:color w:val="0E101A"/>
          <w:sz w:val="24"/>
          <w:szCs w:val="24"/>
        </w:rPr>
        <w:fldChar w:fldCharType="begin"/>
      </w:r>
      <w:r w:rsidRPr="000E10C0">
        <w:rPr>
          <w:rFonts w:ascii="Times New Roman" w:hAnsi="Times New Roman" w:cs="Times New Roman"/>
          <w:color w:val="0E101A"/>
          <w:sz w:val="24"/>
          <w:szCs w:val="24"/>
        </w:rPr>
        <w:instrText xml:space="preserve"> ADDIN ZOTERO_ITEM CSL_CITATION {"citationID":"C3IJFE3o","properties":{"formattedCitation":"(Paris and Winn, 2013)","plainCitation":"(Paris and Winn, 2013)","noteIndex":0},"citationItems":[{"id":730,"uris":["http://zotero.org/users/local/arLofKbg/items/A5W2U7RZ"],"uri":["http://zotero.org/users/local/arLofKbg/items/A5W2U7RZ"],"itemData":{"id":730,"type":"book","abstract":"What does it mean to conduct research for justice with youth and communities who are marginalized by systems of inequality based on race, ethnicity, sexuality, citizenship status, gender, and other categories of difference? In this collection, editors Django Paris and Maisha Winn have selected essays written by top scholars in education on humanizing approaches to qualitative and ethnographic inquiry with youth and their communities. Vignettes, portraits, narratives, personal and collaborative explorations, photographs, and additional data excerpts bring the findings to life for a better understanding of how to use research for positive social change.","edition":"1st edition","event-place":"Thousand Oaks","ISBN":"978-1-4522-2539-5","language":"English","number-of-pages":"304","publisher":"SAGE Publications, Inc","publisher-place":"Thousand Oaks","source":"Amazon","title":"Humanizing Research: Decolonizing Qualitative Inquiry With Youth and Communities","title-short":"Humanizing Research","editor":[{"family":"Paris","given":"Django"},{"family":"Winn","given":"Maisha T."}],"issued":{"date-parts":[["2013",2,27]]}}}],"schema":"https://github.com/citation-style-language/schema/raw/master/csl-citation.json"} </w:instrText>
      </w:r>
      <w:r w:rsidRPr="000E10C0">
        <w:rPr>
          <w:rFonts w:ascii="Times New Roman" w:hAnsi="Times New Roman" w:cs="Times New Roman"/>
          <w:color w:val="0E101A"/>
          <w:sz w:val="24"/>
          <w:szCs w:val="24"/>
        </w:rPr>
        <w:fldChar w:fldCharType="separate"/>
      </w:r>
      <w:r w:rsidRPr="000E10C0">
        <w:rPr>
          <w:rFonts w:ascii="Times New Roman" w:hAnsi="Times New Roman" w:cs="Times New Roman"/>
          <w:sz w:val="24"/>
          <w:szCs w:val="24"/>
        </w:rPr>
        <w:t>Paris and Winn, (2013)</w:t>
      </w:r>
      <w:r w:rsidRPr="000E10C0">
        <w:rPr>
          <w:rFonts w:ascii="Times New Roman" w:hAnsi="Times New Roman" w:cs="Times New Roman"/>
          <w:color w:val="0E101A"/>
          <w:sz w:val="24"/>
          <w:szCs w:val="24"/>
        </w:rPr>
        <w:fldChar w:fldCharType="end"/>
      </w:r>
      <w:r w:rsidRPr="000E10C0">
        <w:rPr>
          <w:rFonts w:ascii="Times New Roman" w:hAnsi="Times New Roman" w:cs="Times New Roman"/>
          <w:color w:val="0E101A"/>
          <w:sz w:val="24"/>
          <w:szCs w:val="24"/>
        </w:rPr>
        <w:t xml:space="preserve"> </w:t>
      </w:r>
      <w:r>
        <w:rPr>
          <w:rFonts w:ascii="Times New Roman" w:hAnsi="Times New Roman" w:cs="Times New Roman"/>
          <w:color w:val="0E101A"/>
          <w:sz w:val="24"/>
          <w:szCs w:val="24"/>
        </w:rPr>
        <w:t xml:space="preserve">and included an </w:t>
      </w:r>
      <w:r w:rsidRPr="000E10C0">
        <w:rPr>
          <w:rFonts w:ascii="Times New Roman" w:hAnsi="Times New Roman" w:cs="Times New Roman"/>
          <w:color w:val="0E101A"/>
          <w:sz w:val="24"/>
          <w:szCs w:val="24"/>
        </w:rPr>
        <w:t xml:space="preserve">open-ended </w:t>
      </w:r>
      <w:r>
        <w:rPr>
          <w:rFonts w:ascii="Times New Roman" w:hAnsi="Times New Roman" w:cs="Times New Roman"/>
          <w:color w:val="0E101A"/>
          <w:sz w:val="24"/>
          <w:szCs w:val="24"/>
        </w:rPr>
        <w:t xml:space="preserve">question in order to </w:t>
      </w:r>
      <w:r w:rsidRPr="000E10C0">
        <w:rPr>
          <w:rFonts w:ascii="Times New Roman" w:hAnsi="Times New Roman" w:cs="Times New Roman"/>
          <w:color w:val="0E101A"/>
          <w:sz w:val="24"/>
          <w:szCs w:val="24"/>
        </w:rPr>
        <w:t>for</w:t>
      </w:r>
      <w:r>
        <w:rPr>
          <w:rFonts w:ascii="Times New Roman" w:hAnsi="Times New Roman" w:cs="Times New Roman"/>
          <w:color w:val="0E101A"/>
          <w:sz w:val="24"/>
          <w:szCs w:val="24"/>
        </w:rPr>
        <w:t>m</w:t>
      </w:r>
      <w:r w:rsidRPr="000E10C0">
        <w:rPr>
          <w:rFonts w:ascii="Times New Roman" w:hAnsi="Times New Roman" w:cs="Times New Roman"/>
          <w:color w:val="0E101A"/>
          <w:sz w:val="24"/>
          <w:szCs w:val="24"/>
        </w:rPr>
        <w:t xml:space="preserve"> sufficient room to enable the respondents express themselves while remaining within the bounds of the question </w:t>
      </w:r>
      <w:r>
        <w:rPr>
          <w:rFonts w:ascii="Times New Roman" w:hAnsi="Times New Roman" w:cs="Times New Roman"/>
          <w:color w:val="0E101A"/>
          <w:sz w:val="24"/>
          <w:szCs w:val="24"/>
        </w:rPr>
        <w:t xml:space="preserve">and to </w:t>
      </w:r>
      <w:r w:rsidRPr="000E10C0">
        <w:rPr>
          <w:rFonts w:ascii="Times New Roman" w:hAnsi="Times New Roman" w:cs="Times New Roman"/>
          <w:color w:val="0E101A"/>
          <w:sz w:val="24"/>
          <w:szCs w:val="24"/>
        </w:rPr>
        <w:t>allow</w:t>
      </w:r>
      <w:r>
        <w:rPr>
          <w:rFonts w:ascii="Times New Roman" w:hAnsi="Times New Roman" w:cs="Times New Roman"/>
          <w:color w:val="0E101A"/>
          <w:sz w:val="24"/>
          <w:szCs w:val="24"/>
        </w:rPr>
        <w:t xml:space="preserve"> </w:t>
      </w:r>
      <w:r w:rsidRPr="000E10C0">
        <w:rPr>
          <w:rFonts w:ascii="Times New Roman" w:hAnsi="Times New Roman" w:cs="Times New Roman"/>
          <w:color w:val="0E101A"/>
          <w:sz w:val="24"/>
          <w:szCs w:val="24"/>
        </w:rPr>
        <w:t>for probes, thus leading to better and richer insights</w:t>
      </w:r>
      <w:r>
        <w:rPr>
          <w:rFonts w:ascii="Times New Roman" w:hAnsi="Times New Roman" w:cs="Times New Roman"/>
          <w:color w:val="0E101A"/>
          <w:sz w:val="24"/>
          <w:szCs w:val="24"/>
        </w:rPr>
        <w:t>. In the interview, the respondents were specifically asked to mention the most positive thing they have each experienced in a Nigerian court in relation to the arbitration process.</w:t>
      </w:r>
    </w:p>
    <w:p w:rsidR="001C2CCB" w:rsidRPr="00350739" w:rsidRDefault="001C2CCB" w:rsidP="001C2CCB">
      <w:pPr>
        <w:pStyle w:val="ListParagraph"/>
        <w:spacing w:line="360" w:lineRule="auto"/>
        <w:ind w:left="540"/>
        <w:jc w:val="both"/>
        <w:rPr>
          <w:rFonts w:ascii="Times New Roman" w:hAnsi="Times New Roman" w:cs="Times New Roman"/>
          <w:sz w:val="24"/>
          <w:szCs w:val="24"/>
        </w:rPr>
      </w:pPr>
    </w:p>
    <w:p w:rsidR="001C2CCB" w:rsidRPr="000E10C0"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The majority of the responses in this regard revolved around the courts’ decisions to enforce the terms of the parties’ agreements by declining jurisdiction to entertain an action which relates to a dispute in respect of which the parties voluntarily agreed to arbitrate. </w:t>
      </w:r>
      <w:r>
        <w:rPr>
          <w:rFonts w:ascii="Times New Roman" w:hAnsi="Times New Roman" w:cs="Times New Roman"/>
          <w:sz w:val="24"/>
          <w:szCs w:val="24"/>
        </w:rPr>
        <w:lastRenderedPageBreak/>
        <w:t>Similar words of praise were reserved for the courts which refused to set aside arbitral awards or the one which made orders recognising and enforcing awards.</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C66EA3"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sidRPr="00C66EA3">
        <w:rPr>
          <w:rFonts w:ascii="Times New Roman" w:eastAsia="Times New Roman" w:hAnsi="Times New Roman" w:cs="Times New Roman"/>
          <w:b/>
          <w:bCs/>
          <w:spacing w:val="2"/>
          <w:sz w:val="24"/>
          <w:szCs w:val="24"/>
          <w:lang w:eastAsia="en-IE"/>
        </w:rPr>
        <w:t xml:space="preserve">What is the </w:t>
      </w:r>
      <w:r>
        <w:rPr>
          <w:rFonts w:ascii="Times New Roman" w:eastAsia="Times New Roman" w:hAnsi="Times New Roman" w:cs="Times New Roman"/>
          <w:b/>
          <w:bCs/>
          <w:spacing w:val="2"/>
          <w:sz w:val="24"/>
          <w:szCs w:val="24"/>
          <w:lang w:eastAsia="en-IE"/>
        </w:rPr>
        <w:t xml:space="preserve">most negative </w:t>
      </w:r>
      <w:r w:rsidRPr="00C66EA3">
        <w:rPr>
          <w:rFonts w:ascii="Times New Roman" w:eastAsia="Times New Roman" w:hAnsi="Times New Roman" w:cs="Times New Roman"/>
          <w:b/>
          <w:bCs/>
          <w:spacing w:val="2"/>
          <w:sz w:val="24"/>
          <w:szCs w:val="24"/>
          <w:lang w:eastAsia="en-IE"/>
        </w:rPr>
        <w:t>thing you have experienced in a Nigerian court in relation to the arbitral process?</w:t>
      </w:r>
    </w:p>
    <w:p w:rsidR="001C2CCB" w:rsidRPr="00C66EA3" w:rsidRDefault="001C2CCB" w:rsidP="001C2CCB">
      <w:pPr>
        <w:pStyle w:val="ListParagraph"/>
        <w:spacing w:before="0" w:after="0" w:line="360" w:lineRule="auto"/>
        <w:ind w:left="1440"/>
        <w:jc w:val="both"/>
        <w:rPr>
          <w:rFonts w:ascii="Times New Roman" w:hAnsi="Times New Roman" w:cs="Times New Roman"/>
          <w:b/>
          <w:bCs/>
          <w:sz w:val="24"/>
          <w:szCs w:val="24"/>
        </w:rPr>
      </w:pPr>
    </w:p>
    <w:p w:rsidR="001C2CCB" w:rsidRPr="000E10C0"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color w:val="0E101A"/>
          <w:sz w:val="24"/>
          <w:szCs w:val="24"/>
        </w:rPr>
        <w:t>On the flipside, the respondents were also specifically asked to mention the most positive thing they have each experienced in a Nigerian court in relation to the arbitration process. In responses which mirror the previous question, the preponderance of the responses relate to instances where the courts have failed to stay their proceedings in favour of arbitration and have instead guarded their jurisdiction jealously in a way that results in granting judicial imprimatur to a breach of the parties’ agreement to arbitrate.</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0E10C0"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5A06A8">
        <w:rPr>
          <w:rFonts w:ascii="Times New Roman" w:hAnsi="Times New Roman" w:cs="Times New Roman"/>
          <w:sz w:val="24"/>
          <w:szCs w:val="24"/>
        </w:rPr>
        <w:t>One respondent in particular however referenced a situation where a Nigerian court countenanced a strange application for injunction filed in a pending suit to restrain a successful party from enforcing a foreign arbitral award in a case where that party had failed to set aside the award within the three months period provided in the Arbitration and Conciliation Act. It is now three years and counting and the party are yet to enforce the award. The respondent and a few other respondents have accordingly suggested that some judges are not robustly knowledgeable enough to spot some of these strange procedures.</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B768B0" w:rsidRDefault="001C2CCB" w:rsidP="001C2CCB">
      <w:pPr>
        <w:pStyle w:val="ListParagraph"/>
        <w:numPr>
          <w:ilvl w:val="2"/>
          <w:numId w:val="26"/>
        </w:numPr>
        <w:spacing w:before="0" w:after="0" w:line="360" w:lineRule="auto"/>
        <w:jc w:val="both"/>
        <w:rPr>
          <w:rFonts w:ascii="Times New Roman" w:hAnsi="Times New Roman" w:cs="Times New Roman"/>
          <w:b/>
          <w:bCs/>
          <w:sz w:val="24"/>
          <w:szCs w:val="24"/>
        </w:rPr>
      </w:pPr>
      <w:r w:rsidRPr="00B768B0">
        <w:rPr>
          <w:rFonts w:ascii="Times New Roman" w:hAnsi="Times New Roman" w:cs="Times New Roman"/>
          <w:b/>
          <w:bCs/>
          <w:sz w:val="24"/>
          <w:szCs w:val="24"/>
        </w:rPr>
        <w:t>Whether the courts should be involved in the appointment of arbitrators</w:t>
      </w:r>
      <w:r w:rsidRPr="00B768B0">
        <w:rPr>
          <w:rFonts w:ascii="Times New Roman" w:hAnsi="Times New Roman" w:cs="Times New Roman"/>
          <w:b/>
          <w:bCs/>
          <w:color w:val="0E101A"/>
          <w:sz w:val="24"/>
          <w:szCs w:val="24"/>
        </w:rPr>
        <w:t>?</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BA298C"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One surprising element of the responses to the interview questionnaires is that the respondents were almost equally divided on the question of whether the courts should be involved in the appointment of arbitrators. While some respondents believe that the involvement of courts in the appointment of arbitrators inhibit the process, some respondents believe that the courts should be involved in default situations where the parties are unable to agree. There were nevertheless respondents who believe that courts should be involved in the appointment of arbitrators to ensure the element of neutrality and fairness to the process.</w:t>
      </w:r>
    </w:p>
    <w:p w:rsidR="001C2CCB" w:rsidRDefault="001C2CCB" w:rsidP="001C2CCB">
      <w:pPr>
        <w:pStyle w:val="Heading2"/>
        <w:numPr>
          <w:ilvl w:val="1"/>
          <w:numId w:val="26"/>
        </w:numPr>
        <w:rPr>
          <w:rFonts w:cs="Times New Roman"/>
          <w:color w:val="auto"/>
        </w:rPr>
      </w:pPr>
      <w:bookmarkStart w:id="61" w:name="_Toc80808273"/>
      <w:r>
        <w:rPr>
          <w:rFonts w:cs="Times New Roman"/>
          <w:color w:val="auto"/>
        </w:rPr>
        <w:lastRenderedPageBreak/>
        <w:t>Discussions</w:t>
      </w:r>
      <w:bookmarkEnd w:id="61"/>
    </w:p>
    <w:p w:rsidR="001C2CCB" w:rsidRPr="00412874" w:rsidRDefault="001C2CCB" w:rsidP="001C2CCB">
      <w:pPr>
        <w:rPr>
          <w:lang w:val="en-US"/>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Pr>
          <w:rFonts w:ascii="Times New Roman" w:hAnsi="Times New Roman" w:cs="Times New Roman"/>
          <w:sz w:val="24"/>
          <w:szCs w:val="24"/>
        </w:rPr>
        <w:t>Consistent with the above findings, this research finds that w</w:t>
      </w:r>
      <w:r w:rsidRPr="00944EB8">
        <w:rPr>
          <w:rFonts w:ascii="Times New Roman" w:hAnsi="Times New Roman" w:cs="Times New Roman"/>
          <w:sz w:val="24"/>
          <w:szCs w:val="24"/>
        </w:rPr>
        <w:t xml:space="preserve">hile the general attitude of the courts has been consistent with the general spirit of the Act i.e. that of non-interference, some of the courts' decisions have left a lot to be desired. One particular decision of the Supreme Court of Nigeria stands out in this regard.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In the case of </w:t>
      </w:r>
      <w:r w:rsidRPr="00944EB8">
        <w:rPr>
          <w:rFonts w:ascii="Times New Roman" w:hAnsi="Times New Roman" w:cs="Times New Roman"/>
          <w:b/>
          <w:bCs/>
          <w:i/>
          <w:iCs/>
          <w:sz w:val="24"/>
          <w:szCs w:val="24"/>
        </w:rPr>
        <w:t>City Engineering Nig. Ltd v. Federal Housing Authority (1997) 9 NWLR (Pt. 520) 224</w:t>
      </w:r>
      <w:r w:rsidRPr="00944EB8">
        <w:rPr>
          <w:rFonts w:ascii="Times New Roman" w:hAnsi="Times New Roman" w:cs="Times New Roman"/>
          <w:sz w:val="24"/>
          <w:szCs w:val="24"/>
        </w:rPr>
        <w:t xml:space="preserve"> the question that arose for determination was when the period of limitation begins to count for the purpose of enforcing an arbitral award. Under the Limitation Law of Lagos State and indeed in most States in Nigeria, there is a requirement to bring claims for breach of contract and ancillary claims within a period of 6 years from when the cause of action accrued. In the </w:t>
      </w:r>
      <w:r w:rsidRPr="00944EB8">
        <w:rPr>
          <w:rFonts w:ascii="Times New Roman" w:hAnsi="Times New Roman" w:cs="Times New Roman"/>
          <w:i/>
          <w:iCs/>
          <w:sz w:val="24"/>
          <w:szCs w:val="24"/>
        </w:rPr>
        <w:t xml:space="preserve">City Engineering </w:t>
      </w:r>
      <w:r w:rsidRPr="00944EB8">
        <w:rPr>
          <w:rFonts w:ascii="Times New Roman" w:hAnsi="Times New Roman" w:cs="Times New Roman"/>
          <w:sz w:val="24"/>
          <w:szCs w:val="24"/>
        </w:rPr>
        <w:t xml:space="preserve">case, the first instance court held that with respect to arbitration, the limitation period begins to run from the date of the accrual of the original cause of action which resulted in the commencement of the arbitration proceedings and not from the date of the making of the award.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In plain terms, the implication of the decision of the court is that if a cause of action arose in April 2010 and the claimant commenced arbitration in respect of such claim in 2013 and the proceedings are concluded in May 2016 with the award published in that month, the limitation period begins to run from April 2010 and not May 2016, with the result being that the cause of action would have become statute barred by the time the award is published and the claimant would be unable to enforce the award.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The issue went all the way to the Supreme Court and despite its decision to the contrary in the case of </w:t>
      </w:r>
      <w:r w:rsidRPr="00944EB8">
        <w:rPr>
          <w:rFonts w:ascii="Times New Roman" w:hAnsi="Times New Roman" w:cs="Times New Roman"/>
          <w:b/>
          <w:bCs/>
          <w:i/>
          <w:iCs/>
          <w:sz w:val="24"/>
          <w:szCs w:val="24"/>
        </w:rPr>
        <w:t>Kano State Urban Development Board v. Fanz Construction Co Ltd (1990) 4 NWLR (Pt. 142) 1,</w:t>
      </w:r>
      <w:r w:rsidRPr="00944EB8">
        <w:rPr>
          <w:rFonts w:ascii="Times New Roman" w:hAnsi="Times New Roman" w:cs="Times New Roman"/>
          <w:sz w:val="24"/>
          <w:szCs w:val="24"/>
        </w:rPr>
        <w:t xml:space="preserve"> the Supreme Court upheld the judgment of the High Court and held that by virtue of the provisions of the Limitation Law of Lagos State, the action for the enforcement of the award had become statute barred having not been brought within the six years from the date the cause of action arose. This was notwithstanding the fact that the claimant commenced the arbitration before the expiration of the six-year period and the fact that as at the time the six-year period expired, there was no award available to the claimant </w:t>
      </w:r>
      <w:r w:rsidRPr="00944EB8">
        <w:rPr>
          <w:rFonts w:ascii="Times New Roman" w:hAnsi="Times New Roman" w:cs="Times New Roman"/>
          <w:sz w:val="24"/>
          <w:szCs w:val="24"/>
        </w:rPr>
        <w:lastRenderedPageBreak/>
        <w:t xml:space="preserve">to enforce. For a jurisdiction that is not particularly famed for prompt determination of cases, this decision constitutes one of the biggest setbacks to the practice of commercial arbitration in Nigeria.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Under section 35(5) of the Arbitration Law of Lagos State, it is expressly provided that in computing the time for the commencement of proceedings to enforce an arbitral award, the period between the commencement of the arbitration and the date of the award shall be excluded. It is generally accepted in the arbitration community in Nigeria that the above provision cures the mischief occasioned by the Supreme Court’s decision in the </w:t>
      </w:r>
      <w:r w:rsidRPr="00944EB8">
        <w:rPr>
          <w:rFonts w:ascii="Times New Roman" w:hAnsi="Times New Roman" w:cs="Times New Roman"/>
          <w:b/>
          <w:bCs/>
          <w:i/>
          <w:iCs/>
          <w:sz w:val="24"/>
          <w:szCs w:val="24"/>
        </w:rPr>
        <w:t>City Engineering</w:t>
      </w:r>
      <w:r w:rsidRPr="00944EB8">
        <w:rPr>
          <w:rFonts w:ascii="Times New Roman" w:hAnsi="Times New Roman" w:cs="Times New Roman"/>
          <w:sz w:val="24"/>
          <w:szCs w:val="24"/>
        </w:rPr>
        <w:t xml:space="preserve"> case. According to Akpata &amp; O. Adegbonmire (2019), the provisions adequately address the defect of the Arbitration and Conciliation Act which causes the statutory period of limitation for enforcement of an award to run from the date the cause of action arose rather than the date when the award was published.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controversy ignited by the Court of Appeal in the cases of </w:t>
      </w:r>
      <w:r w:rsidRPr="00944EB8">
        <w:rPr>
          <w:rFonts w:ascii="Times New Roman" w:hAnsi="Times New Roman" w:cs="Times New Roman"/>
          <w:b/>
          <w:bCs/>
          <w:i/>
          <w:iCs/>
          <w:sz w:val="24"/>
          <w:szCs w:val="24"/>
        </w:rPr>
        <w:t xml:space="preserve">United Bank for Africa v. Trident Consulting Ltd, </w:t>
      </w:r>
      <w:r w:rsidRPr="00944EB8">
        <w:rPr>
          <w:rFonts w:ascii="Times New Roman" w:hAnsi="Times New Roman" w:cs="Times New Roman"/>
          <w:b/>
          <w:bCs/>
          <w:i/>
          <w:iCs/>
          <w:sz w:val="24"/>
          <w:szCs w:val="24"/>
        </w:rPr>
        <w:fldChar w:fldCharType="begin"/>
      </w:r>
      <w:r w:rsidRPr="00944EB8">
        <w:rPr>
          <w:rFonts w:ascii="Times New Roman" w:hAnsi="Times New Roman" w:cs="Times New Roman"/>
          <w:b/>
          <w:bCs/>
          <w:i/>
          <w:iCs/>
          <w:sz w:val="24"/>
          <w:szCs w:val="24"/>
        </w:rPr>
        <w:instrText xml:space="preserve"> ADDIN ZOTERO_ITEM CSL_CITATION {"citationID":"1CWKbGy0","properties":{"formattedCitation":"(\\uc0\\u8220{}United Bank For Africa plc. V Trident Consulting Limited Qualified,\\uc0\\u8221{} n.d.)","plainCitation":"(“United Bank For Africa plc. V Trident Consulting Limited Qualified,” n.d.)","noteIndex":0},"citationItems":[{"id":636,"uris":["http://zotero.org/users/local/arLofKbg/items/D8I7CFJI"],"uri":["http://zotero.org/users/local/arLofKbg/items/D8I7CFJI"],"itemData":{"id":636,"type":"webpage","abstract":"In a recent decision, the Court of Appeal sitting in Lagos, in Dr. Charles D. Mekwunye v. Lotus Capital Limited &amp; 4 Ors. (SUIT NO: CA/L/1349/2016 – judgment delivered on April 20, 2018), clarified...","container-title":"Banwo &amp; Ighodalo","title":"United Bank For Africa plc. V Trident Consulting Limited Qualified","URL":"https://banwo-ighodalo.com/news/united-bank-for-africa-plc-v-trident-consulting-limited-qualified","accessed":{"date-parts":[["2021",4,22]]}}}],"schema":"https://github.com/citation-style-language/schema/raw/master/csl-citation.json"} </w:instrText>
      </w:r>
      <w:r w:rsidRPr="00944EB8">
        <w:rPr>
          <w:rFonts w:ascii="Times New Roman" w:hAnsi="Times New Roman" w:cs="Times New Roman"/>
          <w:b/>
          <w:bCs/>
          <w:i/>
          <w:iCs/>
          <w:sz w:val="24"/>
          <w:szCs w:val="24"/>
        </w:rPr>
        <w:fldChar w:fldCharType="separate"/>
      </w:r>
      <w:r w:rsidRPr="00944EB8">
        <w:rPr>
          <w:rFonts w:ascii="Times New Roman" w:eastAsia="Times New Roman" w:hAnsi="Times New Roman" w:cs="Times New Roman"/>
          <w:b/>
          <w:bCs/>
          <w:i/>
          <w:iCs/>
          <w:sz w:val="24"/>
          <w:szCs w:val="24"/>
        </w:rPr>
        <w:t>(2013) 4 CLRN 119</w:t>
      </w:r>
      <w:r w:rsidRPr="00944EB8">
        <w:rPr>
          <w:rFonts w:ascii="Times New Roman" w:hAnsi="Times New Roman" w:cs="Times New Roman"/>
          <w:b/>
          <w:bCs/>
          <w:i/>
          <w:iCs/>
          <w:sz w:val="24"/>
          <w:szCs w:val="24"/>
        </w:rPr>
        <w:t>)</w:t>
      </w:r>
      <w:r w:rsidRPr="00944EB8">
        <w:rPr>
          <w:rFonts w:ascii="Times New Roman" w:hAnsi="Times New Roman" w:cs="Times New Roman"/>
          <w:b/>
          <w:bCs/>
          <w:i/>
          <w:iCs/>
          <w:sz w:val="24"/>
          <w:szCs w:val="24"/>
        </w:rPr>
        <w:fldChar w:fldCharType="end"/>
      </w:r>
      <w:r w:rsidRPr="00944EB8">
        <w:rPr>
          <w:rFonts w:ascii="Times New Roman" w:hAnsi="Times New Roman" w:cs="Times New Roman"/>
          <w:b/>
          <w:bCs/>
          <w:i/>
          <w:iCs/>
          <w:sz w:val="24"/>
          <w:szCs w:val="24"/>
        </w:rPr>
        <w:t xml:space="preserve"> </w:t>
      </w:r>
      <w:r w:rsidRPr="00944EB8">
        <w:rPr>
          <w:rFonts w:ascii="Times New Roman" w:hAnsi="Times New Roman" w:cs="Times New Roman"/>
          <w:sz w:val="24"/>
          <w:szCs w:val="24"/>
        </w:rPr>
        <w:t xml:space="preserve">and </w:t>
      </w:r>
      <w:r w:rsidRPr="00944EB8">
        <w:rPr>
          <w:rFonts w:ascii="Times New Roman" w:hAnsi="Times New Roman" w:cs="Times New Roman"/>
          <w:b/>
          <w:bCs/>
          <w:i/>
          <w:iCs/>
          <w:sz w:val="24"/>
          <w:szCs w:val="24"/>
        </w:rPr>
        <w:t>Panormos Bay v Olam (2004),</w:t>
      </w:r>
      <w:r w:rsidRPr="00944EB8">
        <w:rPr>
          <w:rFonts w:ascii="Times New Roman" w:hAnsi="Times New Roman" w:cs="Times New Roman"/>
          <w:sz w:val="24"/>
          <w:szCs w:val="24"/>
        </w:rPr>
        <w:t xml:space="preserve"> as discussed in 3.2.2 above over the question of what conditions must be fulfilled by a party applying for stay of proceedings pending arbitration under section 5(2) of the Arbitration and Conciliation Act has also remained unresolved. In those cases, the Court of Appeal held that a party applying for a stay of proceedings in an action pending reference to arbitration must support the application by showing in his affidavit documentary evidence of the steps he took or intends to take for the proper conduct of the arbitration; and that it was not enough for him merely to depose that he was ready and willing to do all things necessary for causing the matter to be decided by arbitration. In the process, the Court of Appeal imposed on applicants for an order for stay of proceedings in favour of arbitration, a condition more onerous than what is required under the New York Convention, thereby going against the letters and spirit of the Convention.</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Although the preponderance of the recent line of cases has been against imposing additional requirements on such an applicant to provide documentary evidence of his willingness to proceed to arbitration, the cases which imposed such obligations have not expressly been overruled and can still be relied on by parties and lower courts to frustrate </w:t>
      </w:r>
      <w:r w:rsidRPr="00944EB8">
        <w:rPr>
          <w:rFonts w:ascii="Times New Roman" w:hAnsi="Times New Roman" w:cs="Times New Roman"/>
          <w:sz w:val="24"/>
          <w:szCs w:val="24"/>
        </w:rPr>
        <w:lastRenderedPageBreak/>
        <w:t>an innocent party’s right to arbitration. It is therefore pertinent to lay that controversy to rest and ensure certainty which is what the business community demands of any legal system.</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A36331"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The respondents also agree that there is need for the reform of the arbitration legislation in Nigeria. </w:t>
      </w:r>
      <w:r w:rsidRPr="00A36331">
        <w:rPr>
          <w:rFonts w:ascii="Times New Roman" w:hAnsi="Times New Roman" w:cs="Times New Roman"/>
          <w:sz w:val="24"/>
          <w:szCs w:val="24"/>
        </w:rPr>
        <w:t xml:space="preserve">On the whole, there are a total of 48 references to ‘court’ in the main provisions of the Nigerian Arbitration and Conciliation Act (exclusive of the references in the schedule to the Act), which on the average translates to more than one reference to court in every other section of the Act. When considered in light of the fact that the fear of the involvement of the judiciary is precisely the reason why parties refer their dispute to arbitration (Lutz, 1988), then the inevitable conclusion to be drawn is that the references to court in the Act are inordinate.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A critical reading of the 48 instances where the Arbitration Act references </w:t>
      </w:r>
      <w:proofErr w:type="gramStart"/>
      <w:r w:rsidRPr="00944EB8">
        <w:rPr>
          <w:rFonts w:ascii="Times New Roman" w:hAnsi="Times New Roman" w:cs="Times New Roman"/>
          <w:sz w:val="24"/>
          <w:szCs w:val="24"/>
        </w:rPr>
        <w:t>court,</w:t>
      </w:r>
      <w:proofErr w:type="gramEnd"/>
      <w:r w:rsidRPr="00944EB8">
        <w:rPr>
          <w:rFonts w:ascii="Times New Roman" w:hAnsi="Times New Roman" w:cs="Times New Roman"/>
          <w:sz w:val="24"/>
          <w:szCs w:val="24"/>
        </w:rPr>
        <w:t xml:space="preserve"> reveals that some of them are unnecessary and should be reviewed as a matter of urgency. As noted in earlier chapters, such provisions as section 2 which entitles parties to approach the courts to invalidate an arbitration agreement is inconsistent with the competence - competence doctrine which is universally recognised; section 7 of the Act which provide for recourse to the courts as the default appointing authority in cases where parties default in appointing their party-party-appointed arbitrators or where their two appointed arbitrators are unable to agree a third arbitrator; the unhelpful duplication of some provisions in the Act notably sections 4 and 5 which deal with the power of the courts to stay proceedings and refer parties to arbitration as well as sections 29 and 30 which deal with the grounds for applying to set aside arbitral awards, etc. are just some of the provisions that are in need of reform.</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ind w:hanging="450"/>
        <w:jc w:val="both"/>
        <w:rPr>
          <w:rFonts w:ascii="Times New Roman" w:hAnsi="Times New Roman" w:cs="Times New Roman"/>
          <w:sz w:val="24"/>
          <w:szCs w:val="24"/>
        </w:rPr>
      </w:pPr>
      <w:r w:rsidRPr="00944EB8">
        <w:rPr>
          <w:rFonts w:ascii="Times New Roman" w:hAnsi="Times New Roman" w:cs="Times New Roman"/>
          <w:sz w:val="24"/>
          <w:szCs w:val="24"/>
        </w:rPr>
        <w:t xml:space="preserve">Some of instances where the assistance or intervention of national courts have been required in the arbitral process include helping to constitute or fill vacancies in an arbitral tribunal; compelling a party to submit to arbitration, and relatedly staying or dismissing litigations that contravene a valid arbitration clause; in limited circumstances, issuing anti-suit injunctions to prevent a party subject to a court's jurisdiction from pursuing litigation in breach of a valid arbitration agreement; enjoining a party from proceeding with arbitration </w:t>
      </w:r>
      <w:r w:rsidRPr="00944EB8">
        <w:rPr>
          <w:rFonts w:ascii="Times New Roman" w:hAnsi="Times New Roman" w:cs="Times New Roman"/>
          <w:sz w:val="24"/>
          <w:szCs w:val="24"/>
        </w:rPr>
        <w:lastRenderedPageBreak/>
        <w:t xml:space="preserve">in breach of valid choice of court agreements; compelling discovery or other disclosure in aid of arbitration; enforcing subpoenas issued by an arbitral tribunal; granting provisional relief in aid of arbitration, or enforcing certain interim relief orders issued by tribunals; recognising and enforcing arbitration awards, or setting aside same in deserving circumstances; etc,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{"citationID":"mZPDmAJz","properties":{"formattedCitation":"(Bello, 2019)","plainCitation":"(Bello, 2019)","noteIndex":0},"citationItems":[{"id":558,"uris":["http://zotero.org/users/local/arLofKbg/items/DD7TTR2L"],"uri":["http://zotero.org/users/local/arLofKbg/items/DD7TTR2L"],"itemData":{"id":558,"type":"report","abstract":"Arbitration as a dispute resolution mechanism is centered on parties’ agreement and autonomy thereby making way for amicable resolution of the dispute whatever the outcome is, based on award rendered by the arbitral tribunal.The article discussed the judicial intervention in arbitration between Nigeria and the United States of America on comparative basis of the two jurisdictions. The article finds that arbitration in Nigeria is regularly on attack basis and contrary to the position in the USA, and if care is not taken, this may wreck arbitration in Nigeria. The article concludes that the judiciary should play more supportive roles, than undue intervention. It recommends that there should be a more conducive environment and improved infrastructure for Nigerian arbitration to be in the same template with the U.S arbitration.","event-place":"Rochester, NY","genre":"SSRN Scholarly Paper","language":"en","note":"DOI: 10.2139/ssrn.3405449","number":"ID 3405449","publisher":"Social Science Research Network","publisher-place":"Rochester, NY","source":"papers.ssrn.com","title":"Judicial Intervention in Arbitration; A Comparative Analysis of Nigeria and the United States of America.","URL":"https://papers.ssrn.com/abstract=3405449","author":[{"family":"Bello","given":"Temitayo"}],"accessed":{"date-parts":[["2021",1,26]]},"issued":{"date-parts":[["2019",6,17]]}}}],"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rPr>
        <w:t>(Bello, 2019)</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Thus, the only area of contention is the question of the extent of such intervention since it is agreed that </w:t>
      </w:r>
      <w:r w:rsidRPr="00944EB8">
        <w:rPr>
          <w:rFonts w:ascii="Times New Roman" w:eastAsiaTheme="minorHAnsi" w:hAnsi="Times New Roman" w:cs="Times New Roman"/>
          <w:sz w:val="24"/>
          <w:szCs w:val="24"/>
        </w:rPr>
        <w:t>excessive or too intrusive intervention by</w:t>
      </w:r>
      <w:r w:rsidRPr="00944EB8">
        <w:rPr>
          <w:rFonts w:ascii="Times New Roman" w:eastAsiaTheme="minorHAnsi" w:hAnsi="Times New Roman" w:cs="Times New Roman"/>
          <w:b/>
          <w:bCs/>
          <w:sz w:val="24"/>
          <w:szCs w:val="24"/>
        </w:rPr>
        <w:t xml:space="preserve"> </w:t>
      </w:r>
      <w:r w:rsidRPr="00944EB8">
        <w:rPr>
          <w:rFonts w:ascii="Times New Roman" w:eastAsiaTheme="minorHAnsi" w:hAnsi="Times New Roman" w:cs="Times New Roman"/>
          <w:sz w:val="24"/>
          <w:szCs w:val="24"/>
        </w:rPr>
        <w:t xml:space="preserve">a country’s national courts can defeat the whole arbitration process, destroying its sanctity and benefits; and in the long term may lead to crumbling of the institution of arbitration in that country, </w:t>
      </w:r>
      <w:r w:rsidRPr="00944EB8">
        <w:rPr>
          <w:rFonts w:ascii="Times New Roman" w:eastAsiaTheme="minorHAnsi" w:hAnsi="Times New Roman" w:cs="Times New Roman"/>
          <w:sz w:val="24"/>
          <w:szCs w:val="24"/>
        </w:rPr>
        <w:fldChar w:fldCharType="begin"/>
      </w:r>
      <w:r w:rsidRPr="00944EB8">
        <w:rPr>
          <w:rFonts w:ascii="Times New Roman" w:eastAsiaTheme="minorHAnsi" w:hAnsi="Times New Roman" w:cs="Times New Roman"/>
          <w:sz w:val="24"/>
          <w:szCs w:val="24"/>
        </w:rPr>
        <w:instrText xml:space="preserve"> ADDIN ZOTERO_ITEM CSL_CITATION {"citationID":"7iFWgxeg","properties":{"formattedCitation":"(Sharma, 2014)","plainCitation":"(Sharma, 2014)","noteIndex":0},"citationItems":[{"id":529,"uris":["http://zotero.org/users/local/arLofKbg/items/5ZLR62M3"],"uri":["http://zotero.org/users/local/arLofKbg/items/5ZLR62M3"],"itemData":{"id":529,"type":"article-journal","container-title":"Indian J. Arb. L.","note":"publisher: HeinOnline","page":"6","source":"Google Scholar","title":"Judicial Intervention in International Commercial Arbitration: Critiquing the Indian Supreme Court's Interpretation of the Arbitration and Conciliation Act, 1996","title-short":"Judicial Intervention in International Commercial Arbitration","volume":"3","author":[{"family":"Sharma","given":"Ajay Kr"}],"issued":{"date-parts":[["2014"]]}}}],"schema":"https://github.com/citation-style-language/schema/raw/master/csl-citation.json"} </w:instrText>
      </w:r>
      <w:r w:rsidRPr="00944EB8">
        <w:rPr>
          <w:rFonts w:ascii="Times New Roman" w:eastAsiaTheme="minorHAnsi" w:hAnsi="Times New Roman" w:cs="Times New Roman"/>
          <w:sz w:val="24"/>
          <w:szCs w:val="24"/>
        </w:rPr>
        <w:fldChar w:fldCharType="separate"/>
      </w:r>
      <w:r w:rsidRPr="00944EB8">
        <w:rPr>
          <w:rFonts w:ascii="Times New Roman" w:hAnsi="Times New Roman" w:cs="Times New Roman"/>
          <w:sz w:val="24"/>
        </w:rPr>
        <w:t>(Sharma, 2014)</w:t>
      </w:r>
      <w:r w:rsidRPr="00944EB8">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w:t>
      </w:r>
    </w:p>
    <w:p w:rsidR="001C2CCB" w:rsidRPr="00944EB8" w:rsidRDefault="001C2CCB" w:rsidP="001C2CCB">
      <w:pPr>
        <w:pStyle w:val="ListParagraph"/>
        <w:spacing w:before="0" w:after="0" w:line="360" w:lineRule="auto"/>
        <w:ind w:left="450" w:hanging="450"/>
        <w:jc w:val="both"/>
        <w:rPr>
          <w:rFonts w:ascii="Times New Roman" w:hAnsi="Times New Roman" w:cs="Times New Roman"/>
          <w:sz w:val="24"/>
          <w:szCs w:val="24"/>
        </w:rPr>
      </w:pPr>
    </w:p>
    <w:p w:rsidR="001C2CCB" w:rsidRPr="00796CD5" w:rsidRDefault="001C2CCB" w:rsidP="001C2CCB">
      <w:pPr>
        <w:pStyle w:val="ListParagraph"/>
        <w:numPr>
          <w:ilvl w:val="0"/>
          <w:numId w:val="34"/>
        </w:numPr>
        <w:spacing w:before="0" w:after="0" w:line="360" w:lineRule="auto"/>
        <w:ind w:hanging="450"/>
        <w:jc w:val="both"/>
        <w:rPr>
          <w:rFonts w:ascii="Times New Roman" w:hAnsi="Times New Roman" w:cs="Times New Roman"/>
          <w:sz w:val="24"/>
          <w:szCs w:val="24"/>
        </w:rPr>
      </w:pPr>
      <w:r w:rsidRPr="00944EB8">
        <w:rPr>
          <w:rFonts w:ascii="Times New Roman" w:hAnsi="Times New Roman" w:cs="Times New Roman"/>
          <w:sz w:val="24"/>
          <w:szCs w:val="24"/>
        </w:rPr>
        <w:t xml:space="preserve">From the standpoint of the relevant Nigerian arbitration legislation, and borrowing from the approach adopted by </w:t>
      </w:r>
      <w:r w:rsidRPr="00944EB8">
        <w:rPr>
          <w:rFonts w:ascii="Times New Roman" w:eastAsiaTheme="minorHAnsi" w:hAnsi="Times New Roman" w:cs="Times New Roman"/>
          <w:sz w:val="24"/>
          <w:szCs w:val="24"/>
        </w:rPr>
        <w:t xml:space="preserve">Lutz </w:t>
      </w:r>
      <w:r w:rsidRPr="00944EB8">
        <w:rPr>
          <w:rFonts w:ascii="Times New Roman" w:hAnsi="Times New Roman" w:cs="Times New Roman"/>
          <w:sz w:val="24"/>
          <w:szCs w:val="24"/>
        </w:rPr>
        <w:t>(1988), th</w:t>
      </w:r>
      <w:r>
        <w:rPr>
          <w:rFonts w:ascii="Times New Roman" w:hAnsi="Times New Roman" w:cs="Times New Roman"/>
          <w:sz w:val="24"/>
          <w:szCs w:val="24"/>
        </w:rPr>
        <w:t xml:space="preserve">is part of the </w:t>
      </w:r>
      <w:r w:rsidRPr="00944EB8">
        <w:rPr>
          <w:rFonts w:ascii="Times New Roman" w:hAnsi="Times New Roman" w:cs="Times New Roman"/>
          <w:sz w:val="24"/>
          <w:szCs w:val="24"/>
        </w:rPr>
        <w:t xml:space="preserve">chapter will </w:t>
      </w:r>
      <w:r>
        <w:rPr>
          <w:rFonts w:ascii="Times New Roman" w:hAnsi="Times New Roman" w:cs="Times New Roman"/>
          <w:sz w:val="24"/>
          <w:szCs w:val="24"/>
        </w:rPr>
        <w:t xml:space="preserve">now discuss the above findings as they relate to the concept of </w:t>
      </w:r>
      <w:r w:rsidRPr="00944EB8">
        <w:rPr>
          <w:rFonts w:ascii="Times New Roman" w:hAnsi="Times New Roman" w:cs="Times New Roman"/>
          <w:sz w:val="24"/>
          <w:szCs w:val="24"/>
        </w:rPr>
        <w:t xml:space="preserve">judicial intervention at the various stages of the arbitration processes i.e. the stage before the commencement of the arbitration proceedings, during the course of the proceedings and the post arbitration stage i.e. following the award. </w:t>
      </w:r>
    </w:p>
    <w:p w:rsidR="001C2CCB" w:rsidRPr="00944EB8" w:rsidRDefault="001C2CCB" w:rsidP="001C2CCB">
      <w:pPr>
        <w:pStyle w:val="Heading2"/>
        <w:numPr>
          <w:ilvl w:val="1"/>
          <w:numId w:val="26"/>
        </w:numPr>
        <w:rPr>
          <w:rFonts w:cs="Times New Roman"/>
          <w:color w:val="auto"/>
        </w:rPr>
      </w:pPr>
      <w:bookmarkStart w:id="62" w:name="_Toc80808274"/>
      <w:r w:rsidRPr="00944EB8">
        <w:rPr>
          <w:rFonts w:cs="Times New Roman"/>
          <w:color w:val="auto"/>
        </w:rPr>
        <w:t>Conclusion</w:t>
      </w:r>
      <w:bookmarkEnd w:id="62"/>
    </w:p>
    <w:p w:rsidR="001C2CCB" w:rsidRPr="00944EB8" w:rsidRDefault="001C2CCB" w:rsidP="001C2CCB">
      <w:pPr>
        <w:pStyle w:val="ListParagraph"/>
        <w:rPr>
          <w:rFonts w:ascii="Times New Roman" w:hAnsi="Times New Roman" w:cs="Times New Roman"/>
          <w:sz w:val="24"/>
          <w:szCs w:val="24"/>
        </w:rPr>
      </w:pPr>
    </w:p>
    <w:p w:rsidR="001C2CCB" w:rsidRPr="00A76D42" w:rsidRDefault="001C2CCB" w:rsidP="001C2CCB">
      <w:pPr>
        <w:pStyle w:val="ListParagraph"/>
        <w:numPr>
          <w:ilvl w:val="0"/>
          <w:numId w:val="34"/>
        </w:numPr>
        <w:tabs>
          <w:tab w:val="left" w:pos="540"/>
        </w:tabs>
        <w:spacing w:before="0" w:after="0" w:line="360" w:lineRule="auto"/>
        <w:jc w:val="both"/>
        <w:rPr>
          <w:rFonts w:ascii="Times New Roman" w:hAnsi="Times New Roman"/>
          <w:color w:val="000000" w:themeColor="text1"/>
          <w:sz w:val="24"/>
          <w:szCs w:val="24"/>
        </w:rPr>
      </w:pPr>
      <w:r w:rsidRPr="00122B41">
        <w:rPr>
          <w:rFonts w:ascii="Times New Roman" w:hAnsi="Times New Roman" w:cs="Times New Roman"/>
          <w:sz w:val="24"/>
          <w:szCs w:val="24"/>
        </w:rPr>
        <w:t xml:space="preserve">This chapter has elaborated on the empirical findings from the responses to the </w:t>
      </w:r>
      <w:r w:rsidRPr="00122B41">
        <w:rPr>
          <w:rFonts w:ascii="Times New Roman" w:hAnsi="Times New Roman" w:cs="Times New Roman"/>
          <w:color w:val="0E101A"/>
          <w:sz w:val="24"/>
          <w:szCs w:val="24"/>
        </w:rPr>
        <w:t xml:space="preserve">semi-structured questionnaires to </w:t>
      </w:r>
      <w:r w:rsidRPr="00122B41">
        <w:rPr>
          <w:rFonts w:ascii="Times New Roman" w:hAnsi="Times New Roman" w:cs="Times New Roman"/>
          <w:sz w:val="24"/>
          <w:szCs w:val="24"/>
        </w:rPr>
        <w:t xml:space="preserve">highlight instances of judicial intervention at different stages of the arbitral process, to wit: before arbitration, during arbitration proceedings proper and at the post award stage and ultimately reveals the true extent to which national courts in Nigeria have intervened or interceded in the arbitral process to determine whether, beyond the rhetoric they have facilitated or inhibited the process. The chapter showed that the responses align with the central thesis of this research which is to the effect that there is a necessity for the limited intervention of national courts in the arbitral process in a way that facilitates rather than inhibits the process. </w:t>
      </w:r>
    </w:p>
    <w:p w:rsidR="001C2CCB" w:rsidRPr="00A76D42" w:rsidRDefault="001C2CCB" w:rsidP="001C2CCB">
      <w:pPr>
        <w:pStyle w:val="ListParagraph"/>
        <w:numPr>
          <w:ilvl w:val="0"/>
          <w:numId w:val="34"/>
        </w:numPr>
        <w:tabs>
          <w:tab w:val="left" w:pos="540"/>
        </w:tabs>
        <w:spacing w:before="0" w:after="0" w:line="360" w:lineRule="auto"/>
        <w:jc w:val="both"/>
        <w:rPr>
          <w:rFonts w:ascii="Times New Roman" w:hAnsi="Times New Roman"/>
          <w:color w:val="000000" w:themeColor="text1"/>
          <w:sz w:val="24"/>
          <w:szCs w:val="24"/>
        </w:rPr>
      </w:pPr>
      <w:r w:rsidRPr="00A76D42">
        <w:rPr>
          <w:rFonts w:ascii="Times New Roman" w:eastAsia="Times New Roman" w:hAnsi="Times New Roman"/>
          <w:color w:val="000000" w:themeColor="text1"/>
          <w:sz w:val="24"/>
          <w:szCs w:val="24"/>
        </w:rPr>
        <w:t xml:space="preserve">In further consideration of the </w:t>
      </w:r>
      <w:r w:rsidRPr="00A76D42">
        <w:rPr>
          <w:rFonts w:ascii="Times New Roman" w:hAnsi="Times New Roman"/>
          <w:sz w:val="24"/>
          <w:szCs w:val="24"/>
        </w:rPr>
        <w:t>provisions of the Arbitration and Conciliation Act on the subject of judicial intervention, the next chapter will now begin the comprehensive analysis of relevant provisions of the Nigerian Arbitration and Conciliation Act as well as im</w:t>
      </w:r>
      <w:r w:rsidRPr="00A76D42">
        <w:rPr>
          <w:rFonts w:ascii="Times New Roman" w:eastAsiaTheme="minorHAnsi" w:hAnsi="Times New Roman"/>
          <w:sz w:val="24"/>
          <w:szCs w:val="24"/>
        </w:rPr>
        <w:t xml:space="preserve">portant </w:t>
      </w:r>
      <w:r w:rsidRPr="00A76D42">
        <w:rPr>
          <w:rFonts w:ascii="Times New Roman" w:eastAsiaTheme="minorHAnsi" w:hAnsi="Times New Roman"/>
          <w:sz w:val="24"/>
          <w:szCs w:val="24"/>
        </w:rPr>
        <w:lastRenderedPageBreak/>
        <w:t>judicial</w:t>
      </w:r>
      <w:r w:rsidRPr="00A76D42">
        <w:rPr>
          <w:rFonts w:ascii="Times New Roman" w:hAnsi="Times New Roman"/>
          <w:sz w:val="24"/>
          <w:szCs w:val="24"/>
        </w:rPr>
        <w:t xml:space="preserve"> </w:t>
      </w:r>
      <w:r w:rsidRPr="00A76D42">
        <w:rPr>
          <w:rFonts w:ascii="Times New Roman" w:eastAsiaTheme="minorHAnsi" w:hAnsi="Times New Roman"/>
          <w:sz w:val="24"/>
          <w:szCs w:val="24"/>
        </w:rPr>
        <w:t xml:space="preserve">decisions from </w:t>
      </w:r>
      <w:r w:rsidRPr="00A76D42">
        <w:rPr>
          <w:rFonts w:ascii="Times New Roman" w:hAnsi="Times New Roman"/>
          <w:sz w:val="24"/>
          <w:szCs w:val="24"/>
        </w:rPr>
        <w:t>Nigerian courts</w:t>
      </w:r>
      <w:r w:rsidRPr="00A76D42">
        <w:rPr>
          <w:rFonts w:ascii="Times New Roman" w:eastAsiaTheme="minorHAnsi" w:hAnsi="Times New Roman"/>
          <w:sz w:val="24"/>
          <w:szCs w:val="24"/>
        </w:rPr>
        <w:t xml:space="preserve"> on </w:t>
      </w:r>
      <w:r w:rsidRPr="00A76D42">
        <w:rPr>
          <w:rFonts w:ascii="Times New Roman" w:hAnsi="Times New Roman"/>
          <w:sz w:val="24"/>
          <w:szCs w:val="24"/>
        </w:rPr>
        <w:t>the concept of judicial intervention during the various stages of the arbitral process.</w:t>
      </w:r>
    </w:p>
    <w:p w:rsidR="001C2CCB" w:rsidRPr="00A76D42" w:rsidRDefault="001C2CCB" w:rsidP="001C2CCB">
      <w:pPr>
        <w:tabs>
          <w:tab w:val="left" w:pos="540"/>
        </w:tabs>
        <w:spacing w:before="0" w:after="0" w:line="360" w:lineRule="auto"/>
        <w:jc w:val="both"/>
        <w:rPr>
          <w:rFonts w:ascii="Times New Roman" w:hAnsi="Times New Roman"/>
          <w:color w:val="000000" w:themeColor="text1"/>
          <w:sz w:val="24"/>
          <w:szCs w:val="24"/>
        </w:rPr>
      </w:pPr>
    </w:p>
    <w:p w:rsidR="001C2CCB" w:rsidRPr="00734DEC" w:rsidRDefault="001C2CCB" w:rsidP="001C2CCB">
      <w:pPr>
        <w:pStyle w:val="ListParagraph"/>
        <w:spacing w:line="360" w:lineRule="auto"/>
        <w:ind w:left="450"/>
        <w:jc w:val="both"/>
        <w:rPr>
          <w:rFonts w:ascii="Times New Roman" w:hAnsi="Times New Roman" w:cs="Times New Roman"/>
          <w:sz w:val="24"/>
          <w:szCs w:val="24"/>
        </w:rPr>
      </w:pPr>
    </w:p>
    <w:p w:rsidR="001C2CCB" w:rsidRDefault="001C2CCB" w:rsidP="001C2CCB">
      <w:pPr>
        <w:pStyle w:val="ListParagraph"/>
        <w:spacing w:line="360" w:lineRule="auto"/>
        <w:ind w:left="450"/>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spacing w:line="360" w:lineRule="auto"/>
        <w:jc w:val="both"/>
        <w:rPr>
          <w:rFonts w:ascii="Times New Roman" w:hAnsi="Times New Roman" w:cs="Times New Roman"/>
          <w:sz w:val="24"/>
          <w:szCs w:val="24"/>
        </w:rPr>
      </w:pPr>
    </w:p>
    <w:p w:rsidR="001C2CCB" w:rsidRDefault="001C2CCB" w:rsidP="001C2CCB">
      <w:pPr>
        <w:pStyle w:val="Heading1"/>
        <w:numPr>
          <w:ilvl w:val="0"/>
          <w:numId w:val="26"/>
        </w:numPr>
        <w:jc w:val="center"/>
        <w:rPr>
          <w:rFonts w:cs="Times New Roman"/>
          <w:color w:val="auto"/>
        </w:rPr>
      </w:pPr>
      <w:bookmarkStart w:id="63" w:name="_Toc80808275"/>
      <w:r w:rsidRPr="00944EB8">
        <w:rPr>
          <w:rFonts w:cs="Times New Roman"/>
          <w:color w:val="auto"/>
        </w:rPr>
        <w:lastRenderedPageBreak/>
        <w:t>CHAPTER FIVE</w:t>
      </w:r>
      <w:bookmarkEnd w:id="63"/>
    </w:p>
    <w:p w:rsidR="001C2CCB" w:rsidRDefault="001C2CCB" w:rsidP="001C2CCB">
      <w:pPr>
        <w:pStyle w:val="Heading2"/>
        <w:numPr>
          <w:ilvl w:val="1"/>
          <w:numId w:val="26"/>
        </w:numPr>
        <w:jc w:val="center"/>
        <w:rPr>
          <w:rFonts w:eastAsiaTheme="minorHAnsi"/>
        </w:rPr>
      </w:pPr>
      <w:bookmarkStart w:id="64" w:name="_Toc72096844"/>
      <w:bookmarkStart w:id="65" w:name="_Toc80808276"/>
      <w:r>
        <w:rPr>
          <w:rFonts w:eastAsiaTheme="minorHAnsi"/>
        </w:rPr>
        <w:t>JUDICIAL INTERVENTION IN THE ARBITRAL PROCESS</w:t>
      </w:r>
      <w:bookmarkEnd w:id="64"/>
      <w:bookmarkEnd w:id="65"/>
    </w:p>
    <w:p w:rsidR="001C2CCB" w:rsidRPr="00B30D27" w:rsidRDefault="001C2CCB" w:rsidP="001C2CCB">
      <w:pPr>
        <w:rPr>
          <w:lang w:val="en-US"/>
        </w:rPr>
      </w:pPr>
    </w:p>
    <w:p w:rsidR="001C2CCB" w:rsidRPr="008712FE" w:rsidRDefault="001C2CCB" w:rsidP="001C2CCB">
      <w:pPr>
        <w:pStyle w:val="Heading3"/>
        <w:numPr>
          <w:ilvl w:val="2"/>
          <w:numId w:val="26"/>
        </w:numPr>
        <w:spacing w:before="40" w:after="240"/>
      </w:pPr>
      <w:bookmarkStart w:id="66" w:name="_Toc72096845"/>
      <w:bookmarkStart w:id="67" w:name="_Toc80808277"/>
      <w:r w:rsidRPr="005F0448">
        <w:t>Overview</w:t>
      </w:r>
      <w:bookmarkEnd w:id="66"/>
      <w:bookmarkEnd w:id="67"/>
    </w:p>
    <w:p w:rsidR="001C2CCB" w:rsidRPr="008C0D5C" w:rsidRDefault="001C2CCB" w:rsidP="001C2CCB">
      <w:pPr>
        <w:pStyle w:val="FootnoteText"/>
        <w:numPr>
          <w:ilvl w:val="0"/>
          <w:numId w:val="34"/>
        </w:numPr>
        <w:spacing w:line="360" w:lineRule="auto"/>
        <w:jc w:val="both"/>
        <w:rPr>
          <w:rFonts w:ascii="Times New Roman" w:hAnsi="Times New Roman"/>
          <w:sz w:val="24"/>
          <w:szCs w:val="24"/>
        </w:rPr>
      </w:pPr>
      <w:r>
        <w:rPr>
          <w:rFonts w:ascii="Times New Roman" w:hAnsi="Times New Roman"/>
          <w:sz w:val="24"/>
          <w:szCs w:val="24"/>
        </w:rPr>
        <w:t>This</w:t>
      </w:r>
      <w:r w:rsidRPr="006B30A5">
        <w:rPr>
          <w:rFonts w:ascii="Times New Roman" w:hAnsi="Times New Roman"/>
          <w:sz w:val="24"/>
          <w:szCs w:val="24"/>
        </w:rPr>
        <w:t xml:space="preserve"> chapter will now begin the comprehensive analysis of relevant provisions of the </w:t>
      </w:r>
      <w:r w:rsidRPr="002A6489">
        <w:rPr>
          <w:rFonts w:ascii="Times New Roman" w:hAnsi="Times New Roman"/>
          <w:sz w:val="24"/>
          <w:szCs w:val="24"/>
        </w:rPr>
        <w:t>Nigerian Arbitration and Conciliation Act</w:t>
      </w:r>
      <w:r w:rsidRPr="006B30A5">
        <w:rPr>
          <w:rFonts w:ascii="Times New Roman" w:hAnsi="Times New Roman"/>
          <w:sz w:val="24"/>
          <w:szCs w:val="24"/>
        </w:rPr>
        <w:t xml:space="preserve"> as well as im</w:t>
      </w:r>
      <w:r w:rsidRPr="006B30A5">
        <w:rPr>
          <w:rFonts w:ascii="Times New Roman" w:eastAsiaTheme="minorHAnsi" w:hAnsi="Times New Roman"/>
          <w:sz w:val="24"/>
          <w:szCs w:val="24"/>
        </w:rPr>
        <w:t>portant judicial</w:t>
      </w:r>
      <w:r w:rsidRPr="006B30A5">
        <w:rPr>
          <w:rFonts w:ascii="Times New Roman" w:hAnsi="Times New Roman"/>
          <w:sz w:val="24"/>
          <w:szCs w:val="24"/>
        </w:rPr>
        <w:t xml:space="preserve"> </w:t>
      </w:r>
      <w:r w:rsidRPr="006B30A5">
        <w:rPr>
          <w:rFonts w:ascii="Times New Roman" w:eastAsiaTheme="minorHAnsi" w:hAnsi="Times New Roman"/>
          <w:sz w:val="24"/>
          <w:szCs w:val="24"/>
        </w:rPr>
        <w:t xml:space="preserve">decisions from </w:t>
      </w:r>
      <w:r w:rsidRPr="006B30A5">
        <w:rPr>
          <w:rFonts w:ascii="Times New Roman" w:hAnsi="Times New Roman"/>
          <w:sz w:val="24"/>
          <w:szCs w:val="24"/>
        </w:rPr>
        <w:t>Nigerian courts</w:t>
      </w:r>
      <w:r w:rsidRPr="006B30A5">
        <w:rPr>
          <w:rFonts w:ascii="Times New Roman" w:eastAsiaTheme="minorHAnsi" w:hAnsi="Times New Roman"/>
          <w:sz w:val="24"/>
          <w:szCs w:val="24"/>
        </w:rPr>
        <w:t xml:space="preserve"> on </w:t>
      </w:r>
      <w:r w:rsidRPr="006B30A5">
        <w:rPr>
          <w:rFonts w:ascii="Times New Roman" w:hAnsi="Times New Roman"/>
          <w:sz w:val="24"/>
          <w:szCs w:val="24"/>
        </w:rPr>
        <w:t>the concept of judicial intervention during the various stages of the arbitral process.</w:t>
      </w:r>
      <w:r>
        <w:rPr>
          <w:rFonts w:ascii="Times New Roman" w:hAnsi="Times New Roman"/>
          <w:sz w:val="24"/>
          <w:szCs w:val="24"/>
        </w:rPr>
        <w:t xml:space="preserve"> </w:t>
      </w:r>
      <w:r w:rsidRPr="008712FE">
        <w:rPr>
          <w:rFonts w:ascii="Times New Roman" w:hAnsi="Times New Roman"/>
          <w:color w:val="000000" w:themeColor="text1"/>
          <w:sz w:val="24"/>
          <w:szCs w:val="24"/>
        </w:rPr>
        <w:t xml:space="preserve">However, as this chapter will show, there is a necessity for the limited intervention of national courts in the arbitral process in a way that facilitates rather than inhibits the process, </w:t>
      </w:r>
      <w:r w:rsidRPr="008712FE">
        <w:rPr>
          <w:rFonts w:ascii="Times New Roman" w:hAnsi="Times New Roman"/>
          <w:color w:val="000000" w:themeColor="text1"/>
          <w:sz w:val="24"/>
          <w:szCs w:val="24"/>
        </w:rPr>
        <w:fldChar w:fldCharType="begin"/>
      </w:r>
      <w:r w:rsidRPr="008712FE">
        <w:rPr>
          <w:rFonts w:ascii="Times New Roman" w:hAnsi="Times New Roman"/>
          <w:color w:val="000000" w:themeColor="text1"/>
          <w:sz w:val="24"/>
          <w:szCs w:val="24"/>
        </w:rPr>
        <w:instrText xml:space="preserve"> ADDIN ZOTERO_ITEM CSL_CITATION {"citationID":"RaAnV3aE","properties":{"formattedCitation":"(Bamigboye, 2015)","plainCitation":"(Bamigboye, 2015)","noteIndex":0},"citationItems":[{"id":618,"uris":["http://zotero.org/users/local/arLofKbg/items/6YMWH2RI"],"uri":["http://zotero.org/users/local/arLofKbg/items/6YMWH2RI"],"itemData":{"id":618,"type":"report","abstract":"Most people are of the opinion that dispute resolution by litigation in court is time consuming and money consuming whereas arbitration may speed the resolution and lower the expenses of disputes. However to ensure the integrity of the arbitral process and protect the public interest, the courts must support and supervise that process. On the other hand, to prevent the confidence of users of the arbitral system from being damaged, the level of judicial control should not be too high. The debate in commercial arbitration is what scale of judicial intervention should be allowed. While it is argued that arbitration must be free from courts, in order to be effective, it is also accepted that arbitration needs the support of national courts to be effective. This paper focuses on the effect and challenges currently facing this relationship in Nigeria. It proceeds to strike a balance between the competing interests of the courts and the arbitral process and makes recommendations in order to maintain the essential nature of commercial arbitration.","event-place":"Rochester, NY","genre":"SSRN Scholarly Paper","language":"en","note":"DOI: 10.2139/ssrn.2858812","number":"ID 2858812","publisher":"Social Science Research Network","publisher-place":"Rochester, NY","source":"papers.ssrn.com","title":"Does National Court Involvement Undermine the Arbitration Processes?","URL":"https://papers.ssrn.com/abstract=2858812","author":[{"family":"Bamigboye","given":"Mike"}],"accessed":{"date-parts":[["2021",4,22]]},"issued":{"date-parts":[["2015",2,29]]}}}],"schema":"https://github.com/citation-style-language/schema/raw/master/csl-citation.json"} </w:instrText>
      </w:r>
      <w:r w:rsidRPr="008712FE">
        <w:rPr>
          <w:rFonts w:ascii="Times New Roman" w:hAnsi="Times New Roman"/>
          <w:color w:val="000000" w:themeColor="text1"/>
          <w:sz w:val="24"/>
          <w:szCs w:val="24"/>
        </w:rPr>
        <w:fldChar w:fldCharType="separate"/>
      </w:r>
      <w:r w:rsidRPr="008712FE">
        <w:rPr>
          <w:rFonts w:ascii="Times New Roman" w:hAnsi="Times New Roman"/>
          <w:sz w:val="24"/>
        </w:rPr>
        <w:t>(Bamigboye, 2015)</w:t>
      </w:r>
      <w:r w:rsidRPr="008712FE">
        <w:rPr>
          <w:rFonts w:ascii="Times New Roman" w:hAnsi="Times New Roman"/>
          <w:color w:val="000000" w:themeColor="text1"/>
          <w:sz w:val="24"/>
          <w:szCs w:val="24"/>
        </w:rPr>
        <w:fldChar w:fldCharType="end"/>
      </w:r>
      <w:r w:rsidRPr="008712FE">
        <w:rPr>
          <w:rFonts w:ascii="Times New Roman" w:hAnsi="Times New Roman"/>
          <w:color w:val="000000" w:themeColor="text1"/>
          <w:sz w:val="24"/>
          <w:szCs w:val="24"/>
        </w:rPr>
        <w:t xml:space="preserve">. </w:t>
      </w:r>
      <w:r w:rsidRPr="008712FE">
        <w:rPr>
          <w:rFonts w:ascii="Times New Roman" w:hAnsi="Times New Roman"/>
          <w:sz w:val="24"/>
          <w:szCs w:val="24"/>
        </w:rPr>
        <w:t>The nature of the relationship between the arbitral process and the national court system has been famously described as a relay race</w:t>
      </w:r>
      <w:r w:rsidRPr="008712FE">
        <w:rPr>
          <w:rFonts w:ascii="Times New Roman" w:hAnsi="Times New Roman"/>
          <w:position w:val="8"/>
          <w:sz w:val="16"/>
          <w:szCs w:val="16"/>
          <w:vertAlign w:val="superscript"/>
        </w:rPr>
        <w:t xml:space="preserve"> </w:t>
      </w:r>
      <w:r w:rsidRPr="008712FE">
        <w:rPr>
          <w:rFonts w:ascii="Times New Roman" w:hAnsi="Times New Roman"/>
          <w:sz w:val="24"/>
          <w:szCs w:val="24"/>
        </w:rPr>
        <w:t>where initially ‘the baton is in the grasp of the court’ as it is the sole organisation with power to give effect to the arbitration agreement. Then the arbitrators take over until making an award and once the award is made, their function is fulfilled so the baton is once again handed to the courts to ‘lend its coercive powers to the enforcement of the award’, (Lord Mustill, 1993).</w:t>
      </w:r>
    </w:p>
    <w:p w:rsidR="001C2CCB" w:rsidRPr="00944EB8" w:rsidRDefault="001C2CCB" w:rsidP="001C2CCB">
      <w:pPr>
        <w:pStyle w:val="ListParagraph"/>
        <w:ind w:left="540"/>
        <w:rPr>
          <w:rFonts w:ascii="Times New Roman" w:hAnsi="Times New Roman" w:cs="Times New Roman"/>
          <w:lang w:val="en-US"/>
        </w:rPr>
      </w:pPr>
    </w:p>
    <w:p w:rsidR="001C2CCB"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Article 5 of the UNCITRAL Model Law provides "[in matters governed by this Law, </w:t>
      </w:r>
      <w:r w:rsidRPr="00944EB8">
        <w:rPr>
          <w:rFonts w:ascii="Times New Roman" w:hAnsi="Times New Roman" w:cs="Times New Roman"/>
          <w:i/>
          <w:iCs/>
          <w:sz w:val="24"/>
          <w:szCs w:val="24"/>
        </w:rPr>
        <w:t>no court shall intervene except where so</w:t>
      </w:r>
      <w:r w:rsidRPr="00944EB8">
        <w:rPr>
          <w:rFonts w:ascii="Times New Roman" w:hAnsi="Times New Roman" w:cs="Times New Roman"/>
          <w:sz w:val="24"/>
          <w:szCs w:val="24"/>
        </w:rPr>
        <w:t xml:space="preserve"> </w:t>
      </w:r>
      <w:r w:rsidRPr="00944EB8">
        <w:rPr>
          <w:rFonts w:ascii="Times New Roman" w:hAnsi="Times New Roman" w:cs="Times New Roman"/>
          <w:i/>
          <w:iCs/>
          <w:sz w:val="24"/>
          <w:szCs w:val="24"/>
        </w:rPr>
        <w:t xml:space="preserve">provided in this Law." </w:t>
      </w:r>
      <w:r w:rsidRPr="00944EB8">
        <w:rPr>
          <w:rFonts w:ascii="Times New Roman" w:hAnsi="Times New Roman" w:cs="Times New Roman"/>
          <w:sz w:val="24"/>
          <w:szCs w:val="24"/>
        </w:rPr>
        <w:t xml:space="preserve">The Model Law then sets forth limited circumstances involving judicial support for the arbitral process </w:t>
      </w:r>
      <w:r w:rsidRPr="00944EB8">
        <w:rPr>
          <w:rFonts w:ascii="Times New Roman" w:hAnsi="Times New Roman" w:cs="Times New Roman"/>
          <w:i/>
          <w:iCs/>
          <w:sz w:val="24"/>
          <w:szCs w:val="24"/>
        </w:rPr>
        <w:t xml:space="preserve">(e.g., </w:t>
      </w:r>
      <w:r w:rsidRPr="00944EB8">
        <w:rPr>
          <w:rFonts w:ascii="Times New Roman" w:hAnsi="Times New Roman" w:cs="Times New Roman"/>
          <w:sz w:val="24"/>
          <w:szCs w:val="24"/>
        </w:rPr>
        <w:t>resolving jurisdictional objections, assisting in constitution of the tribunal, granting provisional relief, considering applications to vacate awards), but does not permit judicial supervision of procedural decisions through interlocutory appeals or otherwise. This is also the case with the arbitration legislations of most developed jurisdictions.</w:t>
      </w:r>
    </w:p>
    <w:p w:rsidR="001C2CCB" w:rsidRPr="000A1656"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ind w:left="540" w:hanging="540"/>
        <w:jc w:val="both"/>
        <w:rPr>
          <w:rFonts w:ascii="Times New Roman" w:hAnsi="Times New Roman" w:cs="Times New Roman"/>
          <w:i/>
          <w:iCs/>
          <w:sz w:val="24"/>
          <w:szCs w:val="24"/>
        </w:rPr>
      </w:pPr>
      <w:r w:rsidRPr="00944EB8">
        <w:rPr>
          <w:rFonts w:ascii="Times New Roman" w:hAnsi="Times New Roman" w:cs="Times New Roman"/>
          <w:sz w:val="24"/>
          <w:szCs w:val="24"/>
        </w:rPr>
        <w:t>Prior to the enactment of the Nigerian Arbitration and Conciliation Act in 1988, the various High Courts in Nigeria had wide powers to interfere in and control arbitral proceedings and awards. Akpata &amp; Adegbonmire (2019) provide the example of section 15 of the Arbitral Ordinance Vol I Cap 13 Laws of the Federation of Nigeria 1958 which provided that “</w:t>
      </w:r>
      <w:r w:rsidRPr="00944EB8">
        <w:rPr>
          <w:rFonts w:ascii="Times New Roman" w:hAnsi="Times New Roman" w:cs="Times New Roman"/>
          <w:i/>
          <w:iCs/>
          <w:sz w:val="24"/>
          <w:szCs w:val="24"/>
        </w:rPr>
        <w:t xml:space="preserve">any arbitrator or umpire may at any stage of the proceedings under reference, and shall, if so </w:t>
      </w:r>
      <w:r w:rsidRPr="00944EB8">
        <w:rPr>
          <w:rFonts w:ascii="Times New Roman" w:hAnsi="Times New Roman" w:cs="Times New Roman"/>
          <w:i/>
          <w:iCs/>
          <w:sz w:val="24"/>
          <w:szCs w:val="24"/>
        </w:rPr>
        <w:lastRenderedPageBreak/>
        <w:t>directed by the court or a judge, state in the form of a special case for the opinion of the court, any question of law arising in the course of the reference.”</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According to Candide-Johnson &amp; Shasore (2012), this special case stated procedure made arbitration more tedious and anachronistic and ultimately undesirable to foreign commercial entrepreneurs. The frequent reference during arbitration proceedings to seek the opinion of the courts on some issues, relevant or trivial, and the consequential delay discouraged merchants.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Further, section 11(1) of the Ordinance also provided that in all cases of reference to arbitration, the court or judge may from time to time remit matters referred, or any of them, to the reconsideration of the arbitrator or umpire. The courts were also empowered with the inherent jurisdiction to remit or set aside an award on the grounds of an error of law on the face of the award.</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All of the above have since become a thing of the past with the enactment of the Arbitration and Conciliation Act. The relevant section in the Act is section 34 which expressly provides that a court shall not intervene in any matter governed by the Act except where so provided in the Act. Thus, the overarching role of the courts under the Act is to ensure that arbitration agreements are complied with and to order a stay of proceedings in respect of subject matters over which the parties had agreed to refer to arbitration. Under this regime, the courts are precluded as a general rule from interfering with the arbitral process and are only empowered to play a play a supportive role to arbitration and to make orders that facilitate the process. The Act also provides that courts are to recognise and/or enforce awards and only set aside or refuse to enforce awards under the narrow circumstances provided for under the Act.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Supreme Court upheld the above provision in the case of </w:t>
      </w:r>
      <w:r w:rsidRPr="00944EB8">
        <w:rPr>
          <w:rFonts w:ascii="Times New Roman" w:hAnsi="Times New Roman" w:cs="Times New Roman"/>
          <w:b/>
          <w:bCs/>
          <w:i/>
          <w:iCs/>
          <w:sz w:val="24"/>
          <w:szCs w:val="24"/>
        </w:rPr>
        <w:t xml:space="preserve">Ras Palgazi Construction Company Limited v. Federal Capital Development Authority (2001) 10 NWLR (Pt. 722) 559 </w:t>
      </w:r>
      <w:r w:rsidRPr="00944EB8">
        <w:rPr>
          <w:rFonts w:ascii="Times New Roman" w:hAnsi="Times New Roman" w:cs="Times New Roman"/>
          <w:sz w:val="24"/>
          <w:szCs w:val="24"/>
        </w:rPr>
        <w:t>in the following words: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jc w:val="both"/>
        <w:rPr>
          <w:rFonts w:ascii="Times New Roman" w:hAnsi="Times New Roman" w:cs="Times New Roman"/>
          <w:i/>
          <w:iCs/>
          <w:sz w:val="24"/>
          <w:szCs w:val="24"/>
        </w:rPr>
      </w:pPr>
      <w:r w:rsidRPr="00944EB8">
        <w:rPr>
          <w:rFonts w:ascii="Times New Roman" w:hAnsi="Times New Roman" w:cs="Times New Roman"/>
          <w:i/>
          <w:iCs/>
          <w:sz w:val="24"/>
          <w:szCs w:val="24"/>
        </w:rPr>
        <w:lastRenderedPageBreak/>
        <w:t xml:space="preserve">[A] Court shall not intervene in any matter governed by the Act except where so provided in the Act. If, in arbitration proceedings, an issue is raised for decision and has been decided, it is final. The parties cannot be allowed thereafter to reopen it. The reason is that just as the parties would not be allowed to do so in the case of judgment not appealed from, the point decided is res judicata. The only jurisdiction conferred on the court is to give leave to enforce the award as judgment unless there is a real ground for doubting the validity of the award. </w:t>
      </w:r>
    </w:p>
    <w:p w:rsidR="001C2CCB" w:rsidRPr="00944EB8" w:rsidRDefault="001C2CCB" w:rsidP="001C2CCB">
      <w:pPr>
        <w:pStyle w:val="ListParagraph"/>
        <w:jc w:val="both"/>
        <w:rPr>
          <w:rFonts w:ascii="Times New Roman" w:hAnsi="Times New Roman" w:cs="Times New Roman"/>
          <w:i/>
          <w:iCs/>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above position was reinforced by the Court of Appeal in the case of </w:t>
      </w:r>
      <w:r w:rsidRPr="00944EB8">
        <w:rPr>
          <w:rFonts w:ascii="Times New Roman" w:hAnsi="Times New Roman" w:cs="Times New Roman"/>
          <w:b/>
          <w:bCs/>
          <w:i/>
          <w:iCs/>
          <w:sz w:val="24"/>
          <w:szCs w:val="24"/>
        </w:rPr>
        <w:t xml:space="preserve">Statoil (Nig) Ltd v. NNPC (2013) 14 NWLR (Pt. 1373) 1 at 25 </w:t>
      </w:r>
      <w:r w:rsidRPr="00944EB8">
        <w:rPr>
          <w:rFonts w:ascii="Times New Roman" w:hAnsi="Times New Roman" w:cs="Times New Roman"/>
          <w:sz w:val="24"/>
          <w:szCs w:val="24"/>
        </w:rPr>
        <w:t>where the court stated that the provisions of section 34 of the Arbitration and Conciliation Act aptly protect the mechanism of arbitration.</w:t>
      </w:r>
      <w:r>
        <w:rPr>
          <w:rFonts w:ascii="Times New Roman" w:hAnsi="Times New Roman" w:cs="Times New Roman"/>
          <w:sz w:val="24"/>
          <w:szCs w:val="24"/>
        </w:rPr>
        <w:t xml:space="preserve"> The </w:t>
      </w:r>
      <w:r w:rsidRPr="00FB65B7">
        <w:rPr>
          <w:rFonts w:ascii="Times New Roman" w:hAnsi="Times New Roman" w:cs="Times New Roman"/>
          <w:sz w:val="24"/>
          <w:szCs w:val="24"/>
        </w:rPr>
        <w:t>critical question is to ask whether the above section has been adequate to insulate the arbitral process from the intervention or interference of the courts. Upon a consideration of the provisions of the extant Arbitration and Conciliation Act, and a review of the responses to the survey questionnaires, it is my respectful submission that the answer must be answered in the negative.</w:t>
      </w:r>
    </w:p>
    <w:p w:rsidR="001C2CCB" w:rsidRPr="009A5B90" w:rsidRDefault="001C2CCB" w:rsidP="001C2CCB">
      <w:pPr>
        <w:spacing w:line="360" w:lineRule="auto"/>
        <w:jc w:val="both"/>
        <w:rPr>
          <w:rFonts w:ascii="Times New Roman" w:hAnsi="Times New Roman" w:cs="Times New Roman"/>
          <w:sz w:val="24"/>
          <w:szCs w:val="24"/>
        </w:rPr>
      </w:pPr>
    </w:p>
    <w:p w:rsidR="001C2CCB" w:rsidRPr="00944EB8" w:rsidRDefault="001C2CCB" w:rsidP="001C2CCB">
      <w:pPr>
        <w:pStyle w:val="Heading2"/>
        <w:numPr>
          <w:ilvl w:val="2"/>
          <w:numId w:val="26"/>
        </w:numPr>
        <w:spacing w:before="0"/>
        <w:jc w:val="both"/>
        <w:rPr>
          <w:rFonts w:cs="Times New Roman"/>
          <w:color w:val="auto"/>
        </w:rPr>
      </w:pPr>
      <w:bookmarkStart w:id="68" w:name="_Toc80808278"/>
      <w:r w:rsidRPr="00944EB8">
        <w:rPr>
          <w:rFonts w:cs="Times New Roman"/>
          <w:color w:val="auto"/>
        </w:rPr>
        <w:t>Judicial Intervention before Commencement of Arbitration under the Arbitration and Conciliation Act</w:t>
      </w:r>
      <w:bookmarkEnd w:id="68"/>
    </w:p>
    <w:p w:rsidR="001C2CCB" w:rsidRPr="00944EB8" w:rsidRDefault="001C2CCB" w:rsidP="001C2CCB">
      <w:pPr>
        <w:pStyle w:val="ListParagraph"/>
        <w:spacing w:before="0" w:after="0" w:line="360" w:lineRule="auto"/>
        <w:jc w:val="both"/>
        <w:rPr>
          <w:rFonts w:ascii="Times New Roman" w:hAnsi="Times New Roman" w:cs="Times New Roman"/>
          <w:b/>
          <w:bCs/>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extant legislation that governs the practice of arbitration in Nigeria is the Arbitration and Conciliation Act 1988,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{"citationID":"yRkSZsBB","properties":{"formattedCitation":"(\\uc0\\u8220{}Arbitration and Conciliation Act (Cap. A18).,\\uc0\\u8221{} n.d.)","plainCitation":"(“Arbitration and Conciliation Act (Cap. A18).,” n.d.)","noteIndex":0},"citationItems":[{"id":579,"uris":["http://zotero.org/users/local/arLofKbg/items/CT9XPZIB"],"uri":["http://zotero.org/users/local/arLofKbg/items/CT9XPZIB"],"itemData":{"id":579,"type":"article","title":"Arbitration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(“Arbitration and Conciliation Act (Cap. A18)</w:t>
      </w:r>
      <w:proofErr w:type="gramStart"/>
      <w:r w:rsidRPr="00944EB8">
        <w:rPr>
          <w:rFonts w:ascii="Times New Roman" w:hAnsi="Times New Roman" w:cs="Times New Roman"/>
          <w:sz w:val="24"/>
          <w:szCs w:val="24"/>
        </w:rPr>
        <w:t>.,</w:t>
      </w:r>
      <w:proofErr w:type="gramEnd"/>
      <w:r w:rsidRPr="00944EB8">
        <w:rPr>
          <w:rFonts w:ascii="Times New Roman" w:hAnsi="Times New Roman" w:cs="Times New Roman"/>
          <w:sz w:val="24"/>
          <w:szCs w:val="24"/>
        </w:rPr>
        <w:t>” n.d.)</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As aptly summarised by Bello,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{"citationID":"u3Amr86J","properties":{"formattedCitation":"(Bello, 2019)","plainCitation":"(Bello, 2019)","noteIndex":0},"citationItems":[{"id":558,"uris":["http://zotero.org/users/local/arLofKbg/items/DD7TTR2L"],"uri":["http://zotero.org/users/local/arLofKbg/items/DD7TTR2L"],"itemData":{"id":558,"type":"report","abstract":"Arbitration as a dispute resolution mechanism is centered on parties’ agreement and autonomy thereby making way for amicable resolution of the dispute whatever the outcome is, based on award rendered by the arbitral tribunal.The article discussed the judicial intervention in arbitration between Nigeria and the United States of America on comparative basis of the two jurisdictions. The article finds that arbitration in Nigeria is regularly on attack basis and contrary to the position in the USA, and if care is not taken, this may wreck arbitration in Nigeria. The article concludes that the judiciary should play more supportive roles, than undue intervention. It recommends that there should be a more conducive environment and improved infrastructure for Nigerian arbitration to be in the same template with the U.S arbitration.","event-place":"Rochester, NY","genre":"SSRN Scholarly Paper","language":"en","note":"DOI: 10.2139/ssrn.3405449","number":"ID 3405449","publisher":"Social Science Research Network","publisher-place":"Rochester, NY","source":"papers.ssrn.com","title":"Judicial Intervention in Arbitration; A Comparative Analysis of Nigeria and the United States of America.","URL":"https://papers.ssrn.com/abstract=3405449","author":[{"family":"Bello","given":"Temitayo"}],"accessed":{"date-parts":[["2021",1,26]]},"issued":{"date-parts":[["2019",6,17]]}}}],"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rPr>
        <w:t>(Bello, 2019)</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the Arbitration and Conciliation Act is based on the UNCITRAL Model Law and reflects the domestication of Nigeria’s treaty obligation under the New York Convention. The Act first came into force as a Military Decree on the 14th day of March 1988. However, the Decree is now referred to as an Act by virtue of the provisions of Section 315 of the Constitution of the Federal Republic of Nigeria 1999 which deems same as an existing law,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{"citationID":"9psFhBm6","properties":{"formattedCitation":"(\\uc0\\u8220{}Constitution of the Federal Republic of Nigeria,\\uc0\\u8221{} n.d.)","plainCitation":"(“Constitution of the Federal Republic of Nigeria,” n.d.)","noteIndex":0},"citationItems":[{"id":620,"uris":["http://zotero.org/users/local/arLofKbg/items/PJHVT3K3"],"uri":["http://zotero.org/users/local/arLofKbg/items/PJHVT3K3"],"itemData":{"id":620,"type":"webpage","title":"Constitution of the Federal Republic of Nigeria","URL":"http://www.nigeria-law.org/ConstitutionOfTheFederalRepublicOfNigeria.htm","accessed":{"date-parts":[["2021",4,22]]}}}],"schema":"https://github.com/citation-style-language/schema/raw/master/csl-citation.json"}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(Constitution of the Federal Republic of Nigeria)</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The Arbitration and Conciliation Act applies to disputes arising from commercial transactions and contains provisions applicable to both domestic and international commercial arbitration. </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The Act in the preamble specifies that its aim is to provide a “united legal framework for the fair and efficient settlements of commercial disputes by arbitration and conciliation, and to make applicable the Convention on the Recognition and Enforcement of Arbitral Awards…” Part I of the Act contains provisions related to arbitration, Part II provisions relating to conciliation whilst Part III contains additional provisions relating to International Commercial Arbitration and Conciliation which makes applicable the New-York Convention. The Act also contains three (3) schedules. The First Schedule to the Act contains the Arbitration Rules which are modelled on the UNCITRAL Arbitration Rules, Second Schedule contains the Convention on the Recognition and Enforcement of Foreign Arbitral Awards i.e. the New York Convention, while the Third Schedule is a reproduction of the UNCITRAL Conciliation Rules.</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Arbitration and Conciliation Act in section 34 in no unclear terms contains a general prohibition against judicial interference with the arbitral process by national courts in Nigeria,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{"citationID":"9agTHzo2","properties":{"formattedCitation":"(\\uc0\\u8220{}Arbitration and Conciliation Act (Cap. A18).,\\uc0\\u8221{} n.d.)","plainCitation":"(“Arbitration and Conciliation Act (Cap. A18).,” n.d.)","noteIndex":0},"citationItems":[{"id":578,"uris":["http://zotero.org/users/local/arLofKbg/items/ZVH3WX48"],"uri":["http://zotero.org/users/local/arLofKbg/items/ZVH3WX48"],"itemData":{"id":578,"type":"webpage","title":"Arbitration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(Arbitration and Conciliation Act (Cap. A18))</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The section provides that a court shall not intervene in any matter governed in the Act except where so provided in the Act. This is certainly a positive provision. Nevertheless, as highlighted below, there are other provisions in the Act that negate this provision and thereby provide a leeway for judicial intervention in the arbitration process.</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Heading2"/>
        <w:numPr>
          <w:ilvl w:val="0"/>
          <w:numId w:val="42"/>
        </w:numPr>
        <w:spacing w:before="0"/>
        <w:rPr>
          <w:rFonts w:cs="Times New Roman"/>
          <w:color w:val="auto"/>
        </w:rPr>
      </w:pPr>
      <w:bookmarkStart w:id="69" w:name="_Toc80808279"/>
      <w:r w:rsidRPr="00944EB8">
        <w:rPr>
          <w:rFonts w:cs="Times New Roman"/>
          <w:color w:val="auto"/>
        </w:rPr>
        <w:t>Revocation of arbitration agreement</w:t>
      </w:r>
      <w:bookmarkEnd w:id="69"/>
    </w:p>
    <w:p w:rsidR="001C2CCB" w:rsidRPr="00944EB8" w:rsidRDefault="001C2CCB" w:rsidP="001C2CCB">
      <w:pPr>
        <w:pStyle w:val="ListParagraph"/>
        <w:spacing w:before="0" w:after="0" w:line="360" w:lineRule="auto"/>
        <w:ind w:left="927"/>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The first provision of the Arbitration and Conciliation Act which opens the door for the intervention of national courts in the arbitral process is Section 2 of the Act. The section provides that, "unless a contrary intention is expressed therein, an arbitration agreement shall be irrevocable except by agreement of the parties or by leave of the court or a judge."</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implication of the provision is that one of the parties to an arbitration agreement, which is historically the party that intends to frustrate or truncate the arbitral process, shall have the right to approach the courts to revoke the arbitration agreement, or using the </w:t>
      </w:r>
      <w:r w:rsidRPr="00944EB8">
        <w:rPr>
          <w:rFonts w:ascii="Times New Roman" w:hAnsi="Times New Roman" w:cs="Times New Roman"/>
          <w:sz w:val="24"/>
          <w:szCs w:val="24"/>
        </w:rPr>
        <w:lastRenderedPageBreak/>
        <w:t xml:space="preserve">language employed by the New York Convention, to declare that the arbitration agreement is inoperable and incapable of being performed. And this is problematic. </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the case of </w:t>
      </w:r>
      <w:r w:rsidRPr="00944EB8">
        <w:rPr>
          <w:rFonts w:ascii="Times New Roman" w:hAnsi="Times New Roman" w:cs="Times New Roman"/>
          <w:b/>
          <w:bCs/>
          <w:i/>
          <w:iCs/>
          <w:sz w:val="24"/>
          <w:szCs w:val="24"/>
        </w:rPr>
        <w:t xml:space="preserve">B. J. Export &amp; Chemical Company Ltd v Kaduna Refining &amp; Petrochemical Company Ltd (2002) LPELR – 12175 pp 26-27 paras B-C </w:t>
      </w:r>
      <w:r w:rsidRPr="00944EB8">
        <w:rPr>
          <w:rFonts w:ascii="Times New Roman" w:hAnsi="Times New Roman" w:cs="Times New Roman"/>
          <w:sz w:val="24"/>
          <w:szCs w:val="24"/>
        </w:rPr>
        <w:t>the Nigerian Court of Appeal gave effect to the above provision by holding that in the absence of a clear contrary intention of the parties to arbitrate their dispute, revocation of an arbitration agreement can only be by the parties or by the court or a judge upon the application of one of the parties.</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Even if it is presumed in favour of national courts that they will only revoke arbitration agreements on justifiable grounds, the question must however be asked whether the provision does not go contrary to the competence -competence doctrine,  which </w:t>
      </w:r>
      <w:r w:rsidRPr="00944EB8">
        <w:rPr>
          <w:rFonts w:ascii="Times New Roman" w:hAnsi="Times New Roman" w:cs="Times New Roman"/>
          <w:sz w:val="24"/>
          <w:szCs w:val="24"/>
          <w:lang w:val="en-US"/>
        </w:rPr>
        <w:t xml:space="preserve">recognises the authority of an arbitral tribunal, as opposed to national courts, to consider and decide disputes over its own jurisdiction especially regarding disputes relating to the existence, validity, legality and scope of the arbitration agreement. </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Further, implicit in the power of a court to revoke an arbitration agreement is also the power to grant anti-arbitration injunctions, to prevent a reference of a dispute to arbitration or the continuation of already commenced arbitration proceedings. Anti-arbitration injunction shares some similarities with its sister remedy, anti-suit injunctions but the two procedures differ in key respects. While anti-suit injunctions seek to stay proceedings in court in breach of an agreement to arbitrate, anti-arbitration injunctions seek to prevent the initiation or continuation of arbitration proceedings. Further, anti-suit injunctions are issued in personam against the party who has breached the agreement to arbitrate by bringing court proceedings, whereas anti-arbitration injunctions seek to enjoin both the parties and the tribunal or either of them from commencing or continuing arbitral proceedings. Thus, the impact of an anti-arbitration injunction would ultimately depend on when the injunction is sought and granted; against whom it is ordered and why it is sought.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On 18 May 2009, the Lagos State of Nigeria enacted two new arbitration laws, Arbitration Law (Law No 10 of 2009) (Lagos Arbitration Law) and Lagos Court of Arbitration Law (Law No. 8 of 2009). As Adekoya (2009) writes, the intention of the Lagos State Government in enacting the laws was the hope that they will enable Lagos to emerge as the hub of commercial arbitration in the West African region. The Lagos Arbitration Law has continued to degenerate academic debate as to its legality in the face of the prior existing Arbitration and Conciliation Act enacted in 1988, which governs arbitral proceedings at both state and federal level. Nevertheless, the Lagos Arbitration Law has improved upon several of the problematic provisions in the Arbitration and Conciliation Act.</w:t>
      </w:r>
    </w:p>
    <w:p w:rsidR="001C2CCB" w:rsidRPr="00944EB8" w:rsidRDefault="001C2CCB" w:rsidP="001C2CCB">
      <w:pPr>
        <w:pStyle w:val="ListParagraph"/>
        <w:spacing w:before="0" w:after="0"/>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One of the provisions in the Lagos Arbitration Law which differs from, and indeed improves upon the provisions of the Arbitration and Conciliation Act is section 4 of the Lagos Arbitration Law which is the closest equivalent to section 2 of Arbitration and Conciliation Act. In the said section 4, the Lagos State Arbitration Law in recognition of the above defects of section 2 of the Arbitration Act omitted the right of parties to approach the courts to revoke an agreement to arbitrate. The said section 4 merely provides that, “unless a contrary intention is expressed, an arbitration agreement shall be irrevocable except by the express or written agreement of the parties.” For the reasons stated above, the provision of section 4 of the Arbitration Law of Lagos State is clearly preferable and better recognises arbitration as a party driven process and the product of parties' agreement.</w:t>
      </w:r>
    </w:p>
    <w:p w:rsidR="001C2CCB" w:rsidRPr="00944EB8" w:rsidRDefault="001C2CCB" w:rsidP="001C2CCB">
      <w:pPr>
        <w:spacing w:before="0" w:after="0" w:line="360" w:lineRule="auto"/>
        <w:jc w:val="both"/>
        <w:rPr>
          <w:rFonts w:ascii="Times New Roman" w:hAnsi="Times New Roman" w:cs="Times New Roman"/>
          <w:b/>
          <w:bCs/>
          <w:i/>
          <w:iCs/>
          <w:sz w:val="24"/>
          <w:szCs w:val="24"/>
        </w:rPr>
      </w:pPr>
    </w:p>
    <w:p w:rsidR="001C2CCB" w:rsidRPr="00944EB8" w:rsidRDefault="001C2CCB" w:rsidP="001C2CCB">
      <w:pPr>
        <w:pStyle w:val="Heading2"/>
        <w:numPr>
          <w:ilvl w:val="0"/>
          <w:numId w:val="42"/>
        </w:numPr>
        <w:spacing w:before="0"/>
        <w:rPr>
          <w:rFonts w:cs="Times New Roman"/>
          <w:color w:val="auto"/>
        </w:rPr>
      </w:pPr>
      <w:bookmarkStart w:id="70" w:name="_Toc80808280"/>
      <w:r w:rsidRPr="00944EB8">
        <w:rPr>
          <w:rFonts w:cs="Times New Roman"/>
          <w:color w:val="auto"/>
        </w:rPr>
        <w:t>The obligation to refer parties to arbitration</w:t>
      </w:r>
      <w:bookmarkEnd w:id="70"/>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Perhaps the most controversial provisions of the Arbitration and Conciliation Act are contained in Sections 4 and 5 of the Act. For ease of reference, both sections are reproduced below.</w:t>
      </w:r>
    </w:p>
    <w:p w:rsidR="001C2CCB" w:rsidRPr="00944EB8" w:rsidRDefault="001C2CCB" w:rsidP="001C2CCB">
      <w:pPr>
        <w:pStyle w:val="ListParagraph"/>
        <w:spacing w:before="0" w:after="0" w:line="360" w:lineRule="auto"/>
        <w:jc w:val="both"/>
        <w:rPr>
          <w:rFonts w:ascii="Times New Roman" w:eastAsia="Times New Roman" w:hAnsi="Times New Roman" w:cs="Times New Roman"/>
          <w:b/>
          <w:bCs/>
          <w:sz w:val="24"/>
          <w:szCs w:val="24"/>
          <w:lang w:eastAsia="en-GB"/>
        </w:rPr>
      </w:pPr>
    </w:p>
    <w:p w:rsidR="001C2CCB" w:rsidRPr="00944EB8" w:rsidRDefault="001C2CCB" w:rsidP="001C2CCB">
      <w:pPr>
        <w:pStyle w:val="ListParagraph"/>
        <w:spacing w:before="0" w:after="0" w:line="360" w:lineRule="auto"/>
        <w:ind w:left="1020" w:right="510"/>
        <w:jc w:val="both"/>
        <w:rPr>
          <w:rFonts w:ascii="Times New Roman" w:hAnsi="Times New Roman" w:cs="Times New Roman"/>
          <w:sz w:val="24"/>
          <w:szCs w:val="24"/>
        </w:rPr>
      </w:pPr>
      <w:r w:rsidRPr="00944EB8">
        <w:rPr>
          <w:rFonts w:ascii="Times New Roman" w:eastAsia="Times New Roman" w:hAnsi="Times New Roman" w:cs="Times New Roman"/>
          <w:b/>
          <w:bCs/>
          <w:sz w:val="24"/>
          <w:szCs w:val="24"/>
          <w:lang w:eastAsia="en-GB"/>
        </w:rPr>
        <w:t xml:space="preserve">4. </w:t>
      </w:r>
      <w:r w:rsidRPr="00944EB8">
        <w:rPr>
          <w:rFonts w:ascii="Times New Roman" w:eastAsia="Times New Roman" w:hAnsi="Times New Roman" w:cs="Times New Roman"/>
          <w:sz w:val="24"/>
          <w:szCs w:val="24"/>
          <w:lang w:eastAsia="en-GB"/>
        </w:rPr>
        <w:t>(1) A court before which an action which is the subject of an arbitration agreement is brought shall, if any party so request not later than when submitting his first statement on the substance of the dispute, order or stay of proceedings and refer the parties to arbitration.</w:t>
      </w:r>
    </w:p>
    <w:p w:rsidR="001C2CCB" w:rsidRPr="00944EB8" w:rsidRDefault="001C2CCB" w:rsidP="001C2CCB">
      <w:pPr>
        <w:pStyle w:val="ListParagraph"/>
        <w:spacing w:before="0" w:after="0" w:line="360" w:lineRule="auto"/>
        <w:ind w:left="1020" w:right="51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sz w:val="24"/>
          <w:szCs w:val="24"/>
          <w:lang w:eastAsia="en-GB"/>
        </w:rPr>
        <w:lastRenderedPageBreak/>
        <w:t xml:space="preserve">(2) Where an action referred to in subsection (1) of this section has been brought before a court, arbitral proceedings may nevertheless be commenced or continued, and an award may be made by the arbitral tribunal while the matter is pending before the court. </w:t>
      </w:r>
    </w:p>
    <w:p w:rsidR="001C2CCB" w:rsidRPr="00944EB8" w:rsidRDefault="001C2CCB" w:rsidP="001C2CCB">
      <w:pPr>
        <w:pStyle w:val="ListParagraph"/>
        <w:spacing w:before="0" w:after="0" w:line="360" w:lineRule="auto"/>
        <w:ind w:left="1020" w:right="51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b/>
          <w:bCs/>
          <w:sz w:val="24"/>
          <w:szCs w:val="24"/>
          <w:lang w:eastAsia="en-GB"/>
        </w:rPr>
        <w:t>5.</w:t>
      </w:r>
      <w:r w:rsidRPr="00944EB8">
        <w:rPr>
          <w:rFonts w:ascii="Times New Roman" w:eastAsia="Times New Roman" w:hAnsi="Times New Roman" w:cs="Times New Roman"/>
          <w:sz w:val="24"/>
          <w:szCs w:val="24"/>
          <w:lang w:eastAsia="en-GB"/>
        </w:rPr>
        <w:t xml:space="preserve"> (1) If any party to an arbitration agreement commences any action in any court with respect to any matter which is the subject of an arbitration agreement any party to the arbitration agreement may, at any time after appearance and before delivering any pleadings or taking any other steps in the proceedings, apply to the court to stay the proceedings.</w:t>
      </w:r>
    </w:p>
    <w:p w:rsidR="001C2CCB" w:rsidRPr="00944EB8" w:rsidRDefault="001C2CCB" w:rsidP="001C2CCB">
      <w:pPr>
        <w:pStyle w:val="ListParagraph"/>
        <w:spacing w:before="0" w:after="0" w:line="360" w:lineRule="auto"/>
        <w:ind w:left="1020" w:right="51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sz w:val="24"/>
          <w:szCs w:val="24"/>
          <w:lang w:eastAsia="en-GB"/>
        </w:rPr>
        <w:t>(2) A court to which an application is made under subsection (1) of this section may, if it is satisfied-</w:t>
      </w:r>
    </w:p>
    <w:p w:rsidR="001C2CCB" w:rsidRPr="00944EB8" w:rsidRDefault="001C2CCB" w:rsidP="001C2CCB">
      <w:pPr>
        <w:pStyle w:val="ListParagraph"/>
        <w:spacing w:before="0" w:after="0" w:line="360" w:lineRule="auto"/>
        <w:ind w:left="1020" w:right="51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sz w:val="24"/>
          <w:szCs w:val="24"/>
          <w:lang w:eastAsia="en-GB"/>
        </w:rPr>
        <w:t xml:space="preserve">(a) </w:t>
      </w:r>
      <w:proofErr w:type="gramStart"/>
      <w:r w:rsidRPr="00944EB8">
        <w:rPr>
          <w:rFonts w:ascii="Times New Roman" w:eastAsia="Times New Roman" w:hAnsi="Times New Roman" w:cs="Times New Roman"/>
          <w:sz w:val="24"/>
          <w:szCs w:val="24"/>
          <w:lang w:eastAsia="en-GB"/>
        </w:rPr>
        <w:t>that</w:t>
      </w:r>
      <w:proofErr w:type="gramEnd"/>
      <w:r w:rsidRPr="00944EB8">
        <w:rPr>
          <w:rFonts w:ascii="Times New Roman" w:eastAsia="Times New Roman" w:hAnsi="Times New Roman" w:cs="Times New Roman"/>
          <w:sz w:val="24"/>
          <w:szCs w:val="24"/>
          <w:lang w:eastAsia="en-GB"/>
        </w:rPr>
        <w:t xml:space="preserve"> there is no sufficient reason why the matter should not be referred to arbitration in accordance with the arbitration agreement; and</w:t>
      </w:r>
    </w:p>
    <w:p w:rsidR="001C2CCB" w:rsidRPr="00944EB8" w:rsidRDefault="001C2CCB" w:rsidP="001C2CCB">
      <w:pPr>
        <w:pStyle w:val="ListParagraph"/>
        <w:spacing w:before="0" w:after="0" w:line="360" w:lineRule="auto"/>
        <w:ind w:left="1020" w:right="51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sz w:val="24"/>
          <w:szCs w:val="24"/>
          <w:lang w:eastAsia="en-GB"/>
        </w:rPr>
        <w:t xml:space="preserve">(b) </w:t>
      </w:r>
      <w:proofErr w:type="gramStart"/>
      <w:r w:rsidRPr="00944EB8">
        <w:rPr>
          <w:rFonts w:ascii="Times New Roman" w:eastAsia="Times New Roman" w:hAnsi="Times New Roman" w:cs="Times New Roman"/>
          <w:sz w:val="24"/>
          <w:szCs w:val="24"/>
          <w:lang w:eastAsia="en-GB"/>
        </w:rPr>
        <w:t>that</w:t>
      </w:r>
      <w:proofErr w:type="gramEnd"/>
      <w:r w:rsidRPr="00944EB8">
        <w:rPr>
          <w:rFonts w:ascii="Times New Roman" w:eastAsia="Times New Roman" w:hAnsi="Times New Roman" w:cs="Times New Roman"/>
          <w:sz w:val="24"/>
          <w:szCs w:val="24"/>
          <w:lang w:eastAsia="en-GB"/>
        </w:rPr>
        <w:t xml:space="preserve"> the applicant was at the time when the action was commenced and still remains ready and willing to do all things necessary to the proper conduct of the arbitration, make an order staying the proceedings.</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eastAsia="Calibri" w:hAnsi="Times New Roman" w:cs="Times New Roman"/>
          <w:sz w:val="24"/>
          <w:szCs w:val="24"/>
        </w:rPr>
      </w:pPr>
      <w:r w:rsidRPr="00944EB8">
        <w:rPr>
          <w:rFonts w:ascii="Times New Roman" w:hAnsi="Times New Roman" w:cs="Times New Roman"/>
          <w:sz w:val="24"/>
          <w:szCs w:val="24"/>
        </w:rPr>
        <w:t xml:space="preserve">Understandably, the above sections have been the most often referred provisions of the Arbitration Act before court proceedings. These provisions derive from </w:t>
      </w:r>
      <w:r w:rsidRPr="00944EB8">
        <w:rPr>
          <w:rFonts w:ascii="Times New Roman" w:hAnsi="Times New Roman" w:cs="Times New Roman"/>
          <w:sz w:val="24"/>
          <w:szCs w:val="24"/>
          <w:lang w:val="en-US"/>
        </w:rPr>
        <w:t xml:space="preserve">Article II (3) of the New York Convention which provides that the court of Contracting States shall stay proceedings in respect of a dispute which is the subject of an arbitration agreement and refer the parties to arbitration unless it finds that the said agreement is null and void, inoperative or incapable of being performed. Therefore, the Article precludes national courts from entertaining disputes in respect of which parties have resolved to refer to arbitration. What is less clear, however, is the utility of having two separate provisions in the Act to achieve the same purpose. As </w:t>
      </w:r>
      <w:r w:rsidRPr="00944EB8">
        <w:rPr>
          <w:rFonts w:ascii="Times New Roman" w:eastAsia="Times New Roman" w:hAnsi="Times New Roman" w:cs="Times New Roman"/>
          <w:sz w:val="24"/>
          <w:szCs w:val="24"/>
        </w:rPr>
        <w:t xml:space="preserve">rightly pointed out by </w:t>
      </w:r>
      <w:r w:rsidRPr="00944EB8">
        <w:rPr>
          <w:rFonts w:ascii="Times New Roman" w:hAnsi="Times New Roman" w:cs="Times New Roman"/>
          <w:sz w:val="24"/>
          <w:szCs w:val="24"/>
        </w:rPr>
        <w:t>Akpata &amp; O. Adegbonmire (2019)</w:t>
      </w:r>
      <w:r w:rsidRPr="00944EB8">
        <w:rPr>
          <w:rFonts w:ascii="Times New Roman" w:eastAsia="Times New Roman" w:hAnsi="Times New Roman" w:cs="Times New Roman"/>
          <w:sz w:val="24"/>
          <w:szCs w:val="24"/>
        </w:rPr>
        <w:t>, having both sections 4 and 5 in the Act only serve to create confusion due to the duplication as well as the conflict in the powers granted to the court.</w:t>
      </w:r>
    </w:p>
    <w:p w:rsidR="001C2CCB" w:rsidRPr="00944EB8" w:rsidRDefault="001C2CCB" w:rsidP="001C2CCB">
      <w:pPr>
        <w:spacing w:before="0" w:after="0" w:line="360" w:lineRule="auto"/>
        <w:ind w:left="36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As can be clearly seen from the express provisions of the above sections, section 4 of the Arbitration and Conciliation Act mandates the courts to stay proceedings before it on the </w:t>
      </w:r>
      <w:r w:rsidRPr="00944EB8">
        <w:rPr>
          <w:rFonts w:ascii="Times New Roman" w:hAnsi="Times New Roman" w:cs="Times New Roman"/>
          <w:sz w:val="24"/>
          <w:szCs w:val="24"/>
        </w:rPr>
        <w:lastRenderedPageBreak/>
        <w:t xml:space="preserve">application of a party by employing the peremptory word, "shall" in relation to the duty of the court to stay proceedings. Indeed, this section has been the subject of many decided cases in Nigeria,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{"citationID":"iiDHKlwg","properties":{"formattedCitation":"(Olatawura, 2012)","plainCitation":"(Olatawura, 2012)","noteIndex":0},"citationItems":[{"id":630,"uris":["http://zotero.org/users/local/arLofKbg/items/RQUH84AY"],"uri":["http://zotero.org/users/local/arLofKbg/items/RQUH84AY"],"itemData":{"id":630,"type":"article-journal","abstract":"The power of courts to stay litigation proceedings for commercial arbitration tribunals is universally recognized. In its sections 4 and 5, Nigeria’s Arbitration and Conciliation Act 1988 (now Cap. A. 18 LFN 2004) contain two unusual provisions for stay of proceedings. These are respectively influenced by the UJVCITRAL Model Arbitration Law 1985 and the old Arbitration Act 1914. (Cap. 13 LFN 1958) In view of the different historical and philosophical backgrounds, the intention, nature, scope, and functions of the sections have proven controversial and difficult in interpretation and application to courts and scholars. From the standpoint of the new pro-arbitration environment, this article provides a legitimizing functional analysis of the provisions. It distinguishes the sections’ objects and scope, and identifies flaws of interpretation. There is in existence a deliberate and justifiable two tier-structure automatically obligating arbitration at the will of a party and a further ‘second chance’provision. They are applicable to both domestic and international arbitration. Finally, the article expounds new and wider horizons of application, and specifies duties of the courts in the management of the provisions.","container-title":"Arbitration International","DOI":"10.1093/arbitration/28.4.689","ISSN":"0957-0411","issue":"4","journalAbbreviation":"Arbitration International","page":"689-720","source":"Silverchair","title":"Stay of Proceedings in Nigerian Law of Arbitration – An Analysis of its Functions, Applications and Problems","URL":"https://doi.org/10.1093/arbitration/28.4.689","volume":"28","author":[{"family":"Olatawura","given":"Ola O."}],"accessed":{"date-parts":[["2021",4,22]]},"issued":{"date-parts":[["2012",12,1]]}}}],"schema":"https://github.com/citation-style-language/schema/raw/master/csl-citation.json"}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rPr>
        <w:t>(Olatawura, 2012)</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the case of </w:t>
      </w:r>
      <w:r w:rsidRPr="00944EB8">
        <w:rPr>
          <w:rFonts w:ascii="Times New Roman" w:hAnsi="Times New Roman" w:cs="Times New Roman"/>
          <w:b/>
          <w:bCs/>
          <w:i/>
          <w:iCs/>
          <w:sz w:val="24"/>
          <w:szCs w:val="24"/>
        </w:rPr>
        <w:t>The Owners of MV Lupex v Nigerian Overseas Chartering &amp; Shipping Ltd (MV Lupex)</w:t>
      </w:r>
      <w:r w:rsidRPr="00944EB8">
        <w:rPr>
          <w:rFonts w:ascii="Times New Roman" w:hAnsi="Times New Roman" w:cs="Times New Roman"/>
          <w:sz w:val="24"/>
          <w:szCs w:val="24"/>
        </w:rPr>
        <w:t xml:space="preserve">, the Supreme Court overruled the decisions of the lower courts that had refused to grant the stay of proceedings in an action commenced by a party who had agreed to arbitration in London, had submitted to the jurisdiction of the arbitral tribunal and had even filed a counterclaim before the tribunal. In the lead judgment, Mohammed JSC summarized the principle of Nigerian law on the subject in the following words: “[w]here parties have chosen to determine for themselves that they would refer any of their disputes to arbitration instead of resorting to regular courts a </w:t>
      </w:r>
      <w:r w:rsidRPr="00944EB8">
        <w:rPr>
          <w:rFonts w:ascii="Times New Roman" w:hAnsi="Times New Roman" w:cs="Times New Roman"/>
          <w:i/>
          <w:iCs/>
          <w:sz w:val="24"/>
          <w:szCs w:val="24"/>
        </w:rPr>
        <w:t>prima facie</w:t>
      </w:r>
      <w:r w:rsidRPr="00944EB8">
        <w:rPr>
          <w:rFonts w:ascii="Times New Roman" w:hAnsi="Times New Roman" w:cs="Times New Roman"/>
          <w:sz w:val="24"/>
          <w:szCs w:val="24"/>
        </w:rPr>
        <w:t xml:space="preserve"> duty is cast upon the courts to act upon their agreement.”</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On the other hand, section 5 of the Act,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{"citationID":"WrE06YD8","properties":{"formattedCitation":"(\\uc0\\u8220{}Arbitration and Conciliation Act (Cap. A18).,\\uc0\\u8221{} n.d.)","plainCitation":"(“Arbitration and Conciliation Act (Cap. A18).,” n.d.)","noteIndex":0},"citationItems":[{"id":578,"uris":["http://zotero.org/users/local/arLofKbg/items/ZVH3WX48"],"uri":["http://zotero.org/users/local/arLofKbg/items/ZVH3WX48"],"itemData":{"id":578,"type":"webpage","title":"Arbitration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(“Arbitration and Conciliation Act (Cap. A18)</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also empower national courts to stay proceedings where a party to an arbitration agreement commences an action in any court with respect to a matter which is the subject of an arbitration agreement provided that there is not sufficient reason why the matter should not be referred to arbitration and the applicant remains ready and willing to do all things which are necessary for the proper conduct of the arbitration. Curiously however, the word employed by this section 5 is not "shall", but "may" which suggests that the court is not mandated, but merely possesses the discretion to stay such proceedings. This provision therefore empowers a judge who is not pro-arbitration to refuse to stay proceedings notwithstanding the fact that there is an arbitration agreement and therefore encourages the breach of a valid arbitration agreement.</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Section 5 of the Arbitration and Conciliation Act has also been the subject of conflicting decisions by Nigerian courts. This is clearly as a result of the inherent contradiction between the provisions of sections 4 and 5 of the Act as highlighted above. In the case of </w:t>
      </w:r>
      <w:r w:rsidRPr="00944EB8">
        <w:rPr>
          <w:rFonts w:ascii="Times New Roman" w:hAnsi="Times New Roman" w:cs="Times New Roman"/>
          <w:b/>
          <w:bCs/>
          <w:i/>
          <w:iCs/>
          <w:sz w:val="24"/>
          <w:szCs w:val="24"/>
        </w:rPr>
        <w:t xml:space="preserve">United Bank for Africa v. Trident Consulting Ltd, </w:t>
      </w:r>
      <w:r w:rsidRPr="00944EB8">
        <w:rPr>
          <w:rFonts w:ascii="Times New Roman" w:hAnsi="Times New Roman" w:cs="Times New Roman"/>
          <w:b/>
          <w:bCs/>
          <w:i/>
          <w:iCs/>
          <w:sz w:val="24"/>
          <w:szCs w:val="24"/>
        </w:rPr>
        <w:fldChar w:fldCharType="begin"/>
      </w:r>
      <w:r w:rsidRPr="00944EB8">
        <w:rPr>
          <w:rFonts w:ascii="Times New Roman" w:hAnsi="Times New Roman" w:cs="Times New Roman"/>
          <w:b/>
          <w:bCs/>
          <w:i/>
          <w:iCs/>
          <w:sz w:val="24"/>
          <w:szCs w:val="24"/>
        </w:rPr>
        <w:instrText xml:space="preserve"> ADDIN ZOTERO_ITEM CSL_CITATION {"citationID":"1CWKbGy0","properties":{"formattedCitation":"(\\uc0\\u8220{}United Bank For Africa plc. V Trident Consulting Limited Qualified,\\uc0\\u8221{} n.d.)","plainCitation":"(“United Bank For Africa plc. V Trident Consulting Limited Qualified,” n.d.)","noteIndex":0},"citationItems":[{"id":636,"uris":["http://zotero.org/users/local/arLofKbg/items/D8I7CFJI"],"uri":["http://zotero.org/users/local/arLofKbg/items/D8I7CFJI"],"itemData":{"id":636,"type":"webpage","abstract":"In a recent decision, the Court of Appeal sitting in Lagos, in Dr. Charles D. Mekwunye v. Lotus Capital Limited &amp; 4 Ors. (SUIT NO: CA/L/1349/2016 – judgment delivered on April 20, 2018), clarified...","container-title":"Banwo &amp; Ighodalo","title":"United Bank For Africa plc. V Trident Consulting Limited Qualified","URL":"https://banwo-ighodalo.com/news/united-bank-for-africa-plc-v-trident-consulting-limited-qualified","accessed":{"date-parts":[["2021",4,22]]}}}],"schema":"https://github.com/citation-style-language/schema/raw/master/csl-citation.json"} </w:instrText>
      </w:r>
      <w:r w:rsidRPr="00944EB8">
        <w:rPr>
          <w:rFonts w:ascii="Times New Roman" w:hAnsi="Times New Roman" w:cs="Times New Roman"/>
          <w:b/>
          <w:bCs/>
          <w:i/>
          <w:iCs/>
          <w:sz w:val="24"/>
          <w:szCs w:val="24"/>
        </w:rPr>
        <w:fldChar w:fldCharType="separate"/>
      </w:r>
      <w:r w:rsidRPr="00944EB8">
        <w:rPr>
          <w:rFonts w:ascii="Times New Roman" w:eastAsia="Times New Roman" w:hAnsi="Times New Roman" w:cs="Times New Roman"/>
          <w:b/>
          <w:bCs/>
          <w:i/>
          <w:iCs/>
          <w:sz w:val="24"/>
          <w:szCs w:val="24"/>
        </w:rPr>
        <w:t>(2013) 4 CLRN 119</w:t>
      </w:r>
      <w:r w:rsidRPr="00944EB8">
        <w:rPr>
          <w:rFonts w:ascii="Times New Roman" w:hAnsi="Times New Roman" w:cs="Times New Roman"/>
          <w:b/>
          <w:bCs/>
          <w:i/>
          <w:iCs/>
          <w:sz w:val="24"/>
          <w:szCs w:val="24"/>
        </w:rPr>
        <w:t>)</w:t>
      </w:r>
      <w:r w:rsidRPr="00944EB8">
        <w:rPr>
          <w:rFonts w:ascii="Times New Roman" w:hAnsi="Times New Roman" w:cs="Times New Roman"/>
          <w:b/>
          <w:bCs/>
          <w:i/>
          <w:iCs/>
          <w:sz w:val="24"/>
          <w:szCs w:val="24"/>
        </w:rPr>
        <w:fldChar w:fldCharType="end"/>
      </w:r>
      <w:r w:rsidRPr="00944EB8">
        <w:rPr>
          <w:rFonts w:ascii="Times New Roman" w:hAnsi="Times New Roman" w:cs="Times New Roman"/>
          <w:b/>
          <w:bCs/>
          <w:i/>
          <w:iCs/>
          <w:sz w:val="24"/>
          <w:szCs w:val="24"/>
        </w:rPr>
        <w:t xml:space="preserve">, </w:t>
      </w:r>
      <w:r w:rsidRPr="00944EB8">
        <w:rPr>
          <w:rFonts w:ascii="Times New Roman" w:hAnsi="Times New Roman" w:cs="Times New Roman"/>
          <w:sz w:val="24"/>
          <w:szCs w:val="24"/>
        </w:rPr>
        <w:t xml:space="preserve">the Court of Appeal recognised the power of the courts to grant a stay of proceedings of an action in respect of a </w:t>
      </w:r>
      <w:r w:rsidRPr="00944EB8">
        <w:rPr>
          <w:rFonts w:ascii="Times New Roman" w:hAnsi="Times New Roman" w:cs="Times New Roman"/>
          <w:sz w:val="24"/>
          <w:szCs w:val="24"/>
        </w:rPr>
        <w:lastRenderedPageBreak/>
        <w:t xml:space="preserve">dispute which is the subject of an arbitration agreement. In doing so, however, the court introduced an additional requirement not contained in the Act, to the effect that, </w:t>
      </w:r>
      <w:r w:rsidRPr="00944EB8">
        <w:rPr>
          <w:rFonts w:ascii="Times New Roman" w:eastAsiaTheme="minorHAnsi" w:hAnsi="Times New Roman" w:cs="Times New Roman"/>
          <w:i/>
          <w:iCs/>
          <w:sz w:val="24"/>
          <w:szCs w:val="24"/>
        </w:rPr>
        <w:t>"</w:t>
      </w:r>
      <w:r w:rsidRPr="00944EB8">
        <w:rPr>
          <w:rFonts w:ascii="Times New Roman" w:hAnsi="Times New Roman" w:cs="Times New Roman"/>
          <w:i/>
          <w:iCs/>
          <w:sz w:val="24"/>
          <w:szCs w:val="24"/>
        </w:rPr>
        <w:t>b</w:t>
      </w:r>
      <w:r w:rsidRPr="00944EB8">
        <w:rPr>
          <w:rFonts w:ascii="Times New Roman" w:eastAsiaTheme="minorHAnsi" w:hAnsi="Times New Roman" w:cs="Times New Roman"/>
          <w:i/>
          <w:iCs/>
          <w:sz w:val="24"/>
          <w:szCs w:val="24"/>
        </w:rPr>
        <w:t>efore a stay may be granted pending arbitration, the party applying for a stay must demonstrate unequivocally by documentary evidence and/or other visible means that he is willing to arbitrate. He does it satisfactorily by (1) notifying the other party in writing of his intention of referring the matter to arbitration and (2) by proposing in writing an arbitrator or arbitrators for the arbitration".</w:t>
      </w:r>
    </w:p>
    <w:p w:rsidR="001C2CCB"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The undesirable nature of the provisions of section 5 of the Arbitration and Conciliation Act is typified in the earlier decision of the Court of Appeal in the case of </w:t>
      </w:r>
      <w:r w:rsidRPr="00944EB8">
        <w:rPr>
          <w:rFonts w:ascii="Times New Roman" w:hAnsi="Times New Roman" w:cs="Times New Roman"/>
          <w:b/>
          <w:bCs/>
          <w:i/>
          <w:iCs/>
          <w:sz w:val="24"/>
          <w:szCs w:val="24"/>
        </w:rPr>
        <w:t>Panormos Bay v Olam (2004),</w:t>
      </w:r>
      <w:r w:rsidRPr="00944EB8">
        <w:rPr>
          <w:rFonts w:ascii="Times New Roman" w:hAnsi="Times New Roman" w:cs="Times New Roman"/>
          <w:sz w:val="24"/>
          <w:szCs w:val="24"/>
        </w:rPr>
        <w:t xml:space="preserve"> which concerned a dispute arising out of a contract under which the parties had agreed to arbitration in London. In upholding the decision of the High Court to refuse a stay of proceedings in favour of arbitration, the Court of Appeal held that section 4 of the Act is “controlled and limited by section 5(2) of the Act”. Further, the Court of Appeal despite finding that there was a subsisting and irrevocable arbitration agreement and that the applicant had not taken a step in the proceedings before making the application, held that the trial court could not be entitled to order the parties to go to arbitration, and that, in the circumstances, the arbitration clause was an invalid attempt to oust the courts’ jurisdiction. </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The court further proceeded to hold that a party applying for a stay of proceedings in an action pending reference to arbitration must support the application by showing in his affidavit documentary evidence of the steps he took or intends to take for the proper conduct of the arbitration; and that it was not enough for him merely to depose that he was ready and willing to do all things necessary for causing the matter to be decided by arbitration.</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Thankfully, despite the above authorities, the discernible trend </w:t>
      </w:r>
      <w:r w:rsidRPr="00944EB8">
        <w:rPr>
          <w:rFonts w:ascii="Times New Roman" w:eastAsiaTheme="minorHAnsi" w:hAnsi="Times New Roman" w:cs="Times New Roman"/>
          <w:sz w:val="24"/>
          <w:szCs w:val="24"/>
        </w:rPr>
        <w:t xml:space="preserve">is that the courts do not tend to insist on the requirement of adducing documentary evidence of the applicant’s willingness to arbitrate, and the jurisprudence and overall approach of Nigerian courts in recent years has been clearly disposed towards upholding arbitration agreements, </w:t>
      </w:r>
      <w:r w:rsidRPr="00944EB8">
        <w:rPr>
          <w:rFonts w:ascii="Times New Roman" w:eastAsiaTheme="minorHAnsi" w:hAnsi="Times New Roman" w:cs="Times New Roman"/>
          <w:sz w:val="24"/>
          <w:szCs w:val="24"/>
        </w:rPr>
        <w:fldChar w:fldCharType="begin"/>
      </w:r>
      <w:r w:rsidRPr="00944EB8">
        <w:rPr>
          <w:rFonts w:ascii="Times New Roman" w:eastAsiaTheme="minorHAnsi" w:hAnsi="Times New Roman" w:cs="Times New Roman"/>
          <w:sz w:val="24"/>
          <w:szCs w:val="24"/>
        </w:rPr>
        <w:instrText xml:space="preserve"> ADDIN ZOTERO_ITEM CSL_CITATION {"citationID":"Ohy5kYwe","properties":{"formattedCitation":"(Bamodu, 2018)","plainCitation":"(Bamodu, 2018)","noteIndex":0},"citationItems":[{"id":638,"uris":["http://zotero.org/users/local/arLofKbg/items/WSBKSXJZ"],"uri":["http://zotero.org/users/local/arLofKbg/items/WSBKSXJZ"],"itemData":{"id":638,"type":"article-journal","abstract":"The quality of judicial support and respect for the principle of minimum intervention are crucial factors in assessing whether a jurisdiction is attractive for arbitration. While there have been efforts to present Nigeria as an arbitration-friendly jurisdiction and an attractive arbitration venue, questions remain about the adequacy, effectiveness and certainty of legal rules concerning arbitration in Nigeria. There are also questions about the quality and efficiency of judicial support for arbitration in light of some judicial decisions affecting arbitration that have generated controversy. Through a careful analysis of key statutory provisions and judicial decisions, this article analyses support for arbitration in Nigeria in respect of selected topics, including party autonomy, upholding arbitration agreements (especially concerning the stay of judicial proceedings), the stay of arbitration proceedings and third party intervention. The article identifies scope for improvement in statutory and judicial approaches. It makes suggestions concerning both judicial approaches and reform of the statutory regimes.","container-title":"Journal of African Law","DOI":"10.1017/S0021855318000098","ISSN":"0021-8553, 1464-3731","issue":"2","language":"en","note":"publisher: Cambridge University Press","page":"255-279","source":"Cambridge University Press","title":"Judicial Support for Arbitration in Nigeria: On Interpretation of Aspects of Nigeria's Arbitration and Conciliation Act","title-short":"Judicial Support for Arbitration in Nigeria","URL":"https://www.cambridge.org/core/journals/journal-of-african-law/article/abs/judicial-support-for-arbitration-in-nigeria-on-interpretation-of-aspects-of-nigerias-arbitration-and-conciliation-act/96FCF03ED761B351FC630565D9E074AC#","volume":"62","author":[{"family":"Bamodu","given":"’Gbenga"}],"accessed":{"date-parts":[["2021",4,22]]},"issued":{"date-parts":[["2018",6]]}}}],"schema":"https://github.com/citation-style-language/schema/raw/master/csl-citation.json"} </w:instrText>
      </w:r>
      <w:r w:rsidRPr="00944EB8">
        <w:rPr>
          <w:rFonts w:ascii="Times New Roman" w:eastAsiaTheme="minorHAnsi" w:hAnsi="Times New Roman" w:cs="Times New Roman"/>
          <w:sz w:val="24"/>
          <w:szCs w:val="24"/>
        </w:rPr>
        <w:fldChar w:fldCharType="separate"/>
      </w:r>
      <w:r w:rsidRPr="00944EB8">
        <w:rPr>
          <w:rFonts w:ascii="Times New Roman" w:hAnsi="Times New Roman" w:cs="Times New Roman"/>
          <w:sz w:val="24"/>
        </w:rPr>
        <w:t>(Bamodu, 2018)</w:t>
      </w:r>
      <w:r w:rsidRPr="00944EB8">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 xml:space="preserve">. This trend is clearly preferable and is consistent with Nigeria’s continuous efforts to </w:t>
      </w:r>
      <w:r w:rsidRPr="00944EB8">
        <w:rPr>
          <w:rFonts w:ascii="Times New Roman" w:eastAsiaTheme="minorHAnsi" w:hAnsi="Times New Roman" w:cs="Times New Roman"/>
          <w:sz w:val="24"/>
          <w:szCs w:val="24"/>
        </w:rPr>
        <w:lastRenderedPageBreak/>
        <w:t xml:space="preserve">be perceived not just as an arbitration jurisdiction friendly jurisdiction, but also as a veritable hub for commercial arbitration in the West African region. </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A notable case in this regard is </w:t>
      </w:r>
      <w:r w:rsidRPr="00944EB8">
        <w:rPr>
          <w:rFonts w:ascii="Times New Roman" w:hAnsi="Times New Roman" w:cs="Times New Roman"/>
          <w:b/>
          <w:bCs/>
          <w:i/>
          <w:iCs/>
          <w:sz w:val="24"/>
          <w:szCs w:val="24"/>
        </w:rPr>
        <w:t>Sino-Afric Agricultural &amp; Industrial Co Ltd v Ministry of Finance Incorporation and Another, (2014)</w:t>
      </w:r>
      <w:r w:rsidRPr="00944EB8">
        <w:rPr>
          <w:rFonts w:ascii="Times New Roman" w:hAnsi="Times New Roman" w:cs="Times New Roman"/>
          <w:sz w:val="24"/>
          <w:szCs w:val="24"/>
        </w:rPr>
        <w:t>. In that case, the arbitration clause provided that either party “may” refer any dispute to arbitration. When one of the parties commenced litigation in breach of the arbitration agreement, the other party applied for a stay of proceedings pending the appointment of an arbitrator. In its judgment, the Court of Appeal held unanimously that the arbitration agreement created a mandatory obligation to submit to arbitration and that the courts have a discretion to stay proceedings under section 5 of the Arbitration and Conciliation Act once they are satisfied of the merits and provided that the defendant has not delivered any pleadings or taken any steps in the proceeding beyond entering appearance. Instructively, the court did not require that the arbitration proceedings must have commenced, as the application was for a stay of court proceedings pending the appointment of an arbitrator. Additionally, the court did not demand that the applicant had to show by documentary evidence that he was ready and willing to facilitate the proper conduct of the arbitration before the grant of the application for stay of proceedings.</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a similar decision, the </w:t>
      </w:r>
      <w:r w:rsidRPr="00944EB8">
        <w:rPr>
          <w:rFonts w:ascii="Times New Roman" w:hAnsi="Times New Roman" w:cs="Times New Roman"/>
          <w:b/>
          <w:bCs/>
          <w:i/>
          <w:iCs/>
          <w:sz w:val="24"/>
          <w:szCs w:val="24"/>
        </w:rPr>
        <w:t>Court of Appeal in Onward Enterprises Ltd v. MV Matrix (2010</w:t>
      </w:r>
      <w:proofErr w:type="gramStart"/>
      <w:r w:rsidRPr="00944EB8">
        <w:rPr>
          <w:rFonts w:ascii="Times New Roman" w:hAnsi="Times New Roman" w:cs="Times New Roman"/>
          <w:b/>
          <w:bCs/>
          <w:i/>
          <w:iCs/>
          <w:sz w:val="24"/>
          <w:szCs w:val="24"/>
        </w:rPr>
        <w:t>),</w:t>
      </w:r>
      <w:proofErr w:type="gramEnd"/>
      <w:r w:rsidRPr="00944EB8">
        <w:rPr>
          <w:rFonts w:ascii="Times New Roman" w:hAnsi="Times New Roman" w:cs="Times New Roman"/>
          <w:sz w:val="24"/>
          <w:szCs w:val="24"/>
        </w:rPr>
        <w:t xml:space="preserve"> did not demand any requirement of documentary evidence from an applicant for a stay of proceedings pending arbitration. Rather, the court re-emphasized the importance of holding parties to an arbitration agreement to be bound to the agreement, particularly considering the general principles laid down by the Supreme Court in </w:t>
      </w:r>
      <w:r w:rsidRPr="00944EB8">
        <w:rPr>
          <w:rFonts w:ascii="Times New Roman" w:hAnsi="Times New Roman" w:cs="Times New Roman"/>
          <w:b/>
          <w:bCs/>
          <w:i/>
          <w:iCs/>
          <w:sz w:val="24"/>
          <w:szCs w:val="24"/>
        </w:rPr>
        <w:t xml:space="preserve">The Owners of MV Lupex v Nigerian Overseas Chartering &amp; Shipping Ltd </w:t>
      </w:r>
      <w:r w:rsidRPr="00944EB8">
        <w:rPr>
          <w:rFonts w:ascii="Times New Roman" w:eastAsiaTheme="minorHAnsi" w:hAnsi="Times New Roman" w:cs="Times New Roman"/>
          <w:b/>
        </w:rPr>
        <w:t>(2003)</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Further, in </w:t>
      </w:r>
      <w:r w:rsidRPr="00944EB8">
        <w:rPr>
          <w:rFonts w:ascii="Times New Roman" w:hAnsi="Times New Roman" w:cs="Times New Roman"/>
          <w:b/>
          <w:bCs/>
          <w:i/>
          <w:iCs/>
          <w:sz w:val="24"/>
          <w:szCs w:val="24"/>
        </w:rPr>
        <w:t>Mekwunye v. Lotus Capital Ltd (2018) LPELR-45546 (CA)</w:t>
      </w:r>
      <w:r w:rsidRPr="00944EB8">
        <w:rPr>
          <w:rFonts w:ascii="Times New Roman" w:hAnsi="Times New Roman" w:cs="Times New Roman"/>
          <w:sz w:val="24"/>
          <w:szCs w:val="24"/>
        </w:rPr>
        <w:t xml:space="preserve"> the Court of Appeal categorically held that its previous decisions in </w:t>
      </w:r>
      <w:r w:rsidRPr="00944EB8">
        <w:rPr>
          <w:rFonts w:ascii="Times New Roman" w:hAnsi="Times New Roman" w:cs="Times New Roman"/>
          <w:b/>
          <w:bCs/>
          <w:i/>
          <w:iCs/>
          <w:sz w:val="24"/>
          <w:szCs w:val="24"/>
        </w:rPr>
        <w:t xml:space="preserve">United Bank for Africa v. Trident Consulting Ltd </w:t>
      </w:r>
      <w:r w:rsidRPr="00944EB8">
        <w:rPr>
          <w:rFonts w:ascii="Times New Roman" w:eastAsia="Times New Roman" w:hAnsi="Times New Roman" w:cs="Times New Roman"/>
          <w:b/>
          <w:bCs/>
          <w:i/>
          <w:iCs/>
          <w:sz w:val="24"/>
          <w:szCs w:val="24"/>
        </w:rPr>
        <w:t>(2013) 4 CLRN 119</w:t>
      </w:r>
      <w:r w:rsidRPr="00944EB8">
        <w:rPr>
          <w:rFonts w:ascii="Times New Roman" w:eastAsia="Times New Roman" w:hAnsi="Times New Roman" w:cs="Times New Roman"/>
          <w:sz w:val="24"/>
          <w:szCs w:val="24"/>
        </w:rPr>
        <w:t xml:space="preserve"> and </w:t>
      </w:r>
      <w:r w:rsidRPr="00944EB8">
        <w:rPr>
          <w:rFonts w:ascii="Times New Roman" w:hAnsi="Times New Roman" w:cs="Times New Roman"/>
          <w:b/>
          <w:bCs/>
          <w:i/>
          <w:iCs/>
          <w:sz w:val="24"/>
          <w:szCs w:val="24"/>
        </w:rPr>
        <w:t>MV Parnomos Bay V Olam (Nig) Ltd. (2004) 5 NWLR (Pt. 865)</w:t>
      </w:r>
      <w:r w:rsidRPr="00944EB8">
        <w:rPr>
          <w:rFonts w:ascii="Times New Roman" w:hAnsi="Times New Roman" w:cs="Times New Roman"/>
          <w:sz w:val="24"/>
          <w:szCs w:val="24"/>
        </w:rPr>
        <w:t xml:space="preserve"> 1 were wrongly decided.</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The conflicting regimes for the grant of stay of proceedings in favour of arbitration found in sections 4 and 5 of the Arbitration and Conciliation Act is another area where the Arbitration Law of Lagos State diverges with its federal counterpart, the Arbitration and Conciliation Act. The Law, in section 6, merely provides for the equivalent of section 4 of the Arbitration and Conciliation Act, while there is no corresponding provision of section 5 of the Act in the Arbitration Law of Lagos State.</w:t>
      </w:r>
    </w:p>
    <w:p w:rsidR="001C2CCB"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Heading2"/>
        <w:numPr>
          <w:ilvl w:val="0"/>
          <w:numId w:val="42"/>
        </w:numPr>
        <w:spacing w:before="0"/>
        <w:rPr>
          <w:rFonts w:cs="Times New Roman"/>
          <w:color w:val="auto"/>
        </w:rPr>
      </w:pPr>
      <w:bookmarkStart w:id="71" w:name="_Toc80808281"/>
      <w:r w:rsidRPr="00944EB8">
        <w:rPr>
          <w:rFonts w:cs="Times New Roman"/>
          <w:color w:val="auto"/>
        </w:rPr>
        <w:t>The appointment of arbitrators</w:t>
      </w:r>
      <w:bookmarkEnd w:id="71"/>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Another provision of the Nigerian Arbitration and Conciliation Act, which unwittingly opens the doors of judicial intervention in the arbitral process, is in relation to the default procedure for the appointment of arbitrators. Section 7(1) of the Act recognises the right of parties to specify in their arbitration agreement the procedure to be followed in appointing an arbitrator while section 7(2) makes provision for where no procedure has been specified in the arbitration agreement as follows:</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spacing w:before="0" w:after="0" w:line="360" w:lineRule="auto"/>
        <w:ind w:left="1020" w:right="510"/>
        <w:jc w:val="both"/>
        <w:rPr>
          <w:rFonts w:ascii="Times New Roman" w:hAnsi="Times New Roman" w:cs="Times New Roman"/>
          <w:sz w:val="24"/>
          <w:szCs w:val="24"/>
        </w:rPr>
      </w:pPr>
      <w:r w:rsidRPr="00944EB8">
        <w:rPr>
          <w:rFonts w:ascii="Times New Roman" w:hAnsi="Times New Roman" w:cs="Times New Roman"/>
          <w:sz w:val="24"/>
          <w:szCs w:val="24"/>
        </w:rPr>
        <w:t>7 (2) Where no procedure is specified under subsection (1) of this section:</w:t>
      </w:r>
    </w:p>
    <w:p w:rsidR="001C2CCB" w:rsidRPr="00944EB8" w:rsidRDefault="001C2CCB" w:rsidP="001C2CCB">
      <w:pPr>
        <w:pStyle w:val="ListParagraph"/>
        <w:spacing w:before="0" w:after="0" w:line="360" w:lineRule="auto"/>
        <w:ind w:left="1020" w:right="510"/>
        <w:jc w:val="both"/>
        <w:rPr>
          <w:rFonts w:ascii="Times New Roman" w:hAnsi="Times New Roman" w:cs="Times New Roman"/>
          <w:sz w:val="24"/>
          <w:szCs w:val="24"/>
        </w:rPr>
      </w:pPr>
      <w:r w:rsidRPr="00944EB8">
        <w:rPr>
          <w:rFonts w:ascii="Times New Roman" w:hAnsi="Times New Roman" w:cs="Times New Roman"/>
          <w:sz w:val="24"/>
          <w:szCs w:val="24"/>
        </w:rPr>
        <w:t xml:space="preserve">a. In the case of an arbitration with three arbitrators, each party shall appoint one arbitrator and the two thus appointed shall appoint the third, so however that – </w:t>
      </w:r>
    </w:p>
    <w:p w:rsidR="001C2CCB" w:rsidRPr="00944EB8" w:rsidRDefault="001C2CCB" w:rsidP="001C2CCB">
      <w:pPr>
        <w:pStyle w:val="ListParagraph"/>
        <w:numPr>
          <w:ilvl w:val="0"/>
          <w:numId w:val="10"/>
        </w:numPr>
        <w:spacing w:before="0" w:after="0" w:line="360" w:lineRule="auto"/>
        <w:ind w:left="1701" w:right="510" w:hanging="708"/>
        <w:jc w:val="both"/>
        <w:rPr>
          <w:rFonts w:ascii="Times New Roman" w:hAnsi="Times New Roman" w:cs="Times New Roman"/>
          <w:sz w:val="24"/>
          <w:szCs w:val="24"/>
        </w:rPr>
      </w:pPr>
      <w:r w:rsidRPr="00944EB8">
        <w:rPr>
          <w:rFonts w:ascii="Times New Roman" w:hAnsi="Times New Roman" w:cs="Times New Roman"/>
          <w:sz w:val="24"/>
          <w:szCs w:val="24"/>
        </w:rPr>
        <w:t xml:space="preserve">If any party fails to appoint the arbitrator within thirty days of receipt of a request to do so by the other party; or  </w:t>
      </w:r>
    </w:p>
    <w:p w:rsidR="001C2CCB" w:rsidRPr="00944EB8" w:rsidRDefault="001C2CCB" w:rsidP="001C2CCB">
      <w:pPr>
        <w:pStyle w:val="ListParagraph"/>
        <w:numPr>
          <w:ilvl w:val="0"/>
          <w:numId w:val="10"/>
        </w:numPr>
        <w:spacing w:before="0" w:after="0" w:line="360" w:lineRule="auto"/>
        <w:ind w:left="1701" w:right="510" w:hanging="708"/>
        <w:jc w:val="both"/>
        <w:rPr>
          <w:rFonts w:ascii="Times New Roman" w:hAnsi="Times New Roman" w:cs="Times New Roman"/>
          <w:sz w:val="24"/>
          <w:szCs w:val="24"/>
        </w:rPr>
      </w:pPr>
      <w:r w:rsidRPr="00944EB8">
        <w:rPr>
          <w:rFonts w:ascii="Times New Roman" w:hAnsi="Times New Roman" w:cs="Times New Roman"/>
          <w:sz w:val="24"/>
          <w:szCs w:val="24"/>
        </w:rPr>
        <w:t xml:space="preserve">If the two arbitrators fail to agree on the third arbitrator within thirty days of their appointments, the appointment shall be made by the court on the application of any party to the arbitration agreement; </w:t>
      </w:r>
    </w:p>
    <w:p w:rsidR="001C2CCB" w:rsidRPr="00944EB8" w:rsidRDefault="001C2CCB" w:rsidP="001C2CCB">
      <w:pPr>
        <w:spacing w:before="0" w:after="0" w:line="360" w:lineRule="auto"/>
        <w:ind w:left="1020" w:right="510"/>
        <w:jc w:val="both"/>
        <w:rPr>
          <w:rFonts w:ascii="Times New Roman" w:hAnsi="Times New Roman" w:cs="Times New Roman"/>
          <w:sz w:val="24"/>
          <w:szCs w:val="24"/>
        </w:rPr>
      </w:pPr>
      <w:proofErr w:type="gramStart"/>
      <w:r w:rsidRPr="00944EB8">
        <w:rPr>
          <w:rFonts w:ascii="Times New Roman" w:hAnsi="Times New Roman" w:cs="Times New Roman"/>
          <w:sz w:val="24"/>
          <w:szCs w:val="24"/>
        </w:rPr>
        <w:t>b. In the case of an arbitration</w:t>
      </w:r>
      <w:proofErr w:type="gramEnd"/>
      <w:r w:rsidRPr="00944EB8">
        <w:rPr>
          <w:rFonts w:ascii="Times New Roman" w:hAnsi="Times New Roman" w:cs="Times New Roman"/>
          <w:sz w:val="24"/>
          <w:szCs w:val="24"/>
        </w:rPr>
        <w:t xml:space="preserve"> with one arbitrator, where the parties fail to agree on the arbitrator, the appointment shall be made by the court on the application of any party to the arbitration agreement made within thirty days of such disagreement.</w:t>
      </w:r>
    </w:p>
    <w:p w:rsidR="001C2CCB" w:rsidRPr="00944EB8" w:rsidRDefault="001C2CCB" w:rsidP="001C2CCB">
      <w:pPr>
        <w:spacing w:before="0" w:after="0" w:line="360" w:lineRule="auto"/>
        <w:ind w:left="1020" w:right="51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lastRenderedPageBreak/>
        <w:t>Further, subsection 3 of the section provides that where under an appointment procedure agreed upon by the parties, a party fails to act under the procedure, or the parties or arbitrators fail to reach agreement or a third party including an institution fails to perform any duty imposed on it under the procedure any party may request the court to take the necessary measure.</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w:t>
      </w:r>
      <w:r w:rsidRPr="00944EB8">
        <w:rPr>
          <w:rFonts w:ascii="Times New Roman" w:hAnsi="Times New Roman" w:cs="Times New Roman"/>
          <w:b/>
          <w:bCs/>
          <w:i/>
          <w:iCs/>
          <w:sz w:val="24"/>
          <w:szCs w:val="24"/>
        </w:rPr>
        <w:t>Royal Exchange Assur. v. Bentworth Fin. (Nig.) Ltd</w:t>
      </w:r>
      <w:r w:rsidRPr="00944EB8">
        <w:rPr>
          <w:rFonts w:ascii="Times New Roman" w:hAnsi="Times New Roman" w:cs="Times New Roman"/>
          <w:b/>
          <w:bCs/>
          <w:sz w:val="24"/>
          <w:szCs w:val="24"/>
        </w:rPr>
        <w:t xml:space="preserve">. </w:t>
      </w:r>
      <w:r w:rsidRPr="00944EB8">
        <w:rPr>
          <w:rFonts w:ascii="Times New Roman" w:hAnsi="Times New Roman" w:cs="Times New Roman"/>
          <w:sz w:val="24"/>
          <w:szCs w:val="24"/>
        </w:rPr>
        <w:t>(1976) 10 NSCC 648 at 657; the Nigerian Supreme Court gave effect to a similar provision in the earlier legislation when it stated thus:</w:t>
      </w:r>
    </w:p>
    <w:p w:rsidR="001C2CCB" w:rsidRPr="00944EB8" w:rsidRDefault="001C2CCB" w:rsidP="001C2CCB">
      <w:pPr>
        <w:pStyle w:val="ListParagraph"/>
        <w:spacing w:before="0" w:after="0" w:line="360" w:lineRule="auto"/>
        <w:jc w:val="both"/>
        <w:rPr>
          <w:rFonts w:ascii="Times New Roman" w:hAnsi="Times New Roman" w:cs="Times New Roman"/>
          <w:i/>
          <w:iCs/>
          <w:sz w:val="24"/>
          <w:szCs w:val="24"/>
        </w:rPr>
      </w:pPr>
    </w:p>
    <w:p w:rsidR="001C2CCB" w:rsidRPr="00944EB8" w:rsidRDefault="001C2CCB" w:rsidP="001C2CCB">
      <w:pPr>
        <w:pStyle w:val="ListParagraph"/>
        <w:spacing w:before="0" w:after="0" w:line="360" w:lineRule="auto"/>
        <w:ind w:left="1020" w:right="510"/>
        <w:jc w:val="both"/>
        <w:rPr>
          <w:rFonts w:ascii="Times New Roman" w:hAnsi="Times New Roman" w:cs="Times New Roman"/>
          <w:sz w:val="24"/>
          <w:szCs w:val="24"/>
        </w:rPr>
      </w:pPr>
      <w:r w:rsidRPr="00944EB8">
        <w:rPr>
          <w:rFonts w:ascii="Times New Roman" w:hAnsi="Times New Roman" w:cs="Times New Roman"/>
          <w:i/>
          <w:iCs/>
          <w:sz w:val="24"/>
          <w:szCs w:val="24"/>
        </w:rPr>
        <w:t>“…the Arbitration Act provides that where a party refuses within a given time after due notice to have an arbitrator appointed, the court has full power and jurisdiction to appoint an arbitrator on an application properly made by the party who has served such notice”.</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It is my view that all of these unnecessarily invite the courts to intervene in the arbitral process and equip unscrupulous parties who are desirous of truncating the arbitral process to do so using the instrumentality of the judicial process. There have been several instances [mostly unreported] where parties have approached the courts to appoint an arbitrator where one of the parties failed to appoint his party-appointed arbitrator or where the two arbitrators failed to agree on the third arbitrator within thirty days of their appointments, and the other party who is in breach, objected to the court process and thereby occasioned a delay in the proceedings.</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Indeed, whenever parties to an arbitration agreement make the choice to refer their dispute to arbitration, choosing the right arbitral tribunal is critical to the success of the arbitral process. It is an important choice not only for the putative parties, but also for the reputation and standing of the process. </w:t>
      </w:r>
      <w:r w:rsidRPr="00944EB8">
        <w:rPr>
          <w:rFonts w:ascii="Times New Roman" w:eastAsiaTheme="minorHAnsi" w:hAnsi="Times New Roman" w:cs="Times New Roman"/>
          <w:sz w:val="24"/>
          <w:szCs w:val="24"/>
        </w:rPr>
        <w:t xml:space="preserve">A major attraction of arbitration is that it allows parties to submit a dispute to a judge of their own choice rather than requiring that choice to be exercised by a third party on their behalf. Consequently, the most popular means of </w:t>
      </w:r>
      <w:r w:rsidRPr="00944EB8">
        <w:rPr>
          <w:rFonts w:ascii="Times New Roman" w:eastAsiaTheme="minorHAnsi" w:hAnsi="Times New Roman" w:cs="Times New Roman"/>
          <w:sz w:val="24"/>
          <w:szCs w:val="24"/>
        </w:rPr>
        <w:lastRenderedPageBreak/>
        <w:t xml:space="preserve">selection or appointment of arbitrators is appointment by the parties. </w:t>
      </w:r>
      <w:r w:rsidRPr="00944EB8">
        <w:rPr>
          <w:rFonts w:ascii="Times New Roman" w:hAnsi="Times New Roman" w:cs="Times New Roman"/>
          <w:sz w:val="24"/>
          <w:szCs w:val="24"/>
        </w:rPr>
        <w:t>It is, thus, one of the unique distinguishing factors of arbitration as opposed to national judicial proceedings.</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heme="minorHAnsi" w:hAnsi="Times New Roman" w:cs="Times New Roman"/>
          <w:sz w:val="24"/>
          <w:szCs w:val="24"/>
        </w:rPr>
        <w:t>There are different methods of appointing an arbitral tribunal the most</w:t>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 xml:space="preserve">usual are: by agreement of the Parties; by an arbitral institution; by means of a list system; by means of the co-arbitrators appointing a presiding arbitrator; by a professional institution or a trade association; or by a national court. </w:t>
      </w:r>
      <w:r w:rsidRPr="00944EB8">
        <w:rPr>
          <w:rFonts w:ascii="Times New Roman" w:hAnsi="Times New Roman" w:cs="Times New Roman"/>
          <w:sz w:val="24"/>
          <w:szCs w:val="24"/>
        </w:rPr>
        <w:t>For the reasons provided above however, the recourse to a national court is the least desirable of the options because it unnecessarily invites the national courts to intervene in the arbitral process and equip unscrupulous parties who are desirous of truncating the arbitral process to do so using the instrumentality of the judicial process.</w:t>
      </w:r>
    </w:p>
    <w:p w:rsidR="001C2CCB" w:rsidRPr="00944EB8" w:rsidRDefault="001C2CCB" w:rsidP="001C2CCB">
      <w:pPr>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One possible remedy provided under the Act to prevent unnecessary delay in the arbitral process occasioned by the intervention of the courts is in section 7(4) which provides that a decision of the court on the appointment of arbitrators by the courts shall not be subject to appeal. This provision is however of dubious utility because it seeks to override the clear provisions of Section 241(1) of the 1999 Constitution which confers a right of appeal against decisions of the High Court to the Court of Appeal,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{"citationID":"o2ajwXUo","properties":{"formattedCitation":"(\\uc0\\u8220{}International Arbitration 2017, Third Edition - Litigation, Mediation &amp; Arbitration - Nigeria,\\uc0\\u8221{} n.d.)","plainCitation":"(“International Arbitration 2017, Third Edition - Litigation, Mediation &amp; Arbitration - Nigeria,” n.d.)","noteIndex":0},"citationItems":[{"id":643,"uris":["http://zotero.org/users/local/arLofKbg/items/552GLAIK"],"uri":["http://zotero.org/users/local/arLofKbg/items/552GLAIK"],"itemData":{"id":643,"type":"webpage","abstract":"The main arbitration law of Nigeria is the Arbitration and Conciliation Act 1988 (Cap A18 Laws of the Federation of Nigeria 2004). ACA is largely based on the UNCITRAL Model Law, with minimal differences.","title":"International Arbitration 2017, Third Edition - Litigation, Mediation &amp; Arbitration - Nigeria","URL":"https://www.mondaq.com/nigeria/arbitration-dispute-resolution/669322/international-arbitration-2017-third-edition","accessed":{"date-parts":[["2021",4,22]]}}}],"schema":"https://github.com/citation-style-language/schema/raw/master/csl-citation.json"}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(International Arbitration 2017)</w:t>
      </w:r>
      <w:r w:rsidRPr="00944EB8">
        <w:rPr>
          <w:rFonts w:ascii="Times New Roman" w:hAnsi="Times New Roman" w:cs="Times New Roman"/>
          <w:sz w:val="24"/>
          <w:szCs w:val="24"/>
        </w:rPr>
        <w:fldChar w:fldCharType="end"/>
      </w:r>
      <w:r w:rsidRPr="00944EB8">
        <w:rPr>
          <w:rFonts w:ascii="Times New Roman" w:hAnsi="Times New Roman" w:cs="Times New Roman"/>
          <w:sz w:val="24"/>
          <w:szCs w:val="24"/>
        </w:rPr>
        <w:t xml:space="preserve"> and thus in upholding the constitutional right to appeal, the court in </w:t>
      </w:r>
      <w:r w:rsidRPr="00944EB8">
        <w:rPr>
          <w:rFonts w:ascii="Times New Roman" w:hAnsi="Times New Roman" w:cs="Times New Roman"/>
          <w:b/>
          <w:bCs/>
          <w:i/>
          <w:iCs/>
          <w:sz w:val="24"/>
          <w:szCs w:val="24"/>
        </w:rPr>
        <w:t>Ogunwale v Syrian Arab Republic</w:t>
      </w:r>
      <w:r w:rsidRPr="00944EB8">
        <w:rPr>
          <w:rFonts w:ascii="Times New Roman" w:hAnsi="Times New Roman" w:cs="Times New Roman"/>
          <w:b/>
          <w:bCs/>
          <w:i/>
          <w:iCs/>
        </w:rPr>
        <w:t>,</w:t>
      </w:r>
      <w:sdt>
        <w:sdtPr>
          <w:rPr>
            <w:rFonts w:ascii="Times New Roman" w:hAnsi="Times New Roman" w:cs="Times New Roman"/>
          </w:rPr>
          <w:id w:val="277336610"/>
          <w:citation/>
        </w:sdtPr>
        <w:sdtContent>
          <w:r w:rsidRPr="00944EB8">
            <w:rPr>
              <w:rFonts w:ascii="Times New Roman" w:hAnsi="Times New Roman" w:cs="Times New Roman"/>
              <w:sz w:val="24"/>
              <w:szCs w:val="24"/>
            </w:rPr>
            <w:fldChar w:fldCharType="begin"/>
          </w:r>
          <w:r w:rsidRPr="00944EB8">
            <w:rPr>
              <w:rFonts w:ascii="Times New Roman" w:hAnsi="Times New Roman" w:cs="Times New Roman"/>
              <w:sz w:val="24"/>
              <w:szCs w:val="24"/>
              <w:lang w:val="en-US"/>
            </w:rPr>
            <w:instrText xml:space="preserve"> CITATION Ogu02 \l 1033 </w:instrText>
          </w:r>
          <w:r w:rsidRPr="00944EB8">
            <w:rPr>
              <w:rFonts w:ascii="Times New Roman" w:hAnsi="Times New Roman" w:cs="Times New Roman"/>
              <w:sz w:val="24"/>
              <w:szCs w:val="24"/>
            </w:rPr>
            <w:fldChar w:fldCharType="separate"/>
          </w:r>
          <w:r w:rsidRPr="00944EB8">
            <w:rPr>
              <w:rFonts w:ascii="Times New Roman" w:hAnsi="Times New Roman" w:cs="Times New Roman"/>
              <w:noProof/>
              <w:sz w:val="24"/>
              <w:szCs w:val="24"/>
              <w:lang w:val="en-US"/>
            </w:rPr>
            <w:t xml:space="preserve"> </w:t>
          </w:r>
          <w:r w:rsidRPr="00944EB8">
            <w:rPr>
              <w:rFonts w:ascii="Times New Roman" w:eastAsia="Calibri" w:hAnsi="Times New Roman" w:cs="Times New Roman"/>
              <w:noProof/>
              <w:sz w:val="24"/>
              <w:szCs w:val="24"/>
              <w:lang w:val="en-US"/>
            </w:rPr>
            <w:t>(Anon., 2002)</w:t>
          </w:r>
          <w:r w:rsidRPr="00944EB8">
            <w:rPr>
              <w:rFonts w:ascii="Times New Roman" w:hAnsi="Times New Roman" w:cs="Times New Roman"/>
              <w:sz w:val="24"/>
              <w:szCs w:val="24"/>
            </w:rPr>
            <w:fldChar w:fldCharType="end"/>
          </w:r>
        </w:sdtContent>
      </w:sdt>
      <w:r w:rsidRPr="00944EB8">
        <w:rPr>
          <w:rFonts w:ascii="Times New Roman" w:hAnsi="Times New Roman" w:cs="Times New Roman"/>
          <w:sz w:val="24"/>
          <w:szCs w:val="24"/>
        </w:rPr>
        <w:t xml:space="preserve"> declared the provision of Section 7(4) of the Arbitration Act as unconstitutional.</w:t>
      </w:r>
    </w:p>
    <w:p w:rsidR="001C2CCB" w:rsidRPr="00A76F78" w:rsidRDefault="001C2CCB" w:rsidP="001C2CCB">
      <w:pPr>
        <w:spacing w:before="0" w:after="0" w:line="360" w:lineRule="auto"/>
        <w:jc w:val="both"/>
        <w:rPr>
          <w:rFonts w:ascii="Times New Roman" w:hAnsi="Times New Roman" w:cs="Times New Roman"/>
          <w:sz w:val="24"/>
          <w:szCs w:val="24"/>
        </w:rPr>
      </w:pPr>
    </w:p>
    <w:p w:rsidR="001C2CCB" w:rsidRPr="00BE526A" w:rsidRDefault="001C2CCB" w:rsidP="001C2CCB">
      <w:pPr>
        <w:pStyle w:val="Heading2"/>
        <w:numPr>
          <w:ilvl w:val="0"/>
          <w:numId w:val="42"/>
        </w:numPr>
        <w:spacing w:before="0"/>
        <w:rPr>
          <w:rFonts w:eastAsia="Times New Roman" w:cs="Times New Roman"/>
          <w:color w:val="auto"/>
        </w:rPr>
      </w:pPr>
      <w:bookmarkStart w:id="72" w:name="_Toc80808282"/>
      <w:r w:rsidRPr="00944EB8">
        <w:rPr>
          <w:rFonts w:eastAsia="Times New Roman" w:cs="Times New Roman"/>
          <w:color w:val="auto"/>
        </w:rPr>
        <w:t>Challenge and Replacement of Arbitrators</w:t>
      </w:r>
      <w:bookmarkEnd w:id="72"/>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Another problematic aspect of the Arbitration and Conciliation Act, that may provide a leeway for judicial intervention or even interference in the arbitral process, are the provisions that relate to the challenge and replacement of arbitrators. </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Section 9 (1) of the Act stipulates that </w:t>
      </w:r>
      <w:r w:rsidRPr="00944EB8">
        <w:rPr>
          <w:rFonts w:ascii="Times New Roman" w:hAnsi="Times New Roman" w:cs="Times New Roman"/>
          <w:sz w:val="24"/>
          <w:szCs w:val="24"/>
        </w:rPr>
        <w:t xml:space="preserve">the parties may determine the procedure to be followed in challenging an arbitrator and </w:t>
      </w:r>
      <w:r w:rsidRPr="00944EB8">
        <w:rPr>
          <w:rFonts w:ascii="Times New Roman" w:eastAsia="Times New Roman" w:hAnsi="Times New Roman" w:cs="Times New Roman"/>
          <w:sz w:val="24"/>
          <w:szCs w:val="24"/>
        </w:rPr>
        <w:t xml:space="preserve">Section 9 (2) provides that where no such </w:t>
      </w:r>
      <w:r w:rsidRPr="00944EB8">
        <w:rPr>
          <w:rFonts w:ascii="Times New Roman" w:hAnsi="Times New Roman" w:cs="Times New Roman"/>
          <w:sz w:val="24"/>
          <w:szCs w:val="24"/>
        </w:rPr>
        <w:t xml:space="preserve">procedure is determined, a party who intends to challenge an arbitrator shall, within fifteen </w:t>
      </w:r>
      <w:r w:rsidRPr="00944EB8">
        <w:rPr>
          <w:rFonts w:ascii="Times New Roman" w:hAnsi="Times New Roman" w:cs="Times New Roman"/>
          <w:sz w:val="24"/>
          <w:szCs w:val="24"/>
        </w:rPr>
        <w:lastRenderedPageBreak/>
        <w:t xml:space="preserve">days of becoming aware of the constitution of the arbitral tribunal or becoming aware of any circumstances referred to in section 8 of this Act, send the arbitral tribunal a written statement of the reasons for the challenge. </w:t>
      </w:r>
      <w:r w:rsidRPr="00944EB8">
        <w:rPr>
          <w:rFonts w:ascii="Times New Roman" w:eastAsia="Times New Roman" w:hAnsi="Times New Roman" w:cs="Times New Roman"/>
          <w:sz w:val="24"/>
          <w:szCs w:val="24"/>
        </w:rPr>
        <w:t>Section 9 (3) of the Act then stipulates that unless the arbitrator who has been challenged withdraws from office or the other party agrees to the challenge, the arbitral tribunal shall decide on the challenge.</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Interestingly, the Arbitration Rules contained in the First Schedule to the Arbitration and Conciliation Act,</w:t>
      </w:r>
      <w:r w:rsidRPr="00944EB8">
        <w:rPr>
          <w:rFonts w:ascii="Times New Roman" w:eastAsia="Times New Roman" w:hAnsi="Times New Roman" w:cs="Times New Roman"/>
          <w:sz w:val="24"/>
          <w:szCs w:val="24"/>
        </w:rPr>
        <w:fldChar w:fldCharType="begin"/>
      </w:r>
      <w:r w:rsidRPr="00944EB8">
        <w:rPr>
          <w:rFonts w:ascii="Times New Roman" w:eastAsia="Times New Roman" w:hAnsi="Times New Roman" w:cs="Times New Roman"/>
          <w:sz w:val="24"/>
          <w:szCs w:val="24"/>
        </w:rPr>
        <w:instrText xml:space="preserve"> ADDIN ZOTERO_ITEM CSL_CITATION {"citationID":"REJrFtdh","properties":{"formattedCitation":"(\\uc0\\u8220{}Arbitration and Conciliation Act (Cap. A18).,\\uc0\\u8221{} n.d.)","plainCitation":"(“Arbitration and Conciliation Act (Cap. A18).,” n.d.)","noteIndex":0},"citationItems":[{"id":578,"uris":["http://zotero.org/users/local/arLofKbg/items/ZVH3WX48"],"uri":["http://zotero.org/users/local/arLofKbg/items/ZVH3WX48"],"itemData":{"id":578,"type":"webpage","title":"Arbitration and Conciliation Act (Cap. A18).","URL":"https://www.ecolex.org/details/legislation/arbitration-and-conciliation-act-cap-a18-lex-faoc120195/","accessed":{"date-parts":[["2021",4,3]]}}}],"schema":"https://github.com/citation-style-language/schema/raw/master/csl-citation.json"} </w:instrText>
      </w:r>
      <w:r w:rsidRPr="00944EB8">
        <w:rPr>
          <w:rFonts w:ascii="Times New Roman" w:eastAsia="Times New Roman" w:hAnsi="Times New Roman" w:cs="Times New Roman"/>
          <w:sz w:val="24"/>
          <w:szCs w:val="24"/>
        </w:rPr>
        <w:fldChar w:fldCharType="separate"/>
      </w:r>
      <w:r w:rsidRPr="00944EB8">
        <w:rPr>
          <w:rFonts w:ascii="Times New Roman" w:hAnsi="Times New Roman" w:cs="Times New Roman"/>
          <w:sz w:val="24"/>
          <w:szCs w:val="24"/>
        </w:rPr>
        <w:t>(“Arbitration and Conciliation Act (Cap. A18)</w:t>
      </w:r>
      <w:r w:rsidRPr="00944EB8">
        <w:rPr>
          <w:rFonts w:ascii="Times New Roman" w:eastAsia="Times New Roman" w:hAnsi="Times New Roman" w:cs="Times New Roman"/>
          <w:sz w:val="24"/>
          <w:szCs w:val="24"/>
        </w:rPr>
        <w:fldChar w:fldCharType="end"/>
      </w:r>
      <w:r w:rsidRPr="00944EB8">
        <w:rPr>
          <w:rFonts w:ascii="Times New Roman" w:eastAsia="Times New Roman" w:hAnsi="Times New Roman" w:cs="Times New Roman"/>
          <w:sz w:val="24"/>
          <w:szCs w:val="24"/>
        </w:rPr>
        <w:t xml:space="preserve"> do not provide for the power of a tribunal to determine a challenge to one or more of the arbitrators. Instead, Article 12 of the said Rules provide that where an arbitrator is challenged by a party, if the other party does not agree to the challenge and the challenged arbitrator does not withdraw, the decision on the challenge will be made by the court, if the court made the initial appointment; or by the appointing authority previously designated; or in all other cases, by the court. This is clearly inconsistent with the competence-competence doctrine to the extent that it confers on the national court, as opposed to the arbitral tribunal, the primary duty of determining a challenge to the competence or jurisdiction of the tribunal.</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However, as </w:t>
      </w:r>
      <w:r w:rsidRPr="00944EB8">
        <w:rPr>
          <w:rFonts w:ascii="Times New Roman" w:hAnsi="Times New Roman" w:cs="Times New Roman"/>
          <w:sz w:val="24"/>
          <w:szCs w:val="24"/>
        </w:rPr>
        <w:t>Akpata &amp; O. Adegbonmire (2019)</w:t>
      </w:r>
      <w:r w:rsidRPr="00944EB8">
        <w:rPr>
          <w:rFonts w:ascii="Times New Roman" w:eastAsia="Times New Roman" w:hAnsi="Times New Roman" w:cs="Times New Roman"/>
          <w:sz w:val="24"/>
          <w:szCs w:val="24"/>
        </w:rPr>
        <w:t>, have rightly noted, Article 12 of the First Schedule to the Act clearly conflicts with Section 9 (3) of the same Act which stipulates that unless the arbitrator who has been challenged withdraws from office or the other party agrees to the challenge, the arbitral tribunal shall decide on the challenge. I therefore agree with the conclusion of the learned authors that the provision of the Act prevails, and the aforementioned Article is accordingly null and void to the extent of the inconsistency.</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Regarding the replacement of arbitrators, the Act makes a corresponding provision in Section 11 to the effect that where the mandate of an arbitrator terminates for either of the reasons stipulated therein, a substitute arbitrator shall be appointed </w:t>
      </w:r>
      <w:r w:rsidRPr="00944EB8">
        <w:rPr>
          <w:rFonts w:ascii="Times New Roman" w:eastAsia="Times New Roman" w:hAnsi="Times New Roman" w:cs="Times New Roman"/>
          <w:b/>
          <w:bCs/>
          <w:sz w:val="24"/>
          <w:szCs w:val="24"/>
        </w:rPr>
        <w:t>in accordance with the same rules and procedure that applied to the appointment</w:t>
      </w:r>
      <w:r w:rsidRPr="00944EB8">
        <w:rPr>
          <w:rFonts w:ascii="Times New Roman" w:eastAsia="Times New Roman" w:hAnsi="Times New Roman" w:cs="Times New Roman"/>
          <w:sz w:val="24"/>
          <w:szCs w:val="24"/>
        </w:rPr>
        <w:t xml:space="preserve"> of the arbitrator who is being replaced. Thus, where an arbitrator who was appointed by a court using the default provisions of Section 7 (2) and (3) of the Act, is to be replaced for whatever reason, then a replacement for such arbitrator must be made by the court.</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Once again, the above provides a leeway for judicial intervention in the arbitral process in the sense that where an arbitrator whose mandate terminates was appointed by the national court, a replacement arbitrator shall also be appointed by the court. This provides a potential avenue to restart the vicious circle.</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It is important to state that the provision of Section 7 of the Arbitration and Conciliation Act is contained in Part 1 of the Act (which only applies to domestic arbitration) and is modified </w:t>
      </w:r>
      <w:r w:rsidRPr="00944EB8">
        <w:rPr>
          <w:rFonts w:ascii="Times New Roman" w:eastAsiaTheme="minorHAnsi" w:hAnsi="Times New Roman" w:cs="Times New Roman"/>
          <w:sz w:val="24"/>
          <w:szCs w:val="24"/>
        </w:rPr>
        <w:t xml:space="preserve">in respect of international commercial arbitration by sections 44 and 54 (contained in part III of the Act), which provide that powers to appoint arbitrators in the event of party default lie with the secretary general of the Permanent Court of Arbitration at The Hague, </w:t>
      </w:r>
      <w:r w:rsidRPr="00944EB8">
        <w:rPr>
          <w:rFonts w:ascii="Times New Roman" w:eastAsiaTheme="minorHAnsi" w:hAnsi="Times New Roman" w:cs="Times New Roman"/>
          <w:sz w:val="24"/>
          <w:szCs w:val="24"/>
        </w:rPr>
        <w:fldChar w:fldCharType="begin"/>
      </w:r>
      <w:r w:rsidRPr="00944EB8">
        <w:rPr>
          <w:rFonts w:ascii="Times New Roman" w:eastAsiaTheme="minorHAnsi" w:hAnsi="Times New Roman" w:cs="Times New Roman"/>
          <w:sz w:val="24"/>
          <w:szCs w:val="24"/>
        </w:rPr>
        <w:instrText xml:space="preserve"> ADDIN ZOTERO_ITEM CSL_CITATION {"citationID":"RpOR8RQ0","properties":{"formattedCitation":"(Bamodu, 2018)","plainCitation":"(Bamodu, 2018)","noteIndex":0},"citationItems":[{"id":638,"uris":["http://zotero.org/users/local/arLofKbg/items/WSBKSXJZ"],"uri":["http://zotero.org/users/local/arLofKbg/items/WSBKSXJZ"],"itemData":{"id":638,"type":"article-journal","abstract":"The quality of judicial support and respect for the principle of minimum intervention are crucial factors in assessing whether a jurisdiction is attractive for arbitration. While there have been efforts to present Nigeria as an arbitration-friendly jurisdiction and an attractive arbitration venue, questions remain about the adequacy, effectiveness and certainty of legal rules concerning arbitration in Nigeria. There are also questions about the quality and efficiency of judicial support for arbitration in light of some judicial decisions affecting arbitration that have generated controversy. Through a careful analysis of key statutory provisions and judicial decisions, this article analyses support for arbitration in Nigeria in respect of selected topics, including party autonomy, upholding arbitration agreements (especially concerning the stay of judicial proceedings), the stay of arbitration proceedings and third party intervention. The article identifies scope for improvement in statutory and judicial approaches. It makes suggestions concerning both judicial approaches and reform of the statutory regimes.","container-title":"Journal of African Law","DOI":"10.1017/S0021855318000098","ISSN":"0021-8553, 1464-3731","issue":"2","language":"en","note":"publisher: Cambridge University Press","page":"255-279","source":"Cambridge University Press","title":"Judicial Support for Arbitration in Nigeria: On Interpretation of Aspects of Nigeria's Arbitration and Conciliation Act","title-short":"Judicial Support for Arbitration in Nigeria","URL":"https://www.cambridge.org/core/journals/journal-of-african-law/article/abs/judicial-support-for-arbitration-in-nigeria-on-interpretation-of-aspects-of-nigerias-arbitration-and-conciliation-act/96FCF03ED761B351FC630565D9E074AC#","volume":"62","author":[{"family":"Bamodu","given":"’Gbenga"}],"accessed":{"date-parts":[["2021",4,22]]},"issued":{"date-parts":[["2018",6]]}}}],"schema":"https://github.com/citation-style-language/schema/raw/master/csl-citation.json"} </w:instrText>
      </w:r>
      <w:r w:rsidRPr="00944EB8">
        <w:rPr>
          <w:rFonts w:ascii="Times New Roman" w:eastAsiaTheme="minorHAnsi" w:hAnsi="Times New Roman" w:cs="Times New Roman"/>
          <w:sz w:val="24"/>
          <w:szCs w:val="24"/>
        </w:rPr>
        <w:fldChar w:fldCharType="separate"/>
      </w:r>
      <w:r w:rsidRPr="00944EB8">
        <w:rPr>
          <w:rFonts w:ascii="Times New Roman" w:hAnsi="Times New Roman" w:cs="Times New Roman"/>
          <w:sz w:val="24"/>
        </w:rPr>
        <w:t>(Bamodu, 2018)</w:t>
      </w:r>
      <w:r w:rsidRPr="00944EB8">
        <w:rPr>
          <w:rFonts w:ascii="Times New Roman" w:eastAsiaTheme="minorHAnsi" w:hAnsi="Times New Roman" w:cs="Times New Roman"/>
          <w:sz w:val="24"/>
          <w:szCs w:val="24"/>
        </w:rPr>
        <w:fldChar w:fldCharType="end"/>
      </w:r>
      <w:r w:rsidRPr="00944EB8">
        <w:rPr>
          <w:rFonts w:ascii="Times New Roman" w:eastAsiaTheme="minorHAnsi" w:hAnsi="Times New Roman" w:cs="Times New Roman"/>
          <w:sz w:val="24"/>
          <w:szCs w:val="24"/>
        </w:rPr>
        <w:t>.</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Default="001C2CCB" w:rsidP="001C2CCB">
      <w:pPr>
        <w:pStyle w:val="Heading2"/>
        <w:numPr>
          <w:ilvl w:val="0"/>
          <w:numId w:val="42"/>
        </w:numPr>
        <w:spacing w:before="0"/>
        <w:rPr>
          <w:rFonts w:eastAsia="Times New Roman" w:cs="Times New Roman"/>
          <w:color w:val="auto"/>
        </w:rPr>
      </w:pPr>
      <w:bookmarkStart w:id="73" w:name="_Toc80808283"/>
      <w:r w:rsidRPr="00944EB8">
        <w:rPr>
          <w:rFonts w:eastAsia="Times New Roman" w:cs="Times New Roman"/>
          <w:color w:val="auto"/>
        </w:rPr>
        <w:t>Interim Measures of Protection</w:t>
      </w:r>
      <w:bookmarkEnd w:id="73"/>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One positive aspect of the Arbitration and Conciliation Act is found in Section 13 where the Act specifically confers on the arbitral Tribunal the powers to order a party to take such interim measures of protection and/or to provide appropriate security in connection with any such interim measures unless otherwise agreed by the parties. The power of an arbitral Tribunal to make such orders is not inherent and must be expressly provided for under the law of the place of arbitration. It is thus a commendable thing that the Act makes such provision. </w:t>
      </w: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It is however beyond cavil that a court before whom an action is pending, which action is the subject of an arbitration agreement, retains the powers to make orders of interim protection in accordance with the inherent powers of the courts and as part of the court's supervisory jurisdiction over the arbitration process.</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Once again, </w:t>
      </w:r>
      <w:r w:rsidRPr="00944EB8">
        <w:rPr>
          <w:rFonts w:ascii="Times New Roman" w:hAnsi="Times New Roman" w:cs="Times New Roman"/>
          <w:sz w:val="24"/>
          <w:szCs w:val="24"/>
        </w:rPr>
        <w:t>Akpata &amp; O. Adegbonmire (2019)</w:t>
      </w:r>
      <w:r w:rsidRPr="00944EB8">
        <w:rPr>
          <w:rFonts w:ascii="Times New Roman" w:eastAsia="Times New Roman" w:hAnsi="Times New Roman" w:cs="Times New Roman"/>
          <w:sz w:val="24"/>
          <w:szCs w:val="24"/>
        </w:rPr>
        <w:t xml:space="preserve">, have argued, that even where there is no pending action in court, an application can be made to a court for an interim measure in respect of a dispute particularly when an arbitration tribunal has not been constituted and it </w:t>
      </w:r>
      <w:r w:rsidRPr="00944EB8">
        <w:rPr>
          <w:rFonts w:ascii="Times New Roman" w:eastAsia="Times New Roman" w:hAnsi="Times New Roman" w:cs="Times New Roman"/>
          <w:sz w:val="24"/>
          <w:szCs w:val="24"/>
        </w:rPr>
        <w:lastRenderedPageBreak/>
        <w:t xml:space="preserve">is necessary to protect and preserve the subject matter of the dispute. The above view of the authors accords with the provisions of </w:t>
      </w:r>
      <w:r w:rsidRPr="00944EB8">
        <w:rPr>
          <w:rFonts w:ascii="Times New Roman" w:hAnsi="Times New Roman" w:cs="Times New Roman"/>
          <w:sz w:val="24"/>
          <w:szCs w:val="24"/>
        </w:rPr>
        <w:t>Article 26 Rule 3 of the Arbitration Rules contained in the first schedule to the Arbitration and Conciliation which provides that a request for interim measures addressed by any party to court shall not be deemed incompatible with the agreement to arbitrate, or as a waiver of the agreement, and is therefore reflective of the correct position of the law in Nigeria.</w:t>
      </w:r>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Another point worthy of note in this regard is that in obedience to the cardinal principle of party autonomy and the contractual nature of arbitration, an arbitral Tribunal may only direct its orders at the parties to the arbitration agreement and cannot bind a non-party. Once in a while however, the property sought to be preserved is within the control or possession of a third party who is not party to the arbitration agreement and consequently not subject to the powers and jurisdiction of the arbitral Tribunal. In such situations, it becomes pertinent to seek the assistance of the national courts to make binding orders to preserve the subject matter of the arbitration.</w:t>
      </w:r>
    </w:p>
    <w:p w:rsidR="001C2CCB" w:rsidRPr="00944EB8" w:rsidRDefault="001C2CCB" w:rsidP="001C2CCB">
      <w:pPr>
        <w:pStyle w:val="ListParagraph"/>
        <w:spacing w:before="0" w:after="0" w:line="360" w:lineRule="auto"/>
        <w:jc w:val="both"/>
        <w:rPr>
          <w:rFonts w:ascii="Times New Roman" w:hAnsi="Times New Roman" w:cs="Times New Roman"/>
          <w:sz w:val="24"/>
          <w:szCs w:val="24"/>
        </w:rPr>
      </w:pPr>
    </w:p>
    <w:p w:rsidR="001C2CCB" w:rsidRDefault="001C2CCB" w:rsidP="001C2CCB">
      <w:pPr>
        <w:pStyle w:val="ListParagraph"/>
        <w:numPr>
          <w:ilvl w:val="0"/>
          <w:numId w:val="34"/>
        </w:numPr>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This is precisely what transpired in the case of </w:t>
      </w:r>
      <w:r w:rsidRPr="00944EB8">
        <w:rPr>
          <w:rFonts w:ascii="Times New Roman" w:hAnsi="Times New Roman" w:cs="Times New Roman"/>
          <w:b/>
          <w:bCs/>
          <w:i/>
          <w:iCs/>
          <w:sz w:val="24"/>
          <w:szCs w:val="24"/>
        </w:rPr>
        <w:t>Lagos State v P.H.C.N &amp; 2ors</w:t>
      </w:r>
      <w:r w:rsidRPr="00944EB8">
        <w:rPr>
          <w:rFonts w:ascii="Times New Roman" w:hAnsi="Times New Roman" w:cs="Times New Roman"/>
          <w:sz w:val="24"/>
          <w:szCs w:val="24"/>
        </w:rPr>
        <w:t xml:space="preserve"> (2012) 7 CLRN at page 134</w:t>
      </w:r>
      <w:sdt>
        <w:sdtPr>
          <w:rPr>
            <w:rFonts w:ascii="Times New Roman" w:hAnsi="Times New Roman" w:cs="Times New Roman"/>
            <w:b/>
            <w:bCs/>
            <w:i/>
            <w:iCs/>
            <w:sz w:val="24"/>
            <w:szCs w:val="24"/>
          </w:rPr>
          <w:id w:val="277336612"/>
          <w:citation/>
        </w:sdtPr>
        <w:sdtContent>
          <w:r w:rsidRPr="00944EB8">
            <w:rPr>
              <w:rFonts w:ascii="Times New Roman" w:hAnsi="Times New Roman" w:cs="Times New Roman"/>
              <w:b/>
              <w:bCs/>
              <w:i/>
              <w:iCs/>
              <w:sz w:val="24"/>
              <w:szCs w:val="24"/>
            </w:rPr>
            <w:fldChar w:fldCharType="begin"/>
          </w:r>
          <w:r w:rsidRPr="00944EB8">
            <w:rPr>
              <w:rFonts w:ascii="Times New Roman" w:hAnsi="Times New Roman" w:cs="Times New Roman"/>
              <w:b/>
              <w:bCs/>
              <w:i/>
              <w:iCs/>
              <w:sz w:val="24"/>
              <w:szCs w:val="24"/>
              <w:lang w:val="en-US"/>
            </w:rPr>
            <w:instrText xml:space="preserve"> CITATION Lag12 \l 1033 </w:instrText>
          </w:r>
          <w:r w:rsidRPr="00944EB8">
            <w:rPr>
              <w:rFonts w:ascii="Times New Roman" w:hAnsi="Times New Roman" w:cs="Times New Roman"/>
              <w:b/>
              <w:bCs/>
              <w:i/>
              <w:iCs/>
              <w:sz w:val="24"/>
              <w:szCs w:val="24"/>
            </w:rPr>
            <w:fldChar w:fldCharType="separate"/>
          </w:r>
          <w:r w:rsidRPr="00944EB8">
            <w:rPr>
              <w:rFonts w:ascii="Times New Roman" w:hAnsi="Times New Roman" w:cs="Times New Roman"/>
              <w:b/>
              <w:bCs/>
              <w:i/>
              <w:iCs/>
              <w:noProof/>
              <w:sz w:val="24"/>
              <w:szCs w:val="24"/>
              <w:lang w:val="en-US"/>
            </w:rPr>
            <w:t xml:space="preserve"> </w:t>
          </w:r>
          <w:r w:rsidRPr="00944EB8">
            <w:rPr>
              <w:rFonts w:ascii="Times New Roman" w:eastAsia="Calibri" w:hAnsi="Times New Roman" w:cs="Times New Roman"/>
              <w:noProof/>
              <w:sz w:val="24"/>
              <w:szCs w:val="24"/>
              <w:lang w:val="en-US"/>
            </w:rPr>
            <w:t>(Anon., 2012)</w:t>
          </w:r>
          <w:r w:rsidRPr="00944EB8">
            <w:rPr>
              <w:rFonts w:ascii="Times New Roman" w:hAnsi="Times New Roman" w:cs="Times New Roman"/>
              <w:b/>
              <w:bCs/>
              <w:i/>
              <w:iCs/>
              <w:sz w:val="24"/>
              <w:szCs w:val="24"/>
            </w:rPr>
            <w:fldChar w:fldCharType="end"/>
          </w:r>
        </w:sdtContent>
      </w:sdt>
      <w:r w:rsidRPr="00944EB8">
        <w:rPr>
          <w:rFonts w:ascii="Times New Roman" w:hAnsi="Times New Roman" w:cs="Times New Roman"/>
          <w:i/>
          <w:iCs/>
          <w:sz w:val="24"/>
          <w:szCs w:val="24"/>
        </w:rPr>
        <w:t xml:space="preserve">. </w:t>
      </w:r>
      <w:r w:rsidRPr="00944EB8">
        <w:rPr>
          <w:rFonts w:ascii="Times New Roman" w:hAnsi="Times New Roman" w:cs="Times New Roman"/>
          <w:sz w:val="24"/>
          <w:szCs w:val="24"/>
        </w:rPr>
        <w:t>In that case, following the privatisation of the 1</w:t>
      </w:r>
      <w:r w:rsidRPr="00944EB8">
        <w:rPr>
          <w:rFonts w:ascii="Times New Roman" w:hAnsi="Times New Roman" w:cs="Times New Roman"/>
          <w:sz w:val="24"/>
          <w:szCs w:val="24"/>
          <w:vertAlign w:val="superscript"/>
        </w:rPr>
        <w:t>st</w:t>
      </w:r>
      <w:r w:rsidRPr="00944EB8">
        <w:rPr>
          <w:rFonts w:ascii="Times New Roman" w:hAnsi="Times New Roman" w:cs="Times New Roman"/>
          <w:sz w:val="24"/>
          <w:szCs w:val="24"/>
        </w:rPr>
        <w:t xml:space="preserve"> respondent, the applicant, being apprehensive that the assets of the 1</w:t>
      </w:r>
      <w:r w:rsidRPr="00944EB8">
        <w:rPr>
          <w:rFonts w:ascii="Times New Roman" w:hAnsi="Times New Roman" w:cs="Times New Roman"/>
          <w:sz w:val="24"/>
          <w:szCs w:val="24"/>
          <w:vertAlign w:val="superscript"/>
        </w:rPr>
        <w:t>st</w:t>
      </w:r>
      <w:r w:rsidRPr="00944EB8">
        <w:rPr>
          <w:rFonts w:ascii="Times New Roman" w:hAnsi="Times New Roman" w:cs="Times New Roman"/>
          <w:sz w:val="24"/>
          <w:szCs w:val="24"/>
        </w:rPr>
        <w:t xml:space="preserve"> respondent may be stripped and dissipated, filed an originating application before the High Court of Lagos State, seeking to restrain the 1st respondent from dissipating, withdrawing or dealing with monies standing to the credit in the account operated by the 1</w:t>
      </w:r>
      <w:r w:rsidRPr="00944EB8">
        <w:rPr>
          <w:rFonts w:ascii="Times New Roman" w:hAnsi="Times New Roman" w:cs="Times New Roman"/>
          <w:sz w:val="24"/>
          <w:szCs w:val="24"/>
          <w:vertAlign w:val="superscript"/>
        </w:rPr>
        <w:t>st</w:t>
      </w:r>
      <w:r w:rsidRPr="00944EB8">
        <w:rPr>
          <w:rFonts w:ascii="Times New Roman" w:hAnsi="Times New Roman" w:cs="Times New Roman"/>
          <w:sz w:val="24"/>
          <w:szCs w:val="24"/>
        </w:rPr>
        <w:t xml:space="preserve"> respondent with the 2</w:t>
      </w:r>
      <w:r w:rsidRPr="00944EB8">
        <w:rPr>
          <w:rFonts w:ascii="Times New Roman" w:hAnsi="Times New Roman" w:cs="Times New Roman"/>
          <w:sz w:val="24"/>
          <w:szCs w:val="24"/>
          <w:vertAlign w:val="superscript"/>
        </w:rPr>
        <w:t>nd</w:t>
      </w:r>
      <w:r w:rsidRPr="00944EB8">
        <w:rPr>
          <w:rFonts w:ascii="Times New Roman" w:hAnsi="Times New Roman" w:cs="Times New Roman"/>
          <w:sz w:val="24"/>
          <w:szCs w:val="24"/>
        </w:rPr>
        <w:t xml:space="preserve"> and 3</w:t>
      </w:r>
      <w:r w:rsidRPr="00944EB8">
        <w:rPr>
          <w:rFonts w:ascii="Times New Roman" w:hAnsi="Times New Roman" w:cs="Times New Roman"/>
          <w:sz w:val="24"/>
          <w:szCs w:val="24"/>
          <w:vertAlign w:val="superscript"/>
        </w:rPr>
        <w:t>rd</w:t>
      </w:r>
      <w:r w:rsidRPr="00944EB8">
        <w:rPr>
          <w:rFonts w:ascii="Times New Roman" w:hAnsi="Times New Roman" w:cs="Times New Roman"/>
          <w:sz w:val="24"/>
          <w:szCs w:val="24"/>
        </w:rPr>
        <w:t xml:space="preserve"> respondents. It also filed an order </w:t>
      </w:r>
      <w:r w:rsidRPr="00944EB8">
        <w:rPr>
          <w:rFonts w:ascii="Times New Roman" w:hAnsi="Times New Roman" w:cs="Times New Roman"/>
          <w:i/>
          <w:iCs/>
          <w:sz w:val="24"/>
          <w:szCs w:val="24"/>
        </w:rPr>
        <w:t xml:space="preserve">ex parte </w:t>
      </w:r>
      <w:r w:rsidRPr="00944EB8">
        <w:rPr>
          <w:rFonts w:ascii="Times New Roman" w:hAnsi="Times New Roman" w:cs="Times New Roman"/>
          <w:sz w:val="24"/>
          <w:szCs w:val="24"/>
        </w:rPr>
        <w:t>for the same relief and this was granted. Aggrieved with the grant of the injunctive orders, the 1</w:t>
      </w:r>
      <w:r w:rsidRPr="00944EB8">
        <w:rPr>
          <w:rFonts w:ascii="Times New Roman" w:hAnsi="Times New Roman" w:cs="Times New Roman"/>
          <w:sz w:val="24"/>
          <w:szCs w:val="24"/>
          <w:vertAlign w:val="superscript"/>
        </w:rPr>
        <w:t>st</w:t>
      </w:r>
      <w:r w:rsidRPr="00944EB8">
        <w:rPr>
          <w:rFonts w:ascii="Times New Roman" w:hAnsi="Times New Roman" w:cs="Times New Roman"/>
          <w:sz w:val="24"/>
          <w:szCs w:val="24"/>
        </w:rPr>
        <w:t xml:space="preserve"> respondent applied to set aside the orders on ground that by section 13 of the Arbitration and Conciliation Act,</w:t>
      </w:r>
      <w:r w:rsidRPr="00944EB8">
        <w:rPr>
          <w:rFonts w:ascii="Times New Roman" w:hAnsi="Times New Roman" w:cs="Times New Roman"/>
          <w:b/>
          <w:bCs/>
          <w:sz w:val="24"/>
          <w:szCs w:val="24"/>
        </w:rPr>
        <w:t xml:space="preserve"> </w:t>
      </w:r>
      <w:r w:rsidRPr="00944EB8">
        <w:rPr>
          <w:rFonts w:ascii="Times New Roman" w:hAnsi="Times New Roman" w:cs="Times New Roman"/>
          <w:sz w:val="24"/>
          <w:szCs w:val="24"/>
        </w:rPr>
        <w:t>it is the Arbitral Tribunal that has powers to grant interim measures of protection pending arbitration and the court lacked powers to do so.  The trial Court rejected the argument and refused to set aside the orders.</w:t>
      </w:r>
    </w:p>
    <w:p w:rsidR="001C2CCB" w:rsidRPr="00A76F7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spacing w:before="0" w:after="0" w:line="360" w:lineRule="auto"/>
        <w:ind w:left="450"/>
        <w:jc w:val="both"/>
        <w:rPr>
          <w:rFonts w:ascii="Times New Roman" w:hAnsi="Times New Roman" w:cs="Times New Roman"/>
          <w:sz w:val="24"/>
          <w:szCs w:val="24"/>
        </w:rPr>
      </w:pPr>
    </w:p>
    <w:p w:rsidR="001C2CCB" w:rsidRPr="00944EB8" w:rsidRDefault="001C2CCB" w:rsidP="001C2CCB">
      <w:pPr>
        <w:pStyle w:val="ListParagraph"/>
        <w:spacing w:before="0" w:after="0"/>
        <w:rPr>
          <w:rFonts w:ascii="Times New Roman" w:hAnsi="Times New Roman" w:cs="Times New Roman"/>
          <w:sz w:val="24"/>
          <w:szCs w:val="24"/>
        </w:rPr>
      </w:pPr>
    </w:p>
    <w:p w:rsidR="001C2CCB" w:rsidRPr="00944EB8" w:rsidRDefault="001C2CCB" w:rsidP="001C2CCB">
      <w:pPr>
        <w:pStyle w:val="Heading2"/>
        <w:numPr>
          <w:ilvl w:val="2"/>
          <w:numId w:val="26"/>
        </w:numPr>
        <w:spacing w:before="0"/>
        <w:jc w:val="both"/>
        <w:rPr>
          <w:rFonts w:cs="Times New Roman"/>
          <w:color w:val="auto"/>
        </w:rPr>
      </w:pPr>
      <w:bookmarkStart w:id="74" w:name="_Toc80808284"/>
      <w:r w:rsidRPr="00944EB8">
        <w:rPr>
          <w:rFonts w:cs="Times New Roman"/>
          <w:color w:val="auto"/>
        </w:rPr>
        <w:lastRenderedPageBreak/>
        <w:t xml:space="preserve">Judicial Intervention </w:t>
      </w:r>
      <w:r>
        <w:rPr>
          <w:rFonts w:cs="Times New Roman"/>
          <w:color w:val="auto"/>
        </w:rPr>
        <w:t>during Arbitration Proceedings u</w:t>
      </w:r>
      <w:r w:rsidRPr="00944EB8">
        <w:rPr>
          <w:rFonts w:cs="Times New Roman"/>
          <w:color w:val="auto"/>
        </w:rPr>
        <w:t>nder the Arbitration and Conciliation Act</w:t>
      </w:r>
      <w:bookmarkEnd w:id="74"/>
    </w:p>
    <w:p w:rsidR="001C2CCB" w:rsidRPr="00944EB8" w:rsidRDefault="001C2CCB" w:rsidP="001C2CCB">
      <w:pPr>
        <w:pStyle w:val="ListParagraph"/>
        <w:spacing w:before="0" w:after="0"/>
        <w:ind w:left="540"/>
        <w:rPr>
          <w:rFonts w:ascii="Times New Roman" w:hAnsi="Times New Roman" w:cs="Times New Roman"/>
          <w:lang w:val="en-US"/>
        </w:rPr>
      </w:pPr>
    </w:p>
    <w:p w:rsidR="001C2CCB" w:rsidRPr="00944EB8" w:rsidRDefault="001C2CCB" w:rsidP="001C2CCB">
      <w:pPr>
        <w:pStyle w:val="Heading3"/>
        <w:numPr>
          <w:ilvl w:val="0"/>
          <w:numId w:val="45"/>
        </w:numPr>
        <w:rPr>
          <w:rFonts w:cs="Times New Roman"/>
        </w:rPr>
      </w:pPr>
      <w:bookmarkStart w:id="75" w:name="_Toc80808285"/>
      <w:r w:rsidRPr="00944EB8">
        <w:rPr>
          <w:rFonts w:eastAsia="Times New Roman" w:cs="Times New Roman"/>
        </w:rPr>
        <w:t>Power to order attendance of witnesses</w:t>
      </w:r>
      <w:bookmarkEnd w:id="75"/>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line="360" w:lineRule="auto"/>
        <w:ind w:left="630" w:hanging="630"/>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Section 23 of the </w:t>
      </w:r>
      <w:r w:rsidRPr="00944EB8">
        <w:rPr>
          <w:rFonts w:ascii="Times New Roman" w:hAnsi="Times New Roman" w:cs="Times New Roman"/>
          <w:sz w:val="24"/>
          <w:szCs w:val="24"/>
        </w:rPr>
        <w:t xml:space="preserve">Arbitration and Conciliation Act provides that the court or a judge may order that a writ of subpoena ad testificandum or of subpoena duces tecum shall issue to compel the attendance before any arbitral tribunal of a witness wherever he may be within Nigeria. The section further provides that the court or a judge may also order a writ of </w:t>
      </w:r>
      <w:r w:rsidRPr="00944EB8">
        <w:rPr>
          <w:rFonts w:ascii="Times New Roman" w:hAnsi="Times New Roman" w:cs="Times New Roman"/>
          <w:i/>
          <w:iCs/>
          <w:sz w:val="24"/>
          <w:szCs w:val="24"/>
        </w:rPr>
        <w:t>habeas corpus ad testificandum</w:t>
      </w:r>
      <w:r w:rsidRPr="00944EB8">
        <w:rPr>
          <w:rFonts w:ascii="Times New Roman" w:hAnsi="Times New Roman" w:cs="Times New Roman"/>
          <w:sz w:val="24"/>
          <w:szCs w:val="24"/>
        </w:rPr>
        <w:t xml:space="preserve"> to bring up a prisoner for examination before any arbitral tribunal and that the provisions of any written law relating to the services of an execution outside a State of the Federation of any such subpoena or order for the production of a prisoner issued or made in civil proceedings by the High Court shall apply in relation to a subpoena or other issue or made under this section.</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eastAsia="Times New Roman" w:hAnsi="Times New Roman" w:cs="Times New Roman"/>
          <w:sz w:val="24"/>
          <w:szCs w:val="24"/>
        </w:rPr>
        <w:t>This is one of the areas where the involvement of the judiciary in the arbitral process is universally viewed in positive light. Section 20 of the Act empowers the arbitral tribunal to determine the various procedural aspects of the arbitral process including whether to hold oral hearings for the presentation of evidence or oral arguments; or whether to determine the reference on the basis of documents or other materials; or on a combination of both oral hearings and documents or other materials. The section also empowers the tribunal to administer oaths or to take affirmations of the parties and witnesses appearing as well as to order discovery and production of documents as between the parties only. However, under Nigerian law, where a witness fails or refuses to attend the hearing voluntarily or fails to provide relevant documents, the arbitral tribunal cannot compel him to attend or provide the documents (</w:t>
      </w:r>
      <w:r w:rsidRPr="00944EB8">
        <w:rPr>
          <w:rFonts w:ascii="Times New Roman" w:hAnsi="Times New Roman" w:cs="Times New Roman"/>
          <w:sz w:val="24"/>
          <w:szCs w:val="24"/>
        </w:rPr>
        <w:t>Akpata &amp; Adegbonmire, 2019)</w:t>
      </w:r>
      <w:r w:rsidRPr="00944EB8">
        <w:rPr>
          <w:rFonts w:ascii="Times New Roman" w:eastAsia="Times New Roman" w:hAnsi="Times New Roman" w:cs="Times New Roman"/>
          <w:sz w:val="24"/>
          <w:szCs w:val="24"/>
        </w:rPr>
        <w:t xml:space="preserve">. This is where section 23 of the Act comes in by providing that the court </w:t>
      </w:r>
      <w:r w:rsidRPr="00944EB8">
        <w:rPr>
          <w:rFonts w:ascii="Times New Roman" w:hAnsi="Times New Roman" w:cs="Times New Roman"/>
          <w:sz w:val="24"/>
          <w:szCs w:val="24"/>
        </w:rPr>
        <w:t xml:space="preserve">or a judge may order that a writ of subpoena ad testificandum or of subpoena duces tecum shall issue to compel the attendance before any arbitral tribunal of a witness wherever he may be within Nigeria. The section also goes ahead to empower the courts to issue a writ of </w:t>
      </w:r>
      <w:r w:rsidRPr="00944EB8">
        <w:rPr>
          <w:rFonts w:ascii="Times New Roman" w:hAnsi="Times New Roman" w:cs="Times New Roman"/>
          <w:i/>
          <w:iCs/>
          <w:sz w:val="24"/>
          <w:szCs w:val="24"/>
        </w:rPr>
        <w:t>habeas corpus ad testificandum</w:t>
      </w:r>
      <w:r w:rsidRPr="00944EB8">
        <w:rPr>
          <w:rFonts w:ascii="Times New Roman" w:hAnsi="Times New Roman" w:cs="Times New Roman"/>
          <w:sz w:val="24"/>
          <w:szCs w:val="24"/>
        </w:rPr>
        <w:t xml:space="preserve"> to bring up a prisoner for examination before any arbitral tribunal where the evidence of such prisoner is relevant.</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eastAsia="Times New Roman" w:hAnsi="Times New Roman" w:cs="Times New Roman"/>
          <w:sz w:val="24"/>
          <w:szCs w:val="24"/>
        </w:rPr>
        <w:lastRenderedPageBreak/>
        <w:t xml:space="preserve">The above provision is the only part of the </w:t>
      </w:r>
      <w:r w:rsidRPr="00944EB8">
        <w:rPr>
          <w:rFonts w:ascii="Times New Roman" w:hAnsi="Times New Roman" w:cs="Times New Roman"/>
          <w:sz w:val="24"/>
          <w:szCs w:val="24"/>
        </w:rPr>
        <w:t xml:space="preserve">Arbitration and Conciliation Act where the courts are specifically empowered to intercede or indeed intervene in the arbitral process at the stage of the proceedings proper. Thus, the bulk of the references in the Act to the courts are at the stage before the arbitral proceedings and at the post arbitration stage. This, in my view, is a big positive for the arbitral process in Nigeria. As already in previous chapters of this research, one overriding principle of international arbitration is judicial non-interference in the conduct of arbitral proceedings, to ensure that arbitration can proceed as envisaged by the parties’ agreement without the delays, second-guessing, </w:t>
      </w:r>
      <w:r w:rsidRPr="00944EB8">
        <w:rPr>
          <w:rFonts w:ascii="Times New Roman" w:eastAsiaTheme="minorHAnsi" w:hAnsi="Times New Roman" w:cs="Times New Roman"/>
          <w:sz w:val="24"/>
          <w:szCs w:val="24"/>
        </w:rPr>
        <w:t>formalities and technicalities,</w:t>
      </w:r>
      <w:r w:rsidRPr="00944EB8">
        <w:rPr>
          <w:rFonts w:ascii="Times New Roman" w:hAnsi="Times New Roman" w:cs="Times New Roman"/>
          <w:sz w:val="24"/>
          <w:szCs w:val="24"/>
        </w:rPr>
        <w:t xml:space="preserve"> and other problems associated with the interlocutory judicial review of procedural decisions p</w:t>
      </w:r>
      <w:r w:rsidRPr="00944EB8">
        <w:rPr>
          <w:rFonts w:ascii="Times New Roman" w:eastAsiaTheme="minorHAnsi" w:hAnsi="Times New Roman" w:cs="Times New Roman"/>
          <w:sz w:val="24"/>
          <w:szCs w:val="24"/>
        </w:rPr>
        <w:t>revalent in national courts.</w:t>
      </w:r>
      <w:r w:rsidRPr="00944EB8">
        <w:rPr>
          <w:rFonts w:ascii="Times New Roman" w:hAnsi="Times New Roman" w:cs="Times New Roman"/>
          <w:sz w:val="24"/>
          <w:szCs w:val="24"/>
        </w:rPr>
        <w:t xml:space="preserve"> Therefore the fact that the Nigerian Arbitration and Conciliation Act largely restricts the areas of judicial intervention to the stages before and after the arbitration proceedings proper is indicative of the overreaching objective of the Act to ensure that the courts steer clear of the arbitration proceedings and give the arbitral tribunal appointed by the parties the free hand to carry out their duties and responsibilities to the parties.</w:t>
      </w:r>
    </w:p>
    <w:p w:rsidR="001C2CCB" w:rsidRDefault="001C2CCB" w:rsidP="001C2CCB">
      <w:pPr>
        <w:pStyle w:val="ListParagraph"/>
        <w:spacing w:line="360" w:lineRule="auto"/>
        <w:ind w:left="540"/>
        <w:jc w:val="both"/>
        <w:rPr>
          <w:rFonts w:ascii="Times New Roman" w:eastAsia="Times New Roman" w:hAnsi="Times New Roman" w:cs="Times New Roman"/>
          <w:sz w:val="24"/>
          <w:szCs w:val="24"/>
        </w:rPr>
      </w:pPr>
    </w:p>
    <w:p w:rsidR="001C2CCB" w:rsidRPr="00944EB8" w:rsidRDefault="001C2CCB" w:rsidP="001C2CCB">
      <w:pPr>
        <w:pStyle w:val="ListParagraph"/>
        <w:ind w:left="540"/>
        <w:rPr>
          <w:rFonts w:ascii="Times New Roman" w:hAnsi="Times New Roman" w:cs="Times New Roman"/>
          <w:lang w:val="en-US"/>
        </w:rPr>
      </w:pPr>
    </w:p>
    <w:p w:rsidR="001C2CCB" w:rsidRPr="00944EB8" w:rsidRDefault="001C2CCB" w:rsidP="001C2CCB">
      <w:pPr>
        <w:pStyle w:val="Heading2"/>
        <w:numPr>
          <w:ilvl w:val="2"/>
          <w:numId w:val="26"/>
        </w:numPr>
        <w:spacing w:before="0"/>
        <w:jc w:val="both"/>
        <w:rPr>
          <w:rFonts w:cs="Times New Roman"/>
          <w:color w:val="auto"/>
        </w:rPr>
      </w:pPr>
      <w:bookmarkStart w:id="76" w:name="_Toc80808286"/>
      <w:r w:rsidRPr="00944EB8">
        <w:rPr>
          <w:rFonts w:cs="Times New Roman"/>
          <w:color w:val="auto"/>
        </w:rPr>
        <w:t>Judicial Intervention during the Post Arbitration Stage under the Arbitration and Conciliation Act</w:t>
      </w:r>
      <w:bookmarkEnd w:id="76"/>
    </w:p>
    <w:p w:rsidR="001C2CCB" w:rsidRPr="00944EB8" w:rsidRDefault="001C2CCB" w:rsidP="001C2CCB">
      <w:pPr>
        <w:spacing w:before="0" w:after="0"/>
        <w:rPr>
          <w:rFonts w:ascii="Times New Roman" w:hAnsi="Times New Roman" w:cs="Times New Roman"/>
          <w:sz w:val="24"/>
          <w:szCs w:val="24"/>
          <w:lang w:val="en-US"/>
        </w:rPr>
      </w:pPr>
    </w:p>
    <w:p w:rsidR="001C2CCB" w:rsidRPr="00944EB8" w:rsidRDefault="001C2CCB" w:rsidP="001C2CCB">
      <w:pPr>
        <w:pStyle w:val="Heading3"/>
        <w:numPr>
          <w:ilvl w:val="0"/>
          <w:numId w:val="46"/>
        </w:numPr>
        <w:rPr>
          <w:rFonts w:cs="Times New Roman"/>
        </w:rPr>
      </w:pPr>
      <w:bookmarkStart w:id="77" w:name="_Toc80808287"/>
      <w:r w:rsidRPr="00944EB8">
        <w:rPr>
          <w:rFonts w:eastAsia="Times New Roman" w:cs="Times New Roman"/>
        </w:rPr>
        <w:t>Recourse against Award</w:t>
      </w:r>
      <w:bookmarkEnd w:id="77"/>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Section 29 of the </w:t>
      </w:r>
      <w:r w:rsidRPr="00944EB8">
        <w:rPr>
          <w:rFonts w:ascii="Times New Roman" w:hAnsi="Times New Roman" w:cs="Times New Roman"/>
          <w:sz w:val="24"/>
          <w:szCs w:val="24"/>
        </w:rPr>
        <w:t>Arbitration and Conciliation Act provides that a party who is aggrieved by an arbitral award may within three months from the date of the award request the court to set aside the award if the party making the application furnishes proof that the award contains decisions on matters which are beyond the scope of the submission to arbitration so however that if the decision on matters submitted to arbitration can be separated from those not submitted, only that part of the award which contains decisions on matters not submitted may be set aside.</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The Act also provides a saving device in section 29 (3) which enables the award creditor to apply the court to stay or suspend the set aside proceedings for such a period as necessary </w:t>
      </w:r>
      <w:r w:rsidRPr="00944EB8">
        <w:rPr>
          <w:rFonts w:ascii="Times New Roman" w:eastAsia="Times New Roman" w:hAnsi="Times New Roman" w:cs="Times New Roman"/>
          <w:sz w:val="24"/>
          <w:szCs w:val="24"/>
        </w:rPr>
        <w:lastRenderedPageBreak/>
        <w:t>to afford the tribunal an opportunity to resume the arbitral proceedings or take such necessary action to eliminate the grounds for which the other party has approached the courts for setting aside the award. This is a positive provision in the Act and is clearly consistent with the spirit and objectives of the New York Convention, which is to ensure the effective of the arbitral awards.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Lagos Arbitration Law contains a similar provision in section 55 for the setting aside of awards. Before now however, the old Arbitration Law Cap 10 Laws of Lagos State contained a section 11(1) which provided that in all cases of reference to arbitration, the court or a judge may from time to time remit the matters referred, or any of them, to the reconsideration of the arbitrators or umpire. In the case of </w:t>
      </w:r>
      <w:r w:rsidRPr="00944EB8">
        <w:rPr>
          <w:rFonts w:ascii="Times New Roman" w:hAnsi="Times New Roman" w:cs="Times New Roman"/>
          <w:b/>
          <w:bCs/>
          <w:i/>
          <w:iCs/>
          <w:sz w:val="24"/>
          <w:szCs w:val="24"/>
        </w:rPr>
        <w:t>Taylor Woodrow (Nig) Ltd v. Suddeutsche Etna-Werk GmbH Ltd (1993) 4 NWLR (Pt. 286) 127 at 155</w:t>
      </w:r>
      <w:r w:rsidRPr="00944EB8">
        <w:rPr>
          <w:rFonts w:ascii="Times New Roman" w:hAnsi="Times New Roman" w:cs="Times New Roman"/>
          <w:sz w:val="24"/>
          <w:szCs w:val="24"/>
        </w:rPr>
        <w:t>, the Supreme Court while interpreting the import of that section 11(1) held that “the jurisdiction to remit the matter for consideration can be exercised only upon certain grounds.” The court then proceeded to list the grounds as where the award is bad on the face of it; where there has been misconduct on the part of the arbitrator; where there has been an admitted mistake, and the arbitrator has asked that the matter be remitted; and where additional evidence has been discovered after the making of the award.</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It is important to state that the judicial attitude of Nigerian courts is overwhelmingly in favour of enforcing arbitral awards and to refuse to set aside awards except in cases where it is clearly impracticable to do so. In the case of </w:t>
      </w:r>
      <w:r w:rsidRPr="00944EB8">
        <w:rPr>
          <w:rFonts w:ascii="Times New Roman" w:hAnsi="Times New Roman" w:cs="Times New Roman"/>
          <w:b/>
          <w:bCs/>
          <w:i/>
          <w:iCs/>
          <w:sz w:val="24"/>
          <w:szCs w:val="24"/>
        </w:rPr>
        <w:t>Triana Ltd v UTB Plc (2009) 12 NWLR (Pt. 1155) 313</w:t>
      </w:r>
      <w:r w:rsidRPr="00944EB8">
        <w:rPr>
          <w:rFonts w:ascii="Times New Roman" w:hAnsi="Times New Roman" w:cs="Times New Roman"/>
          <w:sz w:val="24"/>
          <w:szCs w:val="24"/>
        </w:rPr>
        <w:t>, the Court of Appeal stated the position thus: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jc w:val="both"/>
        <w:rPr>
          <w:rFonts w:ascii="Times New Roman" w:hAnsi="Times New Roman" w:cs="Times New Roman"/>
          <w:i/>
          <w:iCs/>
          <w:sz w:val="24"/>
          <w:szCs w:val="24"/>
        </w:rPr>
      </w:pPr>
      <w:r w:rsidRPr="00944EB8">
        <w:rPr>
          <w:rFonts w:ascii="Times New Roman" w:hAnsi="Times New Roman" w:cs="Times New Roman"/>
          <w:i/>
          <w:iCs/>
          <w:sz w:val="24"/>
          <w:szCs w:val="24"/>
        </w:rPr>
        <w:t>The court should not be tempted to set aside arbitral awards duly entered on any flimsy complaint. To hold otherwise would open a wide door for all sorts of attempts to get rid of arbitrators deliberately chosen by parties to contracts.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Similarly, the Court of Appeal in the case of </w:t>
      </w:r>
      <w:r w:rsidRPr="00944EB8">
        <w:rPr>
          <w:rFonts w:ascii="Times New Roman" w:hAnsi="Times New Roman" w:cs="Times New Roman"/>
          <w:b/>
          <w:bCs/>
          <w:i/>
          <w:iCs/>
          <w:sz w:val="24"/>
          <w:szCs w:val="24"/>
        </w:rPr>
        <w:t>Baker Marina Nigeria Ltd v. Danos &amp; Curole Marina Contractors Inc (2001) 7 NWLR (Pt. 712) 337</w:t>
      </w:r>
      <w:r w:rsidRPr="00944EB8">
        <w:rPr>
          <w:rFonts w:ascii="Times New Roman" w:hAnsi="Times New Roman" w:cs="Times New Roman"/>
          <w:sz w:val="24"/>
          <w:szCs w:val="24"/>
        </w:rPr>
        <w:t xml:space="preserve">,  restored an arbitral award set aside by the first instance court. In so doing, the Court of Appeal reinforced the Nigerian law position that the circumstances in which a court can set aside an arbitral </w:t>
      </w:r>
      <w:r w:rsidRPr="00944EB8">
        <w:rPr>
          <w:rFonts w:ascii="Times New Roman" w:hAnsi="Times New Roman" w:cs="Times New Roman"/>
          <w:sz w:val="24"/>
          <w:szCs w:val="24"/>
        </w:rPr>
        <w:lastRenderedPageBreak/>
        <w:t>award are circumscribed by the provision of the Arbitration and Conciliation Act.  The Court stated as follows at pages 355 – 356 of the record:</w:t>
      </w:r>
    </w:p>
    <w:p w:rsidR="001C2CCB" w:rsidRPr="00944EB8" w:rsidRDefault="001C2CCB" w:rsidP="001C2CCB">
      <w:pPr>
        <w:pStyle w:val="ListParagraph"/>
        <w:spacing w:line="360" w:lineRule="auto"/>
        <w:ind w:left="540"/>
        <w:jc w:val="both"/>
        <w:rPr>
          <w:rFonts w:ascii="Times New Roman" w:hAnsi="Times New Roman" w:cs="Times New Roman"/>
          <w:i/>
          <w:iCs/>
          <w:sz w:val="24"/>
          <w:szCs w:val="24"/>
        </w:rPr>
      </w:pPr>
    </w:p>
    <w:p w:rsidR="001C2CCB" w:rsidRPr="00944EB8" w:rsidRDefault="001C2CCB" w:rsidP="001C2CCB">
      <w:pPr>
        <w:pStyle w:val="ListParagraph"/>
        <w:spacing w:line="360" w:lineRule="auto"/>
        <w:ind w:left="540"/>
        <w:jc w:val="both"/>
        <w:rPr>
          <w:rFonts w:ascii="Times New Roman" w:hAnsi="Times New Roman" w:cs="Times New Roman"/>
          <w:sz w:val="24"/>
          <w:szCs w:val="24"/>
        </w:rPr>
      </w:pPr>
      <w:r w:rsidRPr="00944EB8">
        <w:rPr>
          <w:rFonts w:ascii="Times New Roman" w:hAnsi="Times New Roman" w:cs="Times New Roman"/>
          <w:i/>
          <w:iCs/>
          <w:sz w:val="24"/>
          <w:szCs w:val="24"/>
        </w:rPr>
        <w:t>When parties make a submission [to arbitration], they do so for a number of reasons. They include simplicity of the arbitral process, the speed, and sometimes an understanding or technical knowledge of the subject matter. It is usually not because it was believed that the arbitrator could not make an error of law. The parties' submission is therefore for better or for worse as in the marriage vow.</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The above decisions are representative of the judicial attitude of Nigerian courts to the arbitral process and in light of the facts and circumstances of those cases, it must be said that those cases were correctly decided. As the court said in the Triana case, allowing the courts to conduct full appellate review of arbitral decisions on the grounds of error of law would only open a floodgate and expose the arbitral process to the same ills plaguing the system of litigation before national courts and significantly undermine the whole essence of the arbitration process.</w:t>
      </w:r>
    </w:p>
    <w:p w:rsidR="001C2CCB" w:rsidRPr="00944EB8" w:rsidRDefault="001C2CCB" w:rsidP="001C2CCB">
      <w:pPr>
        <w:pStyle w:val="Heading3"/>
        <w:numPr>
          <w:ilvl w:val="0"/>
          <w:numId w:val="46"/>
        </w:numPr>
        <w:rPr>
          <w:rFonts w:cs="Times New Roman"/>
        </w:rPr>
      </w:pPr>
      <w:bookmarkStart w:id="78" w:name="_Toc80808288"/>
      <w:r w:rsidRPr="00944EB8">
        <w:rPr>
          <w:rFonts w:eastAsia="Times New Roman" w:cs="Times New Roman"/>
        </w:rPr>
        <w:t>Setting Award an Award in case of Arbitrator Misconduct etc.</w:t>
      </w:r>
      <w:bookmarkEnd w:id="78"/>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addition to </w:t>
      </w:r>
      <w:r w:rsidRPr="00944EB8">
        <w:rPr>
          <w:rFonts w:ascii="Times New Roman" w:eastAsia="Times New Roman" w:hAnsi="Times New Roman" w:cs="Times New Roman"/>
          <w:sz w:val="24"/>
          <w:szCs w:val="24"/>
        </w:rPr>
        <w:t xml:space="preserve">section 29 of the </w:t>
      </w:r>
      <w:r w:rsidRPr="00944EB8">
        <w:rPr>
          <w:rFonts w:ascii="Times New Roman" w:hAnsi="Times New Roman" w:cs="Times New Roman"/>
          <w:sz w:val="24"/>
          <w:szCs w:val="24"/>
        </w:rPr>
        <w:t>Arbitration and Conciliation Act which provides that a party who is aggrieved by an arbitral award may within three months from the date of the award request the court set aside the award if the award is beyond the scope of the submission, section 30 of the Act provides additional bases for setting aside an arbitral award, they are – where the arbitrator has misconducted himself and where the arbitral proceeding or the arbitral award has been improperly procured.</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Much like the confusion created by the law makers in providing for two separate sections in sections 4 and 5 of the Act to deal with substantially the same subject, I also fail to see the justification behind having two sections of the Act deal with setting aside an award. In my view, having the two sections only serve to create confusion due to the duplication as well as the possible arguments that the conditions and time limit for the recourse to both sections are different. As noted above, section 29 of the Act provides that a person </w:t>
      </w:r>
      <w:r w:rsidRPr="00944EB8">
        <w:rPr>
          <w:rFonts w:ascii="Times New Roman" w:eastAsia="Times New Roman" w:hAnsi="Times New Roman" w:cs="Times New Roman"/>
          <w:sz w:val="24"/>
          <w:szCs w:val="24"/>
        </w:rPr>
        <w:lastRenderedPageBreak/>
        <w:t xml:space="preserve">aggrieved with an award on grounds that </w:t>
      </w:r>
      <w:r w:rsidRPr="00944EB8">
        <w:rPr>
          <w:rFonts w:ascii="Times New Roman" w:hAnsi="Times New Roman" w:cs="Times New Roman"/>
          <w:sz w:val="24"/>
          <w:szCs w:val="24"/>
        </w:rPr>
        <w:t>the award is beyond the scope of the submission may within three months from the date of the award request the court set aside the award. There is however no time limit stipulated in section 30 within which a person aggrieved with an award on grounds that the arbitrator has misconducted himself or that the arbitral proceeding or the arbitral award has been improperly procured can request the court to set aside the award. This is not good legal drafting.</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As Fagbohunlu (2020) notes however, the Supreme Court in a judgment which exemplifies judicial inventiveness to overcome apparent defects in legislative drafting, in </w:t>
      </w:r>
      <w:r w:rsidRPr="00944EB8">
        <w:rPr>
          <w:rFonts w:ascii="Times New Roman" w:hAnsi="Times New Roman" w:cs="Times New Roman"/>
          <w:b/>
          <w:bCs/>
          <w:i/>
          <w:iCs/>
          <w:sz w:val="24"/>
          <w:szCs w:val="24"/>
        </w:rPr>
        <w:t>Araka v. Ejeagwu (2000) 15 NWLR (Pt. 692) 684</w:t>
      </w:r>
      <w:r w:rsidRPr="00944EB8">
        <w:rPr>
          <w:rFonts w:ascii="Times New Roman" w:hAnsi="Times New Roman" w:cs="Times New Roman"/>
          <w:sz w:val="24"/>
          <w:szCs w:val="24"/>
        </w:rPr>
        <w:t xml:space="preserve"> resolved this controversy. In that case the court was asked to decide whether the three months limitation periods for bringing an application to set aside an award under section 29 also limits applications to set aside awards under section 30 of the Act. The Supreme Court held that the limitation provision of section 29 must also be read as applying to challenges under section 30 “notwithstanding the apparent confusion engendered in the drafting of s. 29(1).”</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Further, it is also important to state that the Act on its face does not delineate what amounts to misconduct by an arbitrator that can give rise to a setting aside of the award by the court. Oyekunle &amp; Ojo (2018) argue that this is justifiable because little could be gained by attempting a complete definition of the behaviour of an arbitrator that will constitute misconduct and instead it should be left to the court to determine having regard to the facts and circumstances of each individual case. This is not a position I necessarily agree with. While it would have been counterproductive to provide an exhaustive list of what can amount to arbitrator misconduct, it would nevertheless have been helpful to provide illustrative examples of such conduct. In the end, we are left to rely on decided cases for a guide to what actions the courts have characterised, or will accept, as constituting misconduct.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In the case of </w:t>
      </w:r>
      <w:r w:rsidRPr="00944EB8">
        <w:rPr>
          <w:rFonts w:ascii="Times New Roman" w:hAnsi="Times New Roman" w:cs="Times New Roman"/>
          <w:b/>
          <w:bCs/>
          <w:i/>
          <w:iCs/>
          <w:sz w:val="24"/>
          <w:szCs w:val="24"/>
        </w:rPr>
        <w:t>Taylor Woodrow (Nig) Ltd v. S.E. GmbH Ltd (supra</w:t>
      </w:r>
      <w:proofErr w:type="gramStart"/>
      <w:r w:rsidRPr="00944EB8">
        <w:rPr>
          <w:rFonts w:ascii="Times New Roman" w:hAnsi="Times New Roman" w:cs="Times New Roman"/>
          <w:b/>
          <w:bCs/>
          <w:i/>
          <w:iCs/>
          <w:sz w:val="24"/>
          <w:szCs w:val="24"/>
        </w:rPr>
        <w:t xml:space="preserve">) </w:t>
      </w:r>
      <w:r w:rsidRPr="00944EB8">
        <w:rPr>
          <w:rFonts w:ascii="Times New Roman" w:hAnsi="Times New Roman" w:cs="Times New Roman"/>
          <w:sz w:val="24"/>
          <w:szCs w:val="24"/>
        </w:rPr>
        <w:t xml:space="preserve"> the</w:t>
      </w:r>
      <w:proofErr w:type="gramEnd"/>
      <w:r w:rsidRPr="00944EB8">
        <w:rPr>
          <w:rFonts w:ascii="Times New Roman" w:hAnsi="Times New Roman" w:cs="Times New Roman"/>
          <w:sz w:val="24"/>
          <w:szCs w:val="24"/>
        </w:rPr>
        <w:t xml:space="preserve"> appellant had applied to the court to set aside an arbitral award or to remit the reference back to arbitrator for reconsideration. The basis of the application was that there had been an error of law on the award relating to the non-consideration of a clause of the contract at issue and a </w:t>
      </w:r>
      <w:r w:rsidRPr="00944EB8">
        <w:rPr>
          <w:rFonts w:ascii="Times New Roman" w:hAnsi="Times New Roman" w:cs="Times New Roman"/>
          <w:sz w:val="24"/>
          <w:szCs w:val="24"/>
        </w:rPr>
        <w:lastRenderedPageBreak/>
        <w:t xml:space="preserve">misconception of another clause of the contract. On that basis, the appellant contended that there had been </w:t>
      </w:r>
      <w:proofErr w:type="gramStart"/>
      <w:r w:rsidRPr="00944EB8">
        <w:rPr>
          <w:rFonts w:ascii="Times New Roman" w:hAnsi="Times New Roman" w:cs="Times New Roman"/>
          <w:sz w:val="24"/>
          <w:szCs w:val="24"/>
        </w:rPr>
        <w:t>a misconduct</w:t>
      </w:r>
      <w:proofErr w:type="gramEnd"/>
      <w:r w:rsidRPr="00944EB8">
        <w:rPr>
          <w:rFonts w:ascii="Times New Roman" w:hAnsi="Times New Roman" w:cs="Times New Roman"/>
          <w:sz w:val="24"/>
          <w:szCs w:val="24"/>
        </w:rPr>
        <w:t xml:space="preserve"> on the part of the arbitrator. The court of first instance refused the application and held that the misconception alleged did not amount to misconduct on the part of the arbitrator. On ultimate appeal to the Supreme Court, the question posed to the court was constituted misconduct. The Supreme Court per Ogundare JSC observed that in light of the non-definition of misconduct in the Act, recourse would be had to the common law position. In this regard the Supreme adopted the position in Halsbury’s Laws of England that every irregularity of procedure does not amount to misconduct.</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Similarly, the Supreme Court in the case of </w:t>
      </w:r>
      <w:r w:rsidRPr="00944EB8">
        <w:rPr>
          <w:rFonts w:ascii="Times New Roman" w:hAnsi="Times New Roman" w:cs="Times New Roman"/>
          <w:b/>
          <w:bCs/>
          <w:i/>
          <w:iCs/>
          <w:sz w:val="24"/>
          <w:szCs w:val="24"/>
        </w:rPr>
        <w:t xml:space="preserve">A. Saviola Ltd v A. O. Sonubi (2000) LPELR-7 (SC) </w:t>
      </w:r>
      <w:r w:rsidRPr="00944EB8">
        <w:rPr>
          <w:rFonts w:ascii="Times New Roman" w:hAnsi="Times New Roman" w:cs="Times New Roman"/>
          <w:sz w:val="24"/>
          <w:szCs w:val="24"/>
        </w:rPr>
        <w:t xml:space="preserve">also relying on the </w:t>
      </w:r>
      <w:r w:rsidRPr="00944EB8">
        <w:rPr>
          <w:rFonts w:ascii="Times New Roman" w:hAnsi="Times New Roman" w:cs="Times New Roman"/>
          <w:b/>
          <w:bCs/>
          <w:i/>
          <w:iCs/>
          <w:sz w:val="24"/>
          <w:szCs w:val="24"/>
        </w:rPr>
        <w:t>Taylor Woodrow</w:t>
      </w:r>
      <w:r w:rsidRPr="00944EB8">
        <w:rPr>
          <w:rFonts w:ascii="Times New Roman" w:hAnsi="Times New Roman" w:cs="Times New Roman"/>
          <w:sz w:val="24"/>
          <w:szCs w:val="24"/>
        </w:rPr>
        <w:t xml:space="preserve"> case above outlined the following conduct as amounting to misconduct on the part of an arbitrator within the meaning of the Act: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jc w:val="both"/>
        <w:rPr>
          <w:rFonts w:ascii="Times New Roman" w:hAnsi="Times New Roman" w:cs="Times New Roman"/>
          <w:i/>
          <w:iCs/>
          <w:sz w:val="24"/>
          <w:szCs w:val="24"/>
        </w:rPr>
      </w:pPr>
      <w:r w:rsidRPr="00944EB8">
        <w:rPr>
          <w:rFonts w:ascii="Times New Roman" w:hAnsi="Times New Roman" w:cs="Times New Roman"/>
          <w:i/>
          <w:iCs/>
          <w:sz w:val="24"/>
          <w:szCs w:val="24"/>
        </w:rPr>
        <w:t>(1) where the arbitrator fails to comply with the terms, express or implied, of the arbitration agreement; (2) where, even if the arbitrator complies with the terms of the arbitration agreement, the arbitrator makes an award which on grounds of public policy ought not to be enforced; (3) where the arbitrator has been bribed or corrupted; (4) technical misconduct, such as where the arbitrator makes a mistake as to the scope of the authority conferred by the agreement or reference. This, however, does not mean that every irregularity of procedure amounts to misconduct; (5) where the arbitrator or umpire fails to decide all the matters which were referred to him; (6) where the arbitrator or umpire has breached the rules of natural justice; (7) if the arbitrator or umpire has failed to act fairly towards both parties, as for example (a) by hearing one party but refusing to hear the other; or (b) by deciding the case on a point not put by the parties.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Act is also not particularly helpful in failing to spell out the circumstances under which arbitration proceedings or an arbitral award may be deemed to have been improperly procured. However, according to Akpata &amp; Adegbonmire (2019) it is generally accepted that where a party bribes, treats or induces an arbitrator by any means with the intention of procuring an award in his favour, and the award is in fact favourable to him, the award must be regarded as improperly procured and must be set aside. I agree with this characterisation. In my view, the flipside also holds true such that where a party threatens or applies the use of any intimidating tactic with the intention of procuring an award in his </w:t>
      </w:r>
      <w:r w:rsidRPr="00944EB8">
        <w:rPr>
          <w:rFonts w:ascii="Times New Roman" w:hAnsi="Times New Roman" w:cs="Times New Roman"/>
          <w:sz w:val="24"/>
          <w:szCs w:val="24"/>
        </w:rPr>
        <w:lastRenderedPageBreak/>
        <w:t>favour, and the award is in fact favourable to him, the award must also be regarded as improperly procured and consequently, liable to be set aside.</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In their own contribution, Oyekunle &amp; Ojo (2018) outline the circumstances under which an arbitral award would be deemed to have to been improperly procured. Those circumstances include where an arbitrator shows partiality in his word or conduct during the proceedings, where the arbitrator makes personal conduct with a party in the absence of the other party, where the arbitrator receives bribe or gratification from one of the parties, etc.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In my view, all of these instances are more suited to circumstances of arbitrator misconduct rather than where an arbitration award was improperly procured. This further fortifies my view above that it would have been helpful for the Act to have clearly delineated circumstances that would be deemed as improperly procuring an arbitration award even if it is by way of non-exhaustive examples. Incidentally none of these authors considered the first limb of that subsection which deals with where the arbitration proceedings were improperly procured. This is an additional area of reform which the Act is in acute need of.</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Heading3"/>
        <w:numPr>
          <w:ilvl w:val="0"/>
          <w:numId w:val="46"/>
        </w:numPr>
        <w:rPr>
          <w:rFonts w:cs="Times New Roman"/>
        </w:rPr>
      </w:pPr>
      <w:bookmarkStart w:id="79" w:name="_Toc80808289"/>
      <w:r w:rsidRPr="00944EB8">
        <w:rPr>
          <w:rFonts w:eastAsia="Times New Roman" w:cs="Times New Roman"/>
        </w:rPr>
        <w:t>Recognition and Enforcement of Award</w:t>
      </w:r>
      <w:bookmarkEnd w:id="79"/>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Section 31 of the Arbitration and Conciliation Act provides that an arbitral award shall be recognised as binding and shall be enforced by the court except in the cases where the circumstances are present which require the court to refuse to recognise or enforce such award. The section further provides that an award may be enforced in the same manner as a judgment or order to the same effect. </w:t>
      </w:r>
    </w:p>
    <w:p w:rsidR="001C2CCB" w:rsidRPr="00944EB8" w:rsidRDefault="001C2CCB" w:rsidP="001C2CCB">
      <w:pPr>
        <w:pStyle w:val="ListParagraph"/>
        <w:spacing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recognition and enforcement of an award by the court probably constitute the most important role that the court system plays in support of the arbitral system. In this regard it becomes necessary to repeat the apt observation of Lord Hoffmann in the case of </w:t>
      </w:r>
      <w:r w:rsidRPr="00944EB8">
        <w:rPr>
          <w:rFonts w:ascii="Times New Roman" w:hAnsi="Times New Roman" w:cs="Times New Roman"/>
          <w:i/>
          <w:iCs/>
          <w:sz w:val="24"/>
          <w:szCs w:val="24"/>
        </w:rPr>
        <w:t xml:space="preserve">West Tankers Inc v RAS Riunione Adriatica di Sicurta SpA </w:t>
      </w:r>
      <w:r w:rsidRPr="00944EB8">
        <w:rPr>
          <w:rFonts w:ascii="Times New Roman" w:hAnsi="Times New Roman" w:cs="Times New Roman"/>
          <w:i/>
          <w:iCs/>
          <w:sz w:val="24"/>
          <w:szCs w:val="24"/>
        </w:rPr>
        <w:fldChar w:fldCharType="begin"/>
      </w:r>
      <w:r w:rsidRPr="00944EB8">
        <w:rPr>
          <w:rFonts w:ascii="Times New Roman" w:hAnsi="Times New Roman" w:cs="Times New Roman"/>
          <w:i/>
          <w:iCs/>
          <w:sz w:val="24"/>
          <w:szCs w:val="24"/>
        </w:rPr>
        <w:instrText xml:space="preserve"> ADDIN ZOTERO_ITEM CSL_CITATION {"citationID":"hGQoPuAb","properties":{"formattedCitation":"(\\uc0\\u8220{}West Tankers Inc v RAS Riunione Adriatica di Sicurta SpA [2007] UKHL 4 \\uc0\\u8211{} anti-suit injunctions in support of arbitration | Lexology,\\uc0\\u8221{} n.d.)","plainCitation":"(“West Tankers Inc v RAS Riunione Adriatica di Sicurta SpA [2007] UKHL 4 – anti-suit injunctions in support of arbitration | Lexology,” n.d.)","noteIndex":0},"citationItems":[{"id":525,"uris":["http://zotero.org/users/local/arLofKbg/items/LT94MY8B"],"uri":["http://zotero.org/users/local/arLofKbg/items/LT94MY8B"],"itemData":{"id":525,"type":"webpage","abstract":"On 21 February 2007, the House of Lords delivered a decision in which they requested the European Court of Justice (&amp;quot;ECJ&amp;quot;) to consider whether it is &amp;quot;consistent with EC Regulation 44/2001 for a court of a Member State to make an order to restrain a person from commencing or continuing proceedings in another Member State on the ground that such proceedings are in breach of an arbitration agreement.&amp;quot;","language":"en","title":"West Tankers Inc v RAS Riunione Adriatica di Sicurta SpA [2007] UKHL 4 – anti-suit injunctions in support of arbitration | Lexology","URL":"https://www.lexology.com/library/detail.aspx?g=5accb6dc-b442-4aa9-a67e-3f4b7d472960","accessed":{"date-parts":[["2021",1,18]]}}}],"schema":"https://github.com/citation-style-language/schema/raw/master/csl-citation.json"} </w:instrText>
      </w:r>
      <w:r w:rsidRPr="00944EB8">
        <w:rPr>
          <w:rFonts w:ascii="Times New Roman" w:hAnsi="Times New Roman" w:cs="Times New Roman"/>
          <w:i/>
          <w:iCs/>
          <w:sz w:val="24"/>
          <w:szCs w:val="24"/>
        </w:rPr>
        <w:fldChar w:fldCharType="separate"/>
      </w:r>
      <w:r w:rsidRPr="00944EB8">
        <w:rPr>
          <w:rFonts w:ascii="Times New Roman" w:hAnsi="Times New Roman" w:cs="Times New Roman"/>
          <w:sz w:val="24"/>
          <w:szCs w:val="24"/>
        </w:rPr>
        <w:t xml:space="preserve">(“West Tankers Inc v RAS Riunione </w:t>
      </w:r>
      <w:r w:rsidRPr="00944EB8">
        <w:rPr>
          <w:rFonts w:ascii="Times New Roman" w:hAnsi="Times New Roman" w:cs="Times New Roman"/>
          <w:sz w:val="24"/>
          <w:szCs w:val="24"/>
        </w:rPr>
        <w:lastRenderedPageBreak/>
        <w:t>Adriatica di Sicurta SpA [2007] UKHL 4 – anti-suit injunctions in support of arbitration | Lexology,” n.d.)</w:t>
      </w:r>
      <w:r w:rsidRPr="00944EB8">
        <w:rPr>
          <w:rFonts w:ascii="Times New Roman" w:hAnsi="Times New Roman" w:cs="Times New Roman"/>
          <w:i/>
          <w:iCs/>
          <w:sz w:val="24"/>
          <w:szCs w:val="24"/>
        </w:rPr>
        <w:fldChar w:fldCharType="end"/>
      </w:r>
      <w:r w:rsidRPr="00944EB8">
        <w:rPr>
          <w:rFonts w:ascii="Times New Roman" w:hAnsi="Times New Roman" w:cs="Times New Roman"/>
          <w:sz w:val="24"/>
          <w:szCs w:val="24"/>
        </w:rPr>
        <w:t>:</w:t>
      </w:r>
    </w:p>
    <w:p w:rsidR="001C2CCB" w:rsidRPr="00944EB8" w:rsidRDefault="001C2CCB" w:rsidP="001C2CCB">
      <w:pPr>
        <w:spacing w:before="0" w:after="0" w:line="360" w:lineRule="auto"/>
        <w:ind w:left="1152" w:right="576"/>
        <w:jc w:val="both"/>
        <w:rPr>
          <w:rFonts w:ascii="Times New Roman" w:hAnsi="Times New Roman" w:cs="Times New Roman"/>
          <w:sz w:val="24"/>
          <w:szCs w:val="24"/>
        </w:rPr>
      </w:pPr>
      <w:r w:rsidRPr="00944EB8">
        <w:rPr>
          <w:rFonts w:ascii="Times New Roman" w:hAnsi="Times New Roman" w:cs="Times New Roman"/>
          <w:sz w:val="24"/>
          <w:szCs w:val="24"/>
        </w:rPr>
        <w:t>Of course, arbitration cannot be self-sustaining. It needs the support of the courts … Different national systems give support in different ways and an important aspect of the autonomy of the parties is the right to choose the governing law and seat of the arbitration according to what they consider will best serve their interests.</w:t>
      </w:r>
    </w:p>
    <w:p w:rsidR="001C2CCB" w:rsidRPr="00944EB8" w:rsidRDefault="001C2CCB" w:rsidP="001C2CCB">
      <w:pPr>
        <w:spacing w:before="0" w:after="0" w:line="360" w:lineRule="auto"/>
        <w:ind w:right="576"/>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similar vein, in the words of Candide-Johnson &amp; Shasore (2012), an award lacks inherent or intrinsic force until it is pronounced upon by a competent judicial authority. Thus, at the end of the day, it is the court that provides an arbitrators decision and the arbitration process with the power to operate as </w:t>
      </w:r>
      <w:r w:rsidRPr="00944EB8">
        <w:rPr>
          <w:rFonts w:ascii="Times New Roman" w:hAnsi="Times New Roman" w:cs="Times New Roman"/>
          <w:i/>
          <w:iCs/>
          <w:sz w:val="24"/>
          <w:szCs w:val="24"/>
        </w:rPr>
        <w:t>estoppel per rem judicatem</w:t>
      </w:r>
      <w:r w:rsidRPr="00944EB8">
        <w:rPr>
          <w:rFonts w:ascii="Times New Roman" w:hAnsi="Times New Roman" w:cs="Times New Roman"/>
          <w:sz w:val="24"/>
          <w:szCs w:val="24"/>
        </w:rPr>
        <w:t>.</w:t>
      </w:r>
    </w:p>
    <w:p w:rsidR="001C2CCB" w:rsidRPr="00944EB8" w:rsidRDefault="001C2CCB" w:rsidP="001C2CCB">
      <w:pPr>
        <w:pStyle w:val="ListParagraph"/>
        <w:spacing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In the case of the </w:t>
      </w:r>
      <w:r w:rsidRPr="00944EB8">
        <w:rPr>
          <w:rFonts w:ascii="Times New Roman" w:hAnsi="Times New Roman" w:cs="Times New Roman"/>
          <w:b/>
          <w:bCs/>
          <w:i/>
          <w:iCs/>
          <w:sz w:val="24"/>
          <w:szCs w:val="24"/>
        </w:rPr>
        <w:t>Ebokan v Ekwunibe &amp; Sons Trading Co. (2001) 2 NWLR (Pt. 696)32 at page 41</w:t>
      </w:r>
      <w:r w:rsidRPr="00944EB8">
        <w:rPr>
          <w:rFonts w:ascii="Times New Roman" w:hAnsi="Times New Roman" w:cs="Times New Roman"/>
          <w:sz w:val="24"/>
          <w:szCs w:val="24"/>
        </w:rPr>
        <w:t xml:space="preserve"> the Nigerian Court of Appeal laid down what an applicant must demonstrate in order to be entitled to an order for the enforcement of an award as follows:</w:t>
      </w:r>
    </w:p>
    <w:p w:rsidR="001C2CCB" w:rsidRPr="00944EB8" w:rsidRDefault="001C2CCB" w:rsidP="001C2CCB">
      <w:pPr>
        <w:pStyle w:val="ListParagraph"/>
        <w:spacing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1"/>
          <w:numId w:val="10"/>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The making of the contract which contains the arbitration agreement;</w:t>
      </w:r>
    </w:p>
    <w:p w:rsidR="001C2CCB" w:rsidRPr="00944EB8" w:rsidRDefault="001C2CCB" w:rsidP="001C2CCB">
      <w:pPr>
        <w:pStyle w:val="ListParagraph"/>
        <w:numPr>
          <w:ilvl w:val="1"/>
          <w:numId w:val="10"/>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That the dispute arise within the term of the arbitration agreement;</w:t>
      </w:r>
    </w:p>
    <w:p w:rsidR="001C2CCB" w:rsidRPr="00944EB8" w:rsidRDefault="001C2CCB" w:rsidP="001C2CCB">
      <w:pPr>
        <w:pStyle w:val="ListParagraph"/>
        <w:numPr>
          <w:ilvl w:val="1"/>
          <w:numId w:val="10"/>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The arbitrators were appointed in accordance with the clause which the arbitration agreement;</w:t>
      </w:r>
    </w:p>
    <w:p w:rsidR="001C2CCB" w:rsidRPr="00944EB8" w:rsidRDefault="001C2CCB" w:rsidP="001C2CCB">
      <w:pPr>
        <w:pStyle w:val="ListParagraph"/>
        <w:numPr>
          <w:ilvl w:val="1"/>
          <w:numId w:val="10"/>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The making of the award; and</w:t>
      </w:r>
    </w:p>
    <w:p w:rsidR="001C2CCB" w:rsidRPr="00944EB8" w:rsidRDefault="001C2CCB" w:rsidP="001C2CCB">
      <w:pPr>
        <w:pStyle w:val="ListParagraph"/>
        <w:numPr>
          <w:ilvl w:val="1"/>
          <w:numId w:val="10"/>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That the amount awarded has not been paid.</w:t>
      </w:r>
    </w:p>
    <w:p w:rsidR="001C2CCB" w:rsidRPr="00944EB8" w:rsidRDefault="001C2CCB" w:rsidP="001C2CCB">
      <w:pPr>
        <w:pStyle w:val="Heading3"/>
        <w:numPr>
          <w:ilvl w:val="0"/>
          <w:numId w:val="46"/>
        </w:numPr>
        <w:rPr>
          <w:rFonts w:cs="Times New Roman"/>
        </w:rPr>
      </w:pPr>
      <w:bookmarkStart w:id="80" w:name="_Toc80808290"/>
      <w:r w:rsidRPr="00944EB8">
        <w:rPr>
          <w:rFonts w:eastAsia="Times New Roman" w:cs="Times New Roman"/>
        </w:rPr>
        <w:t>Refusal of Recognition or Enforcement of Award</w:t>
      </w:r>
      <w:bookmarkEnd w:id="80"/>
    </w:p>
    <w:p w:rsidR="001C2CCB" w:rsidRPr="00944EB8" w:rsidRDefault="001C2CCB" w:rsidP="001C2CCB">
      <w:pPr>
        <w:pStyle w:val="ListParagraph"/>
        <w:spacing w:before="0" w:after="0" w:line="360" w:lineRule="auto"/>
        <w:jc w:val="both"/>
        <w:rPr>
          <w:rFonts w:ascii="Times New Roman" w:eastAsia="Times New Roman" w:hAnsi="Times New Roman" w:cs="Times New Roman"/>
          <w:sz w:val="24"/>
          <w:szCs w:val="24"/>
        </w:rPr>
      </w:pPr>
    </w:p>
    <w:p w:rsidR="001C2CCB" w:rsidRPr="00944EB8" w:rsidRDefault="001C2CCB" w:rsidP="001C2CCB">
      <w:pPr>
        <w:pStyle w:val="ListParagraph"/>
        <w:numPr>
          <w:ilvl w:val="0"/>
          <w:numId w:val="34"/>
        </w:numPr>
        <w:spacing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Section 32 of the Act provides in very clear terms that any of the parties to arbitration may request the court to refuse recognition or enforcement of the award. This flows from the above referenced provision in section 31(1) of the Act which states that the court can only enforce an award subject to section 32 in otherwise, where the circumstances are absent which would compel the court to refuse to recognise or enforce the award. Strangely section </w:t>
      </w:r>
      <w:r w:rsidRPr="00944EB8">
        <w:rPr>
          <w:rFonts w:ascii="Times New Roman" w:hAnsi="Times New Roman" w:cs="Times New Roman"/>
          <w:sz w:val="24"/>
          <w:szCs w:val="24"/>
        </w:rPr>
        <w:lastRenderedPageBreak/>
        <w:t>32 is silent on the grounds on which the court can refuse recognition, thankfully section 52 of the Act which is contained in part III of the Act that deals with foreign arbitral awards provides the grounds on which any of the parties to an arbitration agreement can request the court (where enforcement is sought) to refuse recognition or enforcement of the award. The grounds for such refusal</w:t>
      </w:r>
      <w:r w:rsidRPr="00944EB8">
        <w:rPr>
          <w:rFonts w:ascii="Times New Roman" w:eastAsia="Times New Roman" w:hAnsi="Times New Roman" w:cs="Times New Roman"/>
          <w:sz w:val="24"/>
          <w:szCs w:val="24"/>
        </w:rPr>
        <w:t xml:space="preserve"> are as follows:</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14"/>
        </w:numPr>
        <w:spacing w:before="0" w:after="0" w:line="360" w:lineRule="auto"/>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If the party against whom it is invoked furnishes the Court proof</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w:t>
      </w:r>
      <w:proofErr w:type="spellStart"/>
      <w:r w:rsidRPr="00944EB8">
        <w:rPr>
          <w:rFonts w:ascii="Times New Roman" w:eastAsia="Times New Roman" w:hAnsi="Times New Roman" w:cs="Times New Roman"/>
          <w:sz w:val="24"/>
          <w:szCs w:val="24"/>
        </w:rPr>
        <w:t>i</w:t>
      </w:r>
      <w:proofErr w:type="spellEnd"/>
      <w:r w:rsidRPr="00944EB8">
        <w:rPr>
          <w:rFonts w:ascii="Times New Roman" w:eastAsia="Times New Roman" w:hAnsi="Times New Roman" w:cs="Times New Roman"/>
          <w:sz w:val="24"/>
          <w:szCs w:val="24"/>
        </w:rPr>
        <w:t xml:space="preserve">)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a party to the arbitration agreement was under some incapacity,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(ii) that the arbitration agreement is not valid under the law which the parties have indicated should be applied, or failing such indication, that the arbitration agreement is not valid under the law of the country where the award was made,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(iii)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he was not given proper notice of the appointment of an arbitrator or of the arbitral proceedings or was otherwise not able to present his case,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(iv)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the award deals with a dispute not contemplated by or not falling within the terms of the submission to arbitration,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(v) that the award contains decisions on matters which are beyond the scope of submission to arbitration, so however that if the decision on matters submitted to arbitration can be separated from those not submitted, only that part of the award which contains decisions on maters submitted to arbitration may be recognised and enforced,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(vi)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the composition of the arbitral tribunal, or the arbitral procedure, was not in accordance with the agreement of the parties, or </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(vii) where there is no agreement within the parties under sub-paragraph (vi), therefore the composition of the arbitral tribunal, or the arbitral procedure, was not in accordance with the law of the country where the arbitration took place,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(viii)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the award has not yet become binding on the parties or has been set aside or suspended by a court in which, or under the law of which, the award was made;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(b) </w:t>
      </w:r>
      <w:proofErr w:type="gramStart"/>
      <w:r w:rsidRPr="00944EB8">
        <w:rPr>
          <w:rFonts w:ascii="Times New Roman" w:eastAsia="Times New Roman" w:hAnsi="Times New Roman" w:cs="Times New Roman"/>
          <w:sz w:val="24"/>
          <w:szCs w:val="24"/>
        </w:rPr>
        <w:t>if</w:t>
      </w:r>
      <w:proofErr w:type="gramEnd"/>
      <w:r w:rsidRPr="00944EB8">
        <w:rPr>
          <w:rFonts w:ascii="Times New Roman" w:eastAsia="Times New Roman" w:hAnsi="Times New Roman" w:cs="Times New Roman"/>
          <w:sz w:val="24"/>
          <w:szCs w:val="24"/>
        </w:rPr>
        <w:t xml:space="preserve"> the court finds-</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w:t>
      </w:r>
      <w:proofErr w:type="spellStart"/>
      <w:r w:rsidRPr="00944EB8">
        <w:rPr>
          <w:rFonts w:ascii="Times New Roman" w:eastAsia="Times New Roman" w:hAnsi="Times New Roman" w:cs="Times New Roman"/>
          <w:sz w:val="24"/>
          <w:szCs w:val="24"/>
        </w:rPr>
        <w:t>i</w:t>
      </w:r>
      <w:proofErr w:type="spellEnd"/>
      <w:r w:rsidRPr="00944EB8">
        <w:rPr>
          <w:rFonts w:ascii="Times New Roman" w:eastAsia="Times New Roman" w:hAnsi="Times New Roman" w:cs="Times New Roman"/>
          <w:sz w:val="24"/>
          <w:szCs w:val="24"/>
        </w:rPr>
        <w:t xml:space="preserve">)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the subject-matter of the dispute is not capable of settlement by arbitration under the laws of Nigeria, or</w:t>
      </w:r>
    </w:p>
    <w:p w:rsidR="001C2CCB" w:rsidRPr="00944EB8" w:rsidRDefault="001C2CCB" w:rsidP="001C2CCB">
      <w:pPr>
        <w:pStyle w:val="ListParagraph"/>
        <w:spacing w:after="0" w:line="360" w:lineRule="auto"/>
        <w:ind w:left="1080"/>
        <w:jc w:val="both"/>
        <w:rPr>
          <w:rFonts w:ascii="Times New Roman" w:eastAsia="Times New Roman" w:hAnsi="Times New Roman" w:cs="Times New Roman"/>
          <w:sz w:val="24"/>
          <w:szCs w:val="24"/>
        </w:rPr>
      </w:pPr>
      <w:r w:rsidRPr="00944EB8">
        <w:rPr>
          <w:rFonts w:ascii="Times New Roman" w:eastAsia="Times New Roman" w:hAnsi="Times New Roman" w:cs="Times New Roman"/>
          <w:sz w:val="24"/>
          <w:szCs w:val="24"/>
        </w:rPr>
        <w:t xml:space="preserve">(ii) </w:t>
      </w:r>
      <w:proofErr w:type="gramStart"/>
      <w:r w:rsidRPr="00944EB8">
        <w:rPr>
          <w:rFonts w:ascii="Times New Roman" w:eastAsia="Times New Roman" w:hAnsi="Times New Roman" w:cs="Times New Roman"/>
          <w:sz w:val="24"/>
          <w:szCs w:val="24"/>
        </w:rPr>
        <w:t>that</w:t>
      </w:r>
      <w:proofErr w:type="gramEnd"/>
      <w:r w:rsidRPr="00944EB8">
        <w:rPr>
          <w:rFonts w:ascii="Times New Roman" w:eastAsia="Times New Roman" w:hAnsi="Times New Roman" w:cs="Times New Roman"/>
          <w:sz w:val="24"/>
          <w:szCs w:val="24"/>
        </w:rPr>
        <w:t xml:space="preserve"> the recognition or enforcement of the award is against public policy.</w:t>
      </w:r>
    </w:p>
    <w:p w:rsidR="001C2CCB" w:rsidRPr="00944EB8" w:rsidRDefault="001C2CCB" w:rsidP="001C2CCB">
      <w:pPr>
        <w:pStyle w:val="ListParagraph"/>
        <w:spacing w:after="0" w:line="360" w:lineRule="auto"/>
        <w:ind w:left="108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eastAsia="Times New Roman" w:hAnsi="Times New Roman" w:cs="Times New Roman"/>
          <w:sz w:val="24"/>
          <w:szCs w:val="24"/>
        </w:rPr>
        <w:t xml:space="preserve">These accords with the provisions of Article V of the New York Convention which provides the circumstances under which recognition and enforcement of an award may be refused, at the request of the party against whom it is invoked. </w:t>
      </w:r>
      <w:r w:rsidRPr="00944EB8">
        <w:rPr>
          <w:rFonts w:ascii="Times New Roman" w:hAnsi="Times New Roman" w:cs="Times New Roman"/>
          <w:sz w:val="24"/>
          <w:szCs w:val="24"/>
        </w:rPr>
        <w:t>A similar provision is contained in other national arbitral legislations such as section 103(2) of the English Arbitration Act 1996.</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As Akpata &amp; Adegbonmire (2019) correctly note, there is a difference between setting aside an award which can only be done at the courts of the seat of the arbitration and which must be done in accordance with the law of the seat on setting aside on the one hand; and the procedure of resisting enforcement of an award which is done at the courts of the place where enforcement is sought and which is governed by the law of the place of enforcement, on the other hand. Regrettably, this is a difference that the courts in Nigeria have missed on at least one occasion and thereby conflated the two procedures.</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In the case of </w:t>
      </w:r>
      <w:r w:rsidRPr="00944EB8">
        <w:rPr>
          <w:rFonts w:ascii="Times New Roman" w:hAnsi="Times New Roman" w:cs="Times New Roman"/>
          <w:b/>
          <w:bCs/>
          <w:i/>
          <w:iCs/>
          <w:sz w:val="24"/>
          <w:szCs w:val="24"/>
        </w:rPr>
        <w:t>North Pole Navigation Co. Ltd v. Milan (Nig) Ltd (2015) LPELR-25865(CA)</w:t>
      </w:r>
      <w:r w:rsidRPr="00944EB8">
        <w:rPr>
          <w:rFonts w:ascii="Times New Roman" w:hAnsi="Times New Roman" w:cs="Times New Roman"/>
          <w:sz w:val="24"/>
          <w:szCs w:val="24"/>
        </w:rPr>
        <w:t xml:space="preserve">, the parties had entered into an agreement with an arbitration clause which required that a dispute between them shall be resolved by a London seated arbitration in accordance with the London Maritime Arbitration Terms. The parties agreed that the tribunal shall consist of three arbitrators, with each party appointing one arbitrator each and the two </w:t>
      </w:r>
      <w:proofErr w:type="gramStart"/>
      <w:r w:rsidRPr="00944EB8">
        <w:rPr>
          <w:rFonts w:ascii="Times New Roman" w:hAnsi="Times New Roman" w:cs="Times New Roman"/>
          <w:sz w:val="24"/>
          <w:szCs w:val="24"/>
        </w:rPr>
        <w:t>party</w:t>
      </w:r>
      <w:proofErr w:type="gramEnd"/>
      <w:r w:rsidRPr="00944EB8">
        <w:rPr>
          <w:rFonts w:ascii="Times New Roman" w:hAnsi="Times New Roman" w:cs="Times New Roman"/>
          <w:sz w:val="24"/>
          <w:szCs w:val="24"/>
        </w:rPr>
        <w:t xml:space="preserve"> appointed arbitrators to jointly appoint the third arbitrator. Strangely, the two party-appointed arbitrators did not appoint the third arbitrator but proceeded to determine the reference and thereafter delivered their award. When the appellant attempted to register and enforce the award in Nigeria, the respondent contested the application and the Federal High Court upheld the objection and refused the enforcement of the award on grounds that the arbitrators breached the arbitration agreement and the Tribunal was not properly constituted and therefore lacked jurisdiction. Aggrieved with that decision, the appellant appealed to the Court of Appeal.</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The Court of Appeal allowed the appeal and set aside the decision of the Federal High Court. Part of the basis for the decision by the Court of Appeal to allow the appeal was that </w:t>
      </w:r>
      <w:r w:rsidRPr="00944EB8">
        <w:rPr>
          <w:rFonts w:ascii="Times New Roman" w:hAnsi="Times New Roman" w:cs="Times New Roman"/>
          <w:sz w:val="24"/>
          <w:szCs w:val="24"/>
        </w:rPr>
        <w:lastRenderedPageBreak/>
        <w:t>the respondent ought to have brought set-aside proceedings in London, being the seat of the arbitration rather than in Nigeria and therefore the Nigerian Court had no jurisdiction to determine whether the tribunal was validly constituted. While this decision would have been applauded by the Nigerian arbitration community as representing the court’s favourable attitude to the practice of commercial arbitration in Nigeria, a closer scrutiny of the judgment will reveal that the decision was not correctly decided.</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Indeed, the decision by the Nigerian Court of Appeal that the respondent ought to have applied to set aside the award at the seat sharply contrasts with the decision of the UK Supreme Court in the case of </w:t>
      </w:r>
      <w:r w:rsidRPr="00944EB8">
        <w:rPr>
          <w:rFonts w:ascii="Times New Roman" w:hAnsi="Times New Roman" w:cs="Times New Roman"/>
          <w:b/>
          <w:bCs/>
          <w:i/>
          <w:iCs/>
          <w:sz w:val="24"/>
          <w:szCs w:val="24"/>
        </w:rPr>
        <w:t>Dallah Real Estate and Tourism Holding Company v The Ministry of Religious Affairs, Government of Pakistan [2010] UKSC 46</w:t>
      </w:r>
      <w:r w:rsidRPr="00944EB8">
        <w:rPr>
          <w:rFonts w:ascii="Times New Roman" w:hAnsi="Times New Roman" w:cs="Times New Roman"/>
          <w:b/>
          <w:bCs/>
          <w:sz w:val="24"/>
          <w:szCs w:val="24"/>
        </w:rPr>
        <w:t xml:space="preserve"> </w:t>
      </w:r>
      <w:r w:rsidRPr="00944EB8">
        <w:rPr>
          <w:rFonts w:ascii="Times New Roman" w:hAnsi="Times New Roman" w:cs="Times New Roman"/>
          <w:sz w:val="24"/>
          <w:szCs w:val="24"/>
        </w:rPr>
        <w:t>particularly the dicta of Lord Mance (paragraph 28) and Lord Collins (paragraph 103) that there is nothing in the [New York] Convention which imposes an obligation on a party seeking to resist an award on the ground of the non-existence of an arbitration agreement to challenge the award before the courts of the seat.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944EB8">
        <w:rPr>
          <w:rFonts w:ascii="Times New Roman" w:hAnsi="Times New Roman" w:cs="Times New Roman"/>
          <w:sz w:val="24"/>
          <w:szCs w:val="24"/>
        </w:rPr>
        <w:t xml:space="preserve">It is also ironic that, after deciding that English law was the governing law, being the law of the seat, the Court of Appeal nevertheless relied on the provisions of the Nigerian Arbitration and Conciliation Act, which provides a time limit for applying to set aside an arbitral award, in concluding that the Federal High Court erred in law in declining jurisdiction. It is also difficult to follow the position of the Nigerian Court of Appeal that in English law, a party is estopped from challenging an award having not done so under the law applicable or the law that governed the arbitration proceedings and within the time allowed when the UK Supreme Court arrived at the exact opposite conclusion in the </w:t>
      </w:r>
      <w:r w:rsidRPr="00944EB8">
        <w:rPr>
          <w:rFonts w:ascii="Times New Roman" w:hAnsi="Times New Roman" w:cs="Times New Roman"/>
          <w:b/>
          <w:bCs/>
          <w:i/>
          <w:iCs/>
          <w:sz w:val="24"/>
          <w:szCs w:val="24"/>
        </w:rPr>
        <w:t>Dallah</w:t>
      </w:r>
      <w:r w:rsidRPr="00944EB8">
        <w:rPr>
          <w:rFonts w:ascii="Times New Roman" w:hAnsi="Times New Roman" w:cs="Times New Roman"/>
          <w:sz w:val="24"/>
          <w:szCs w:val="24"/>
        </w:rPr>
        <w:t xml:space="preserve"> case above and held unequivocally that a party is not precluded from relying on a given defence in the enforcement proceedings even if it failed to bring the same defence in an action to set aside the award at the seat.</w:t>
      </w:r>
    </w:p>
    <w:p w:rsidR="001C2CCB" w:rsidRDefault="001C2CCB" w:rsidP="001C2CCB">
      <w:pPr>
        <w:pStyle w:val="ListParagraph"/>
        <w:spacing w:line="360" w:lineRule="auto"/>
        <w:ind w:left="540"/>
        <w:jc w:val="both"/>
        <w:rPr>
          <w:rFonts w:ascii="Times New Roman" w:eastAsia="Times New Roman" w:hAnsi="Times New Roman" w:cs="Times New Roman"/>
          <w:sz w:val="24"/>
          <w:szCs w:val="24"/>
        </w:rPr>
      </w:pPr>
    </w:p>
    <w:p w:rsidR="001C2CCB" w:rsidRDefault="001C2CCB" w:rsidP="001C2CCB">
      <w:pPr>
        <w:pStyle w:val="ListParagraph"/>
        <w:spacing w:line="360" w:lineRule="auto"/>
        <w:ind w:left="540"/>
        <w:jc w:val="both"/>
        <w:rPr>
          <w:rFonts w:ascii="Times New Roman" w:eastAsia="Times New Roman" w:hAnsi="Times New Roman" w:cs="Times New Roman"/>
          <w:sz w:val="24"/>
          <w:szCs w:val="24"/>
        </w:rPr>
      </w:pPr>
    </w:p>
    <w:p w:rsidR="001C2CCB" w:rsidRDefault="001C2CCB" w:rsidP="001C2CCB">
      <w:pPr>
        <w:pStyle w:val="ListParagraph"/>
        <w:spacing w:line="360" w:lineRule="auto"/>
        <w:ind w:left="540"/>
        <w:jc w:val="both"/>
        <w:rPr>
          <w:rFonts w:ascii="Times New Roman" w:eastAsia="Times New Roman" w:hAnsi="Times New Roman" w:cs="Times New Roman"/>
          <w:sz w:val="24"/>
          <w:szCs w:val="24"/>
        </w:rPr>
      </w:pPr>
    </w:p>
    <w:p w:rsidR="001C2CCB" w:rsidRPr="006B49D2" w:rsidRDefault="001C2CCB" w:rsidP="001C2CCB">
      <w:pPr>
        <w:spacing w:line="360" w:lineRule="auto"/>
        <w:jc w:val="both"/>
        <w:rPr>
          <w:rFonts w:ascii="Times New Roman" w:hAnsi="Times New Roman" w:cs="Times New Roman"/>
          <w:sz w:val="24"/>
          <w:szCs w:val="24"/>
        </w:rPr>
      </w:pPr>
    </w:p>
    <w:p w:rsidR="001C2CCB" w:rsidRPr="006B49D2" w:rsidRDefault="001C2CCB" w:rsidP="001C2CCB">
      <w:pPr>
        <w:pStyle w:val="Heading2"/>
        <w:numPr>
          <w:ilvl w:val="1"/>
          <w:numId w:val="26"/>
        </w:numPr>
      </w:pPr>
      <w:bookmarkStart w:id="81" w:name="_Toc80808291"/>
      <w:r w:rsidRPr="006B49D2">
        <w:lastRenderedPageBreak/>
        <w:t>C</w:t>
      </w:r>
      <w:r>
        <w:t>onclusion</w:t>
      </w:r>
      <w:bookmarkEnd w:id="81"/>
    </w:p>
    <w:p w:rsidR="001C2CCB" w:rsidRPr="00944EB8" w:rsidRDefault="001C2CCB" w:rsidP="001C2CC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chapter has discussed the findings by dealing </w:t>
      </w:r>
      <w:r w:rsidRPr="00944EB8">
        <w:rPr>
          <w:rFonts w:ascii="Times New Roman" w:hAnsi="Times New Roman" w:cs="Times New Roman"/>
          <w:sz w:val="24"/>
          <w:szCs w:val="24"/>
        </w:rPr>
        <w:t xml:space="preserve">with the provisions of the Nigerian Arbitration and Conciliation Act which outlines the circumstances under which the courts can intervene in the arbitral process to ensure its effectiveness. </w:t>
      </w:r>
      <w:r>
        <w:rPr>
          <w:rFonts w:ascii="Times New Roman" w:hAnsi="Times New Roman" w:cs="Times New Roman"/>
          <w:sz w:val="24"/>
          <w:szCs w:val="24"/>
        </w:rPr>
        <w:t xml:space="preserve">The chapter </w:t>
      </w:r>
      <w:r w:rsidRPr="00944EB8">
        <w:rPr>
          <w:rFonts w:ascii="Times New Roman" w:hAnsi="Times New Roman" w:cs="Times New Roman"/>
          <w:sz w:val="24"/>
          <w:szCs w:val="24"/>
        </w:rPr>
        <w:t xml:space="preserve">considered the provisions which deal with judicial intervention at the stage of </w:t>
      </w:r>
      <w:r w:rsidRPr="00944EB8">
        <w:rPr>
          <w:rFonts w:ascii="Times New Roman" w:eastAsiaTheme="minorHAnsi" w:hAnsi="Times New Roman" w:cs="Times New Roman"/>
          <w:sz w:val="24"/>
          <w:szCs w:val="24"/>
        </w:rPr>
        <w:t xml:space="preserve">initiation of arbitration proceedings, some of which unfortunately impede the arbitral process, </w:t>
      </w:r>
      <w:r>
        <w:rPr>
          <w:rFonts w:ascii="Times New Roman" w:eastAsiaTheme="minorHAnsi" w:hAnsi="Times New Roman" w:cs="Times New Roman"/>
          <w:sz w:val="24"/>
          <w:szCs w:val="24"/>
        </w:rPr>
        <w:t>as well as those</w:t>
      </w:r>
      <w:r w:rsidRPr="00944EB8">
        <w:rPr>
          <w:rFonts w:ascii="Times New Roman" w:eastAsiaTheme="minorHAnsi" w:hAnsi="Times New Roman" w:cs="Times New Roman"/>
          <w:sz w:val="24"/>
          <w:szCs w:val="24"/>
        </w:rPr>
        <w:t xml:space="preserve"> provisions of the Act on judicial intervention at the stage of the arbitration proceedings which essentially refers to the power of the courts to issue necessary court orders to compel the attendance of witnesses which is beyond the remit or arbitrators who are after all private persons</w:t>
      </w:r>
      <w:r>
        <w:rPr>
          <w:rFonts w:ascii="Times New Roman" w:eastAsiaTheme="minorHAnsi" w:hAnsi="Times New Roman" w:cs="Times New Roman"/>
          <w:sz w:val="24"/>
          <w:szCs w:val="24"/>
        </w:rPr>
        <w:t xml:space="preserve">. These provisions </w:t>
      </w:r>
      <w:r w:rsidRPr="00944EB8">
        <w:rPr>
          <w:rFonts w:ascii="Times New Roman" w:eastAsiaTheme="minorHAnsi" w:hAnsi="Times New Roman" w:cs="Times New Roman"/>
          <w:sz w:val="24"/>
          <w:szCs w:val="24"/>
        </w:rPr>
        <w:t>are largely positive and inevitable if the arbitral process is to achieve its overriding objectives. The chapter also dealt with the powers of the courts after an award has been rendered to set aside such award on the narrow grounds provided for in the Act and the all-important duty to recognise and enforce an award subject only to the circumstances in the Act under which a party can successfully resist the enforcement of an award. Despite the overall positive outlook of these provisions, this chapter has also highlighted the provisions of the Act that require urgent review as well as the areas where the courts need to do better. These will be fully explored in the last chapter</w:t>
      </w:r>
      <w:r>
        <w:rPr>
          <w:rFonts w:ascii="Times New Roman" w:eastAsiaTheme="minorHAnsi" w:hAnsi="Times New Roman" w:cs="Times New Roman"/>
          <w:sz w:val="24"/>
          <w:szCs w:val="24"/>
        </w:rPr>
        <w:t xml:space="preserve"> which proffers workable recommendations and concludes the research</w:t>
      </w:r>
      <w:r w:rsidRPr="00944EB8">
        <w:rPr>
          <w:rFonts w:ascii="Times New Roman" w:eastAsiaTheme="minorHAnsi" w:hAnsi="Times New Roman" w:cs="Times New Roman"/>
          <w:sz w:val="24"/>
          <w:szCs w:val="24"/>
        </w:rPr>
        <w:t>.</w:t>
      </w:r>
    </w:p>
    <w:p w:rsidR="001C2CCB" w:rsidRPr="00944EB8" w:rsidRDefault="001C2CCB" w:rsidP="001C2CCB">
      <w:pPr>
        <w:pStyle w:val="ListParagraph"/>
        <w:spacing w:line="360" w:lineRule="auto"/>
        <w:ind w:left="540"/>
        <w:jc w:val="both"/>
        <w:rPr>
          <w:rFonts w:ascii="Times New Roman" w:hAnsi="Times New Roman" w:cs="Times New Roman"/>
          <w:sz w:val="24"/>
          <w:szCs w:val="24"/>
        </w:rPr>
      </w:pPr>
    </w:p>
    <w:p w:rsidR="001C2CCB" w:rsidRPr="00944EB8" w:rsidRDefault="001C2CCB" w:rsidP="001C2CCB">
      <w:pPr>
        <w:spacing w:before="0"/>
        <w:rPr>
          <w:rFonts w:ascii="Times New Roman" w:eastAsiaTheme="majorEastAsia" w:hAnsi="Times New Roman" w:cs="Times New Roman"/>
          <w:b/>
          <w:bCs/>
          <w:sz w:val="24"/>
          <w:szCs w:val="28"/>
          <w:lang w:val="en-GB"/>
        </w:rPr>
      </w:pPr>
      <w:r w:rsidRPr="00944EB8">
        <w:rPr>
          <w:rFonts w:ascii="Times New Roman" w:hAnsi="Times New Roman" w:cs="Times New Roman"/>
        </w:rPr>
        <w:br w:type="page"/>
      </w:r>
    </w:p>
    <w:p w:rsidR="001C2CCB" w:rsidRPr="00944EB8" w:rsidRDefault="001C2CCB" w:rsidP="001C2CCB">
      <w:pPr>
        <w:pStyle w:val="Heading1"/>
        <w:numPr>
          <w:ilvl w:val="0"/>
          <w:numId w:val="26"/>
        </w:numPr>
        <w:jc w:val="center"/>
        <w:rPr>
          <w:rFonts w:cs="Times New Roman"/>
          <w:color w:val="auto"/>
        </w:rPr>
      </w:pPr>
      <w:bookmarkStart w:id="82" w:name="_Toc80808292"/>
      <w:r w:rsidRPr="00944EB8">
        <w:rPr>
          <w:rFonts w:cs="Times New Roman"/>
          <w:color w:val="auto"/>
        </w:rPr>
        <w:lastRenderedPageBreak/>
        <w:t xml:space="preserve">CHAPTER </w:t>
      </w:r>
      <w:r>
        <w:rPr>
          <w:rFonts w:cs="Times New Roman"/>
          <w:color w:val="auto"/>
        </w:rPr>
        <w:t>SIX</w:t>
      </w:r>
      <w:bookmarkEnd w:id="82"/>
    </w:p>
    <w:p w:rsidR="001C2CCB" w:rsidRPr="00944EB8" w:rsidRDefault="001C2CCB" w:rsidP="001C2CCB">
      <w:pPr>
        <w:pStyle w:val="Heading2"/>
        <w:numPr>
          <w:ilvl w:val="1"/>
          <w:numId w:val="26"/>
        </w:numPr>
        <w:jc w:val="center"/>
        <w:rPr>
          <w:rFonts w:eastAsiaTheme="minorHAnsi" w:cs="Times New Roman"/>
          <w:color w:val="auto"/>
        </w:rPr>
      </w:pPr>
      <w:bookmarkStart w:id="83" w:name="_Toc80808293"/>
      <w:r w:rsidRPr="00944EB8">
        <w:rPr>
          <w:rFonts w:eastAsiaTheme="minorHAnsi" w:cs="Times New Roman"/>
          <w:color w:val="auto"/>
        </w:rPr>
        <w:t>CONCLUSION AND RECOMMENDATIONS</w:t>
      </w:r>
      <w:bookmarkEnd w:id="83"/>
    </w:p>
    <w:p w:rsidR="001C2CCB" w:rsidRPr="00944EB8" w:rsidRDefault="001C2CCB" w:rsidP="001C2CCB">
      <w:pPr>
        <w:pStyle w:val="ListParagraph"/>
        <w:spacing w:before="0" w:after="0" w:line="360" w:lineRule="auto"/>
        <w:ind w:left="540"/>
        <w:jc w:val="both"/>
        <w:rPr>
          <w:rFonts w:ascii="Times New Roman" w:hAnsi="Times New Roman" w:cs="Times New Roman"/>
          <w:sz w:val="32"/>
          <w:szCs w:val="32"/>
        </w:rPr>
      </w:pPr>
    </w:p>
    <w:p w:rsidR="001C2CCB" w:rsidRPr="00944EB8" w:rsidRDefault="001C2CCB" w:rsidP="001C2CCB">
      <w:pPr>
        <w:pStyle w:val="Heading2"/>
        <w:numPr>
          <w:ilvl w:val="2"/>
          <w:numId w:val="26"/>
        </w:numPr>
        <w:spacing w:before="0"/>
        <w:rPr>
          <w:rFonts w:cs="Times New Roman"/>
          <w:color w:val="auto"/>
        </w:rPr>
      </w:pPr>
      <w:bookmarkStart w:id="84" w:name="_Toc80808294"/>
      <w:r w:rsidRPr="00944EB8">
        <w:rPr>
          <w:rFonts w:cs="Times New Roman"/>
          <w:color w:val="auto"/>
        </w:rPr>
        <w:t>Overview</w:t>
      </w:r>
      <w:bookmarkEnd w:id="84"/>
    </w:p>
    <w:p w:rsidR="001C2CCB" w:rsidRPr="00944EB8" w:rsidRDefault="001C2CCB" w:rsidP="001C2CCB">
      <w:pPr>
        <w:tabs>
          <w:tab w:val="left" w:pos="540"/>
        </w:tabs>
        <w:spacing w:before="0" w:after="0" w:line="360" w:lineRule="auto"/>
        <w:jc w:val="both"/>
        <w:rPr>
          <w:rFonts w:ascii="Times New Roman" w:hAnsi="Times New Roman" w:cs="Times New Roman"/>
          <w:sz w:val="24"/>
          <w:szCs w:val="24"/>
        </w:rPr>
      </w:pPr>
    </w:p>
    <w:p w:rsidR="001C2CCB" w:rsidRPr="00944EB8" w:rsidRDefault="001C2CCB" w:rsidP="001C2CCB">
      <w:pPr>
        <w:pStyle w:val="ListParagraph"/>
        <w:numPr>
          <w:ilvl w:val="0"/>
          <w:numId w:val="34"/>
        </w:numPr>
        <w:tabs>
          <w:tab w:val="left" w:pos="540"/>
        </w:tabs>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 xml:space="preserve">This research set out to provide a comprehensive analysis of the concept of judicial intervention in the arbitral process from a Nigerian law perspective. Specifically, the research aimed to interrogate the correct extent to which national courts can, under applicable law, intervene or intercede in the arbitral process so as to facilitate rather than inhibit the process. The background to the study was the realisation that despite the well documented successes of international commercial arbitration as a means of dispute resolution especially those arising from cross border transactions, one recurring controversy has been the question of the necessity or otherwise of the intervention of national courts in the arbitral process. For this and other reasons, the research aimed to identify descriptive solutions for the conceptual and practical challenges that Nigerian judges confront when presented with actions that can potentially affect the practice of arbitration. </w:t>
      </w:r>
    </w:p>
    <w:p w:rsidR="001C2CCB" w:rsidRPr="00944EB8" w:rsidRDefault="001C2CCB" w:rsidP="001C2CCB">
      <w:pPr>
        <w:pStyle w:val="ListParagraph"/>
        <w:tabs>
          <w:tab w:val="left" w:pos="540"/>
        </w:tabs>
        <w:spacing w:before="0" w:after="0" w:line="360" w:lineRule="auto"/>
        <w:ind w:left="450"/>
        <w:jc w:val="both"/>
        <w:rPr>
          <w:rFonts w:ascii="Times New Roman" w:hAnsi="Times New Roman" w:cs="Times New Roman"/>
          <w:sz w:val="24"/>
          <w:szCs w:val="24"/>
        </w:rPr>
      </w:pPr>
    </w:p>
    <w:p w:rsidR="001C2CCB" w:rsidRPr="00944EB8" w:rsidRDefault="001C2CCB" w:rsidP="001C2CCB">
      <w:pPr>
        <w:pStyle w:val="ListParagraph"/>
        <w:numPr>
          <w:ilvl w:val="0"/>
          <w:numId w:val="34"/>
        </w:numPr>
        <w:tabs>
          <w:tab w:val="left" w:pos="540"/>
        </w:tabs>
        <w:spacing w:before="0" w:after="0" w:line="360" w:lineRule="auto"/>
        <w:jc w:val="both"/>
        <w:rPr>
          <w:rFonts w:ascii="Times New Roman" w:hAnsi="Times New Roman" w:cs="Times New Roman"/>
          <w:sz w:val="24"/>
          <w:szCs w:val="24"/>
        </w:rPr>
      </w:pPr>
      <w:r w:rsidRPr="00944EB8">
        <w:rPr>
          <w:rFonts w:ascii="Times New Roman" w:hAnsi="Times New Roman" w:cs="Times New Roman"/>
          <w:sz w:val="24"/>
          <w:szCs w:val="24"/>
        </w:rPr>
        <w:t>Some of the specific questions that the research set for itself were to determine the overall attitude of Nigerian courts to the question of party autonomy and the necessity or otherwise of judicial intervention in the arbitral process; to highlight the relevant provisions of the Nigerian Arbitration and Conciliation Act relating to the question of judicial intervention in the arbitral process; and to determine to what extent the current Nigerian arbitration legal framework is a barrier to the observance of the doctrine of non-intervention of national courts in the arbitral process and the prospects for reform. In this concluding chapter, these questions will be answered while workable recommendations will also be proffered.</w:t>
      </w:r>
    </w:p>
    <w:p w:rsidR="001C2CCB" w:rsidRPr="00944EB8" w:rsidRDefault="001C2CCB" w:rsidP="001C2CCB">
      <w:pPr>
        <w:pStyle w:val="Heading2"/>
        <w:numPr>
          <w:ilvl w:val="1"/>
          <w:numId w:val="26"/>
        </w:numPr>
        <w:rPr>
          <w:rFonts w:cs="Times New Roman"/>
          <w:color w:val="auto"/>
        </w:rPr>
      </w:pPr>
      <w:bookmarkStart w:id="85" w:name="_Toc80808295"/>
      <w:r w:rsidRPr="00944EB8">
        <w:rPr>
          <w:rFonts w:cs="Times New Roman"/>
          <w:color w:val="auto"/>
        </w:rPr>
        <w:t>Recommendations</w:t>
      </w:r>
      <w:bookmarkEnd w:id="85"/>
    </w:p>
    <w:p w:rsidR="001C2CCB" w:rsidRPr="00944EB8" w:rsidRDefault="001C2CCB" w:rsidP="001C2CCB">
      <w:pPr>
        <w:pStyle w:val="ListParagraph"/>
        <w:spacing w:line="360" w:lineRule="auto"/>
        <w:ind w:left="540"/>
        <w:jc w:val="both"/>
        <w:rPr>
          <w:rFonts w:ascii="Times New Roman" w:hAnsi="Times New Roman" w:cs="Times New Roman"/>
          <w:sz w:val="32"/>
          <w:szCs w:val="32"/>
        </w:rPr>
      </w:pPr>
    </w:p>
    <w:p w:rsidR="001C2CCB" w:rsidRPr="00944EB8" w:rsidRDefault="001C2CCB" w:rsidP="001C2CCB">
      <w:pPr>
        <w:pStyle w:val="ListParagraph"/>
        <w:numPr>
          <w:ilvl w:val="0"/>
          <w:numId w:val="34"/>
        </w:numPr>
        <w:spacing w:line="360" w:lineRule="auto"/>
        <w:jc w:val="both"/>
        <w:rPr>
          <w:rFonts w:ascii="Times New Roman" w:hAnsi="Times New Roman" w:cs="Times New Roman"/>
          <w:sz w:val="32"/>
          <w:szCs w:val="32"/>
        </w:rPr>
      </w:pPr>
      <w:r w:rsidRPr="00944EB8">
        <w:rPr>
          <w:rFonts w:ascii="Times New Roman" w:hAnsi="Times New Roman" w:cs="Times New Roman"/>
          <w:sz w:val="24"/>
          <w:szCs w:val="24"/>
        </w:rPr>
        <w:t xml:space="preserve">In light of all that has been said above, </w:t>
      </w:r>
      <w:r>
        <w:rPr>
          <w:rFonts w:ascii="Times New Roman" w:hAnsi="Times New Roman" w:cs="Times New Roman"/>
          <w:sz w:val="24"/>
          <w:szCs w:val="24"/>
        </w:rPr>
        <w:t xml:space="preserve">and particularly in view of the analysis of the responses to the interview questionnaires, </w:t>
      </w:r>
      <w:r w:rsidRPr="00944EB8">
        <w:rPr>
          <w:rFonts w:ascii="Times New Roman" w:hAnsi="Times New Roman" w:cs="Times New Roman"/>
          <w:sz w:val="24"/>
          <w:szCs w:val="24"/>
        </w:rPr>
        <w:t xml:space="preserve">it is not difficult to predict that the first step </w:t>
      </w:r>
      <w:r w:rsidRPr="00944EB8">
        <w:rPr>
          <w:rFonts w:ascii="Times New Roman" w:hAnsi="Times New Roman" w:cs="Times New Roman"/>
          <w:sz w:val="24"/>
          <w:szCs w:val="24"/>
        </w:rPr>
        <w:lastRenderedPageBreak/>
        <w:t>towards the improvement of the arbitration system in Nigeria lies in legislative reform. It is for this reason that the central recommendation of this work is the need for an effective and modern Arbitration and Conciliation Act. Although Nigeria operates a federal system of government and all the States of the Federation are in principle empowered to enact their arbitration legislations, in practice only progressive States like Lagos State have indeed enacted theirs. Consequently, an overwhelming majority of the arbitrations seated in Nigeria are conducted in accordance with the provisions of the Arbitration and Conciliation Act. The last the Act was reformed was in 1988, 33 years ago! In a fast-changing world, this is not tenable.</w:t>
      </w:r>
    </w:p>
    <w:p w:rsidR="001C2CCB" w:rsidRPr="00A36331" w:rsidRDefault="001C2CCB" w:rsidP="001C2CCB">
      <w:pPr>
        <w:pStyle w:val="ListParagraph"/>
        <w:spacing w:line="360" w:lineRule="auto"/>
        <w:ind w:left="540"/>
        <w:jc w:val="both"/>
        <w:rPr>
          <w:rFonts w:ascii="Times New Roman" w:hAnsi="Times New Roman" w:cs="Times New Roman"/>
          <w:sz w:val="32"/>
          <w:szCs w:val="32"/>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Incidentally, an Arbitration and Conciliation Act (Repeal and Re-enactment) Bill has been pending before the Nigerian National Assembly since 2017. As Bamgbose (2020) correctly noted, the Bill was passed by the Nigerian Senate on 1 April 2018 but because Nigeria operates a bicameral legislative system at the Federal level, the House of Representatives were also supposed to pass the Bill before it is transmitted to the President for assent. To date, the Bill still awaits the concurrent passage by the House of Representatives. Consequently, all hands must be on deck to ensure that the Bill is passed and signed into law by the current administration before their tenure runs out in 2023.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One of the major issues that the Bill must address before its passage and eventual signing into law is to minimise the incidents of judicial intervention in the Act and reduce the instances where the Act allows the court to interfere in the arbitral process. As previously mentioned, a number of the provisions of the Act provide legislative imprimatur for the intervention of the national courts in the arbitral process. Those sections need to be amended or deleted entirely from the Act. </w:t>
      </w:r>
    </w:p>
    <w:p w:rsidR="001C2CCB"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One critical thing that the new Arbitration Act must do is to expressly recognise arbitral institutions and to provide that in cases of default in constituting arbitral tribunals, the institutions will serve as the appointing authority. Under such circumstances, where a party fails to appoint the arbitrator within thirty days of receipt of a request to do so by the other party or where the two party-appointed arbitrators fail to agree on the third arbitrator to </w:t>
      </w:r>
      <w:r w:rsidRPr="00944EB8">
        <w:rPr>
          <w:rFonts w:ascii="Times New Roman" w:hAnsi="Times New Roman" w:cs="Times New Roman"/>
          <w:sz w:val="24"/>
          <w:szCs w:val="24"/>
        </w:rPr>
        <w:lastRenderedPageBreak/>
        <w:t xml:space="preserve">preside within thirty days of their appointments, the appointment shall be made by the arbitral institution on the application of any party to the arbitration agreement. Similarly, the power of the relevant arbitral institutions will extend to making appointments to replace an arbitrator who resigns or is removed following a challenge to his neutrality. The current practice where the courts act as default appointing authority constitutes a significant stumbling block to the practice of commercial arbitration in Nigeria. </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The Arbitration and Conciliation Act must also provide clarification regarding some of provisions of the Act that require clarification such as a description of the actions that constitute arbitrator misconduct and those that qualify as improper procurement of arbitration proceedings and arbitration agreement. Thankfully, the UNCITRAL Model Law is readily available to provide a guide. Significantly too, the Act must streamline the conditions for setting aside an arbitral award into one section and make it clear that the three months’ time limit for bringing set aside applications apply to all applications irrespective of the grounds on which they are brought. </w:t>
      </w:r>
    </w:p>
    <w:p w:rsidR="001C2CCB" w:rsidRPr="00944EB8" w:rsidRDefault="001C2CCB" w:rsidP="001C2CCB">
      <w:pPr>
        <w:pStyle w:val="ListParagraph"/>
        <w:rPr>
          <w:rFonts w:ascii="Times New Roman" w:hAnsi="Times New Roman" w:cs="Times New Roman"/>
          <w:sz w:val="24"/>
          <w:szCs w:val="24"/>
        </w:rPr>
      </w:pPr>
    </w:p>
    <w:p w:rsidR="001C2CCB" w:rsidRPr="00E065CD" w:rsidRDefault="001C2CCB" w:rsidP="001C2CCB">
      <w:pPr>
        <w:pStyle w:val="ListParagraph"/>
        <w:numPr>
          <w:ilvl w:val="0"/>
          <w:numId w:val="34"/>
        </w:numPr>
        <w:spacing w:line="360" w:lineRule="auto"/>
        <w:ind w:left="540" w:hanging="540"/>
        <w:jc w:val="both"/>
        <w:rPr>
          <w:rFonts w:ascii="Times New Roman" w:hAnsi="Times New Roman" w:cs="Times New Roman"/>
          <w:sz w:val="32"/>
          <w:szCs w:val="32"/>
        </w:rPr>
      </w:pPr>
      <w:r w:rsidRPr="00944EB8">
        <w:rPr>
          <w:rFonts w:ascii="Times New Roman" w:hAnsi="Times New Roman" w:cs="Times New Roman"/>
          <w:sz w:val="24"/>
          <w:szCs w:val="24"/>
        </w:rPr>
        <w:t xml:space="preserve">A reading of the Arbitration and Conciliation Bill shows that it has addressed the mischief occasioned by the Supreme Court in the </w:t>
      </w:r>
      <w:r w:rsidRPr="00944EB8">
        <w:rPr>
          <w:rFonts w:ascii="Times New Roman" w:hAnsi="Times New Roman" w:cs="Times New Roman"/>
          <w:i/>
          <w:iCs/>
          <w:sz w:val="24"/>
          <w:szCs w:val="24"/>
        </w:rPr>
        <w:t>City Engineering</w:t>
      </w:r>
      <w:r w:rsidRPr="00944EB8">
        <w:rPr>
          <w:rFonts w:ascii="Times New Roman" w:hAnsi="Times New Roman" w:cs="Times New Roman"/>
          <w:sz w:val="24"/>
          <w:szCs w:val="24"/>
        </w:rPr>
        <w:t xml:space="preserve"> case by adopting the drafting formula employed in the Lagos Arbitration Law by providing that for the purpose of computing the time limit for enforcing an arbitral award, the time between the commencement of the arbitration proceedings and the delivery of the award shall not be included. This is another reason why the National Assembly must be encouraged to speedily pass the Bill and transmit same to the President for assent.</w:t>
      </w:r>
      <w:r>
        <w:rPr>
          <w:rFonts w:ascii="Times New Roman" w:hAnsi="Times New Roman" w:cs="Times New Roman"/>
          <w:sz w:val="24"/>
          <w:szCs w:val="24"/>
        </w:rPr>
        <w:t xml:space="preserve"> </w:t>
      </w:r>
    </w:p>
    <w:p w:rsidR="001C2CCB" w:rsidRPr="00E065CD" w:rsidRDefault="001C2CCB" w:rsidP="001C2CCB">
      <w:pPr>
        <w:pStyle w:val="ListParagrap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E065CD">
        <w:rPr>
          <w:rFonts w:ascii="Times New Roman" w:hAnsi="Times New Roman" w:cs="Times New Roman"/>
          <w:sz w:val="24"/>
          <w:szCs w:val="24"/>
        </w:rPr>
        <w:t xml:space="preserve">One of the specific recommendations from the respondents of the </w:t>
      </w:r>
      <w:r w:rsidRPr="00E065CD">
        <w:rPr>
          <w:rFonts w:ascii="Times New Roman" w:hAnsi="Times New Roman" w:cs="Times New Roman"/>
          <w:color w:val="0E101A"/>
          <w:sz w:val="24"/>
          <w:szCs w:val="24"/>
        </w:rPr>
        <w:t xml:space="preserve">survey questions is the need to </w:t>
      </w:r>
      <w:r w:rsidRPr="00E065CD">
        <w:rPr>
          <w:rFonts w:ascii="Times New Roman" w:hAnsi="Times New Roman" w:cs="Times New Roman"/>
          <w:sz w:val="24"/>
          <w:szCs w:val="24"/>
        </w:rPr>
        <w:t>make adequate provision in the rules for expeditious and effective arbitration proceedings. The respondents also agree that Nigerian courts need to be more robust in their support of arbitration and look out for the tactics of certain parties and counsel who set out to thwart the arbitral process.</w:t>
      </w:r>
    </w:p>
    <w:p w:rsidR="001C2CCB" w:rsidRPr="00E065CD" w:rsidRDefault="001C2CCB" w:rsidP="001C2CCB">
      <w:pPr>
        <w:pStyle w:val="ListParagraph"/>
        <w:rPr>
          <w:rFonts w:ascii="Times New Roman" w:hAnsi="Times New Roman" w:cs="Times New Roman"/>
          <w:sz w:val="24"/>
          <w:szCs w:val="24"/>
        </w:rPr>
      </w:pPr>
    </w:p>
    <w:p w:rsidR="001C2CCB"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Indeed, the </w:t>
      </w:r>
      <w:r w:rsidRPr="00E065CD">
        <w:rPr>
          <w:rFonts w:ascii="Times New Roman" w:hAnsi="Times New Roman" w:cs="Times New Roman"/>
          <w:sz w:val="24"/>
          <w:szCs w:val="24"/>
        </w:rPr>
        <w:t xml:space="preserve">overall judicial attitude of Nigerian courts which favours arbitration practice is welcome and commendable. However, the courts are manned by human beings who are </w:t>
      </w:r>
      <w:r w:rsidRPr="00E065CD">
        <w:rPr>
          <w:rFonts w:ascii="Times New Roman" w:hAnsi="Times New Roman" w:cs="Times New Roman"/>
          <w:sz w:val="24"/>
          <w:szCs w:val="24"/>
        </w:rPr>
        <w:lastRenderedPageBreak/>
        <w:t>indeed of continuous improvement. To the best of my knowledge, there are no special periodic trainings for Nigerian judges which focus on arbitration and how the courts can support the system rather than inhibit it, in the same way as we have such annual programmes on areas like maritime law, Asset management and insolvency trainings etc. In this regard the various arbitral institutions in Nigeria are encouraged to partner with the National Judicial Institute to design and deliver such programme.</w:t>
      </w:r>
    </w:p>
    <w:p w:rsidR="001C2CCB" w:rsidRPr="002214DE" w:rsidRDefault="001C2CCB" w:rsidP="001C2CCB">
      <w:pPr>
        <w:pStyle w:val="ListParagraph"/>
        <w:rPr>
          <w:rFonts w:ascii="Times New Roman" w:hAnsi="Times New Roman" w:cs="Times New Roman"/>
          <w:sz w:val="24"/>
          <w:szCs w:val="24"/>
        </w:rPr>
      </w:pPr>
    </w:p>
    <w:p w:rsidR="001C2CCB" w:rsidRPr="00D131E3"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D131E3">
        <w:rPr>
          <w:rFonts w:ascii="Times New Roman" w:hAnsi="Times New Roman" w:cs="Times New Roman"/>
          <w:sz w:val="24"/>
          <w:szCs w:val="24"/>
        </w:rPr>
        <w:t xml:space="preserve">Another factor that emerged from the responses to the survey is the recognition that </w:t>
      </w:r>
      <w:r w:rsidRPr="00D131E3">
        <w:rPr>
          <w:rFonts w:ascii="Times New Roman" w:hAnsi="Times New Roman" w:cs="Times New Roman"/>
          <w:color w:val="0E101A"/>
          <w:sz w:val="24"/>
          <w:szCs w:val="24"/>
        </w:rPr>
        <w:t xml:space="preserve">a significant majority of arbitration practitioners in Nigeria lack formal education in the area of law and derive their knowledge and expertise either from attending courses or from self-development efforts. </w:t>
      </w:r>
      <w:r w:rsidRPr="00D131E3">
        <w:rPr>
          <w:rFonts w:ascii="Times New Roman" w:hAnsi="Times New Roman" w:cs="Times New Roman"/>
          <w:sz w:val="24"/>
          <w:szCs w:val="24"/>
        </w:rPr>
        <w:t xml:space="preserve">Because </w:t>
      </w:r>
      <w:r w:rsidRPr="00D131E3">
        <w:rPr>
          <w:rFonts w:ascii="Times New Roman" w:hAnsi="Times New Roman" w:cs="Times New Roman"/>
          <w:color w:val="0E101A"/>
          <w:sz w:val="24"/>
          <w:szCs w:val="24"/>
        </w:rPr>
        <w:t xml:space="preserve">Commercial Arbitration is for inexplicable reasons not studied in Nigerian Universities as a University course. It also partly explains the early aversion that Nigerian judges historically greet arbitration as a dispute resolution mechanism. </w:t>
      </w:r>
      <w:r w:rsidRPr="00D131E3">
        <w:rPr>
          <w:rFonts w:ascii="Times New Roman" w:hAnsi="Times New Roman" w:cs="Times New Roman"/>
          <w:sz w:val="24"/>
          <w:szCs w:val="24"/>
        </w:rPr>
        <w:t xml:space="preserve">It is </w:t>
      </w:r>
      <w:r>
        <w:rPr>
          <w:rFonts w:ascii="Times New Roman" w:hAnsi="Times New Roman" w:cs="Times New Roman"/>
          <w:sz w:val="24"/>
          <w:szCs w:val="24"/>
        </w:rPr>
        <w:t xml:space="preserve">therefore </w:t>
      </w:r>
      <w:r w:rsidRPr="00D131E3">
        <w:rPr>
          <w:rFonts w:ascii="Times New Roman" w:hAnsi="Times New Roman" w:cs="Times New Roman"/>
          <w:sz w:val="24"/>
          <w:szCs w:val="24"/>
        </w:rPr>
        <w:t>necessary for the Council of Legal Education, which is the body established under the Nigerian Legal Practitioners Act to introduce Commercial Arbitration as a first degree course in the Faculties of Law of Nigerian Universities.</w:t>
      </w:r>
    </w:p>
    <w:p w:rsidR="001C2CCB" w:rsidRDefault="001C2CCB" w:rsidP="001C2CCB">
      <w:pPr>
        <w:pStyle w:val="ListParagraph"/>
        <w:spacing w:line="360" w:lineRule="auto"/>
        <w:ind w:left="540"/>
        <w:jc w:val="both"/>
        <w:rPr>
          <w:rFonts w:ascii="Times New Roman" w:hAnsi="Times New Roman" w:cs="Times New Roman"/>
          <w:sz w:val="24"/>
          <w:szCs w:val="24"/>
        </w:rPr>
      </w:pPr>
    </w:p>
    <w:p w:rsidR="001C2CCB" w:rsidRPr="002214DE" w:rsidRDefault="001C2CCB" w:rsidP="001C2CCB">
      <w:pPr>
        <w:pStyle w:val="ListParagraph"/>
        <w:numPr>
          <w:ilvl w:val="0"/>
          <w:numId w:val="34"/>
        </w:numPr>
        <w:spacing w:line="360" w:lineRule="auto"/>
        <w:ind w:left="540" w:hanging="540"/>
        <w:jc w:val="both"/>
        <w:rPr>
          <w:rFonts w:ascii="Times New Roman" w:hAnsi="Times New Roman" w:cs="Times New Roman"/>
          <w:sz w:val="24"/>
          <w:szCs w:val="24"/>
        </w:rPr>
      </w:pPr>
      <w:r w:rsidRPr="002214DE">
        <w:rPr>
          <w:rFonts w:ascii="Times New Roman" w:hAnsi="Times New Roman" w:cs="Times New Roman"/>
          <w:sz w:val="24"/>
          <w:szCs w:val="24"/>
        </w:rPr>
        <w:t>Lastly, in addition to the courts, stakeholders such as the Office of the Attorney General of the Federation and that of the various States as well as the Nigerian Bar Association need to interface more regularly in ensuring the continued growth of the practice of commercial arbitration in Nigeria. It is gratifying that the current Attorney General of the Federation recently launched a National Arbitration Policy for Nigeria. A review of the Policy however reveals that it appears to have been borne out of the need to forestall unfavourable arbitral awards against Nigeria rather than any altruistic effort to genuinely develop the arbitration system in Nigeria. Constructive engagement with the office of the Attorney General of the Federation is required to ensure that the positive aspects of the National Arbitration Policy are adopted and implemented.</w:t>
      </w:r>
      <w:r w:rsidRPr="002214DE">
        <w:rPr>
          <w:rFonts w:ascii="Times New Roman" w:hAnsi="Times New Roman" w:cs="Times New Roman"/>
          <w:szCs w:val="24"/>
        </w:rPr>
        <w:br w:type="page"/>
      </w:r>
    </w:p>
    <w:p w:rsidR="001C2CCB" w:rsidRPr="00944EB8" w:rsidRDefault="001C2CCB" w:rsidP="001C2CCB">
      <w:pPr>
        <w:pStyle w:val="Heading1"/>
        <w:numPr>
          <w:ilvl w:val="0"/>
          <w:numId w:val="0"/>
        </w:numPr>
        <w:spacing w:before="0"/>
        <w:rPr>
          <w:rFonts w:cs="Times New Roman"/>
          <w:color w:val="auto"/>
          <w:szCs w:val="24"/>
        </w:rPr>
      </w:pPr>
      <w:bookmarkStart w:id="86" w:name="_Toc80808296"/>
      <w:r w:rsidRPr="00944EB8">
        <w:rPr>
          <w:rFonts w:cs="Times New Roman"/>
          <w:color w:val="auto"/>
          <w:szCs w:val="24"/>
        </w:rPr>
        <w:lastRenderedPageBreak/>
        <w:t>REFERENCES</w:t>
      </w:r>
      <w:bookmarkEnd w:id="86"/>
    </w:p>
    <w:p w:rsidR="001C2CCB" w:rsidRPr="00944EB8" w:rsidRDefault="001C2CCB" w:rsidP="001C2CCB">
      <w:pPr>
        <w:rPr>
          <w:rFonts w:ascii="Times New Roman" w:hAnsi="Times New Roman" w:cs="Times New Roman"/>
        </w:rPr>
      </w:pPr>
    </w:p>
    <w:p w:rsidR="001C2CCB" w:rsidRPr="00944EB8" w:rsidRDefault="001C2CCB" w:rsidP="001C2CCB">
      <w:pPr>
        <w:pStyle w:val="Bibliography"/>
        <w:numPr>
          <w:ilvl w:val="0"/>
          <w:numId w:val="5"/>
        </w:numPr>
        <w:spacing w:before="0"/>
        <w:jc w:val="both"/>
        <w:rPr>
          <w:rFonts w:ascii="Times New Roman" w:hAnsi="Times New Roman" w:cs="Times New Roman"/>
          <w:sz w:val="24"/>
          <w:szCs w:val="24"/>
        </w:rPr>
      </w:pPr>
      <w:r w:rsidRPr="00DA614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ZOTERO_BIBL {"uncited":[],"omitted":[],"custom":[]} CSL_BIBLIOGRAPHY </w:instrText>
      </w:r>
      <w:r w:rsidRPr="00DA6148">
        <w:rPr>
          <w:rFonts w:ascii="Times New Roman" w:hAnsi="Times New Roman" w:cs="Times New Roman"/>
          <w:sz w:val="24"/>
          <w:szCs w:val="24"/>
        </w:rPr>
        <w:fldChar w:fldCharType="separate"/>
      </w:r>
      <w:r w:rsidRPr="00944EB8">
        <w:rPr>
          <w:rFonts w:ascii="Times New Roman" w:hAnsi="Times New Roman" w:cs="Times New Roman"/>
          <w:sz w:val="24"/>
          <w:szCs w:val="24"/>
        </w:rPr>
        <w:t>2018 International Arbitration Survey: The Evolution of International Arbitration - School of International Arbitration [WWW Document], n.d. URL http://www.arbitration.qmul.ac.uk/research/2018/ (accessed 1.26.21).</w:t>
      </w:r>
    </w:p>
    <w:p w:rsidR="001C2CCB" w:rsidRPr="00944EB8" w:rsidRDefault="001C2CCB" w:rsidP="001C2CCB">
      <w:pPr>
        <w:pStyle w:val="Bibliography"/>
        <w:spacing w:before="0"/>
        <w:ind w:firstLine="0"/>
        <w:jc w:val="both"/>
        <w:rPr>
          <w:rFonts w:ascii="Times New Roman" w:eastAsia="Times New Roman" w:hAnsi="Times New Roman" w:cs="Times New Roman"/>
          <w:sz w:val="24"/>
          <w:szCs w:val="24"/>
          <w:lang w:eastAsia="en-GB"/>
        </w:rPr>
      </w:pPr>
    </w:p>
    <w:p w:rsidR="001C2CCB" w:rsidRPr="00944EB8" w:rsidRDefault="001C2CCB" w:rsidP="001C2CCB">
      <w:pPr>
        <w:pStyle w:val="Bibliography"/>
        <w:numPr>
          <w:ilvl w:val="0"/>
          <w:numId w:val="5"/>
        </w:numPr>
        <w:spacing w:before="0"/>
        <w:jc w:val="both"/>
        <w:rPr>
          <w:rFonts w:ascii="Times New Roman" w:hAnsi="Times New Roman" w:cs="Times New Roman"/>
          <w:sz w:val="24"/>
          <w:szCs w:val="24"/>
        </w:rPr>
      </w:pPr>
      <w:r w:rsidRPr="00944EB8">
        <w:rPr>
          <w:rFonts w:ascii="Times New Roman" w:hAnsi="Times New Roman" w:cs="Times New Roman"/>
          <w:sz w:val="24"/>
          <w:szCs w:val="24"/>
        </w:rPr>
        <w:t xml:space="preserve">Aastha Chawla, (2020) </w:t>
      </w:r>
      <w:r w:rsidRPr="00944EB8">
        <w:rPr>
          <w:rFonts w:ascii="Times New Roman" w:hAnsi="Times New Roman" w:cs="Times New Roman"/>
          <w:sz w:val="24"/>
          <w:szCs w:val="24"/>
        </w:rPr>
        <w:fldChar w:fldCharType="begin"/>
      </w:r>
      <w:r w:rsidRPr="00944EB8">
        <w:rPr>
          <w:rFonts w:ascii="Times New Roman" w:hAnsi="Times New Roman" w:cs="Times New Roman"/>
          <w:sz w:val="24"/>
          <w:szCs w:val="24"/>
        </w:rPr>
        <w:instrText xml:space="preserve"> ADDIN ZOTERO_ITEM CSL_CITATION {"citationID":"wvYCzEWh","properties":{"formattedCitation":"\\uc0\\u8216{}Doctrine of Separability and Determination of the Proper Law of an Arbitration Agreement\\uc0\\u8217{} &lt;https://www.barandbench.com/columns/doctrine-of-separability-and-determination-of-the-proper-law-of-the-arbitration-agreement&gt; accessed 19 April 2021.","plainCitation":"‘Doctrine of Separability and Determination of the Proper Law of an Arbitration Agreement’ &lt;https://www.barandbench.com/columns/doctrine-of-separability-and-determination-of-the-proper-law-of-the-arbitration-agreement&gt; accessed 19 April 2021.","noteIndex":1},"citationItems":[{"id":611,"uris":["http://zotero.org/users/local/arLofKbg/items/CLQQWCVK"],"uri":["http://zotero.org/users/local/arLofKbg/items/CLQQWCVK"],"itemData":{"id":611,"type":"webpage","title":"Doctrine of Separability and determination of the proper law of an Arbitration agreement","URL":"https://www.barandbench.com/columns/doctrine-of-separability-and-determination-of-the-proper-law-of-the-arbitration-agreement","accessed":{"date-parts":[["2021",4,19]]}}}],"schema":"https://github.com/citation-style-language/schema/raw/master/csl-citation.json"} </w:instrText>
      </w:r>
      <w:r w:rsidRPr="00944EB8">
        <w:rPr>
          <w:rFonts w:ascii="Times New Roman" w:hAnsi="Times New Roman" w:cs="Times New Roman"/>
          <w:sz w:val="24"/>
          <w:szCs w:val="24"/>
        </w:rPr>
        <w:fldChar w:fldCharType="separate"/>
      </w:r>
      <w:r w:rsidRPr="00944EB8">
        <w:rPr>
          <w:rFonts w:ascii="Times New Roman" w:hAnsi="Times New Roman" w:cs="Times New Roman"/>
          <w:sz w:val="24"/>
          <w:szCs w:val="24"/>
        </w:rPr>
        <w:t>‘Doctrine of Separability and Determination of the Proper Law of an Arbitration Agreement’ &lt;https://www.barandbench.com/columns/doctrine-of-separability-and-determination-of-the-proper-law-of-the-arbitration-agreement&gt; accessed 19 April 2021.</w:t>
      </w:r>
      <w:r w:rsidRPr="00944EB8">
        <w:rPr>
          <w:rFonts w:ascii="Times New Roman" w:hAnsi="Times New Roman" w:cs="Times New Roman"/>
          <w:sz w:val="24"/>
          <w:szCs w:val="24"/>
        </w:rPr>
        <w:fldChar w:fldCharType="end"/>
      </w:r>
    </w:p>
    <w:p w:rsidR="001C2CCB" w:rsidRPr="00944EB8" w:rsidRDefault="001C2CCB" w:rsidP="001C2CCB">
      <w:pPr>
        <w:pStyle w:val="ListParagraph"/>
        <w:jc w:val="both"/>
        <w:rPr>
          <w:rFonts w:ascii="Times New Roman" w:hAnsi="Times New Roman" w:cs="Times New Roman"/>
          <w:sz w:val="24"/>
          <w:szCs w:val="24"/>
        </w:rPr>
      </w:pPr>
    </w:p>
    <w:p w:rsidR="001C2CCB" w:rsidRPr="00F4797E" w:rsidRDefault="001C2CCB" w:rsidP="001C2CCB">
      <w:pPr>
        <w:pStyle w:val="ListParagraph"/>
        <w:numPr>
          <w:ilvl w:val="0"/>
          <w:numId w:val="5"/>
        </w:numPr>
        <w:jc w:val="both"/>
        <w:rPr>
          <w:rFonts w:ascii="Times New Roman" w:hAnsi="Times New Roman" w:cs="Times New Roman"/>
          <w:sz w:val="24"/>
          <w:szCs w:val="24"/>
        </w:rPr>
      </w:pPr>
      <w:r w:rsidRPr="00944EB8">
        <w:rPr>
          <w:rFonts w:ascii="Times New Roman" w:hAnsi="Times New Roman" w:cs="Times New Roman"/>
          <w:sz w:val="24"/>
          <w:szCs w:val="24"/>
        </w:rPr>
        <w:t xml:space="preserve">Adekoya, F. (2009) ‘Nigeria enacts two new arbitration laws’ Thomson Reuters Practical Law available at </w:t>
      </w:r>
      <w:hyperlink r:id="rId17" w:history="1">
        <w:r w:rsidRPr="00944EB8">
          <w:rPr>
            <w:rStyle w:val="Hyperlink"/>
            <w:rFonts w:ascii="Times New Roman" w:hAnsi="Times New Roman" w:cs="Times New Roman"/>
            <w:color w:val="auto"/>
            <w:sz w:val="24"/>
            <w:szCs w:val="24"/>
          </w:rPr>
          <w:t>https://uk.practicallaw.thomsonreuters.com/8-386-8895?transitionType=Default&amp;contextData=(sc.Default)&amp;firstPage=true</w:t>
        </w:r>
      </w:hyperlink>
    </w:p>
    <w:p w:rsidR="001C2CCB" w:rsidRPr="00F4797E" w:rsidRDefault="001C2CCB" w:rsidP="001C2CCB">
      <w:pPr>
        <w:pStyle w:val="ListParagraph"/>
        <w:rPr>
          <w:rFonts w:ascii="Times New Roman" w:hAnsi="Times New Roman" w:cs="Times New Roman"/>
          <w:sz w:val="24"/>
          <w:szCs w:val="24"/>
        </w:rPr>
      </w:pPr>
    </w:p>
    <w:p w:rsidR="001C2CCB" w:rsidRDefault="001C2CCB" w:rsidP="001C2CCB">
      <w:pPr>
        <w:pStyle w:val="ListParagraph"/>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Åge, L.-J., 2011. Grounded theory Methodology: Positivism, h</w:t>
      </w:r>
      <w:r>
        <w:rPr>
          <w:rFonts w:ascii="Times New Roman" w:hAnsi="Times New Roman" w:cs="Times New Roman"/>
          <w:sz w:val="24"/>
          <w:szCs w:val="24"/>
        </w:rPr>
        <w:t xml:space="preserve">ermeneutics, and pragmatism 16, </w:t>
      </w:r>
      <w:r w:rsidRPr="0060192C">
        <w:rPr>
          <w:rFonts w:ascii="Times New Roman" w:hAnsi="Times New Roman" w:cs="Times New Roman"/>
          <w:sz w:val="24"/>
          <w:szCs w:val="24"/>
        </w:rPr>
        <w:t>1599–1615.</w:t>
      </w:r>
    </w:p>
    <w:p w:rsidR="001C2CCB" w:rsidRPr="00F4797E" w:rsidRDefault="001C2CCB" w:rsidP="001C2CCB">
      <w:pPr>
        <w:pStyle w:val="ListParagraph"/>
        <w:rPr>
          <w:rFonts w:ascii="Times New Roman" w:hAnsi="Times New Roman" w:cs="Times New Roman"/>
          <w:sz w:val="24"/>
          <w:szCs w:val="24"/>
        </w:rPr>
      </w:pP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Amazon.com: The Structure of Scientific Revolutions (9780226458076): Kuhn, Thomas S.: Books [WWW Document], n.d. URL https://www.amazon.com/Structure-Scientific-Revolutions-Thomas-Kuhn/dp/0226458075 (accessed 8.15.21).</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rPr>
          <w:rFonts w:ascii="Times New Roman" w:hAnsi="Times New Roman" w:cs="Times New Roman"/>
          <w:bCs/>
          <w:iCs/>
          <w:sz w:val="24"/>
          <w:szCs w:val="24"/>
        </w:rPr>
      </w:pPr>
      <w:r w:rsidRPr="00944EB8">
        <w:rPr>
          <w:rFonts w:ascii="Times New Roman" w:hAnsi="Times New Roman" w:cs="Times New Roman"/>
          <w:bCs/>
          <w:iCs/>
          <w:sz w:val="24"/>
          <w:szCs w:val="24"/>
        </w:rPr>
        <w:t>Araka v. Ejeagwu (2000) 15 NWLR (Pt. 692) 684</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Article II (3) of the New York Convention 1958 imposes an obligation on courts before </w:t>
      </w:r>
      <w:proofErr w:type="gramStart"/>
      <w:r w:rsidRPr="00944EB8">
        <w:rPr>
          <w:rFonts w:ascii="Times New Roman" w:hAnsi="Times New Roman" w:cs="Times New Roman"/>
          <w:sz w:val="24"/>
          <w:szCs w:val="24"/>
        </w:rPr>
        <w:t>whom</w:t>
      </w:r>
      <w:proofErr w:type="gramEnd"/>
      <w:r w:rsidRPr="00944EB8">
        <w:rPr>
          <w:rFonts w:ascii="Times New Roman" w:hAnsi="Times New Roman" w:cs="Times New Roman"/>
          <w:sz w:val="24"/>
          <w:szCs w:val="24"/>
        </w:rPr>
        <w:t xml:space="preserve"> actions which are subject to arbitration are brought, to recognise and enforce the arbitration agreements, to refer parties to arbitration, and to stay proceedings in such actions. See also sections 4 and 5 of the Arbitration and Conciliation Act.</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rPr>
          <w:rFonts w:ascii="Times New Roman" w:hAnsi="Times New Roman" w:cs="Times New Roman"/>
          <w:bCs/>
          <w:iCs/>
          <w:sz w:val="24"/>
          <w:szCs w:val="24"/>
        </w:rPr>
      </w:pPr>
      <w:r w:rsidRPr="00944EB8">
        <w:rPr>
          <w:rFonts w:ascii="Times New Roman" w:hAnsi="Times New Roman" w:cs="Times New Roman"/>
          <w:bCs/>
          <w:iCs/>
          <w:sz w:val="24"/>
          <w:szCs w:val="24"/>
        </w:rPr>
        <w:t>Baker Marina Nigeria Ltd v. Danos &amp; Curole Marina Contractors Inc (2001) 7 NWLR (Pt. 712) 337</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Bamgbose, A. (2020) 'The proposed amendment of Nigeria's Federal Arbitration Law could see the arbitration landscape in Nigeria improve significantly' Thomson Reuters available at hhhttp://arbitrationblog.practicallaw.com/the-proposed-amendment-of-nigerias-federal-arbitration-law-could-see-the-arbitration-landscape-in-nigeria-improve-significantly/</w:t>
      </w:r>
    </w:p>
    <w:p w:rsidR="001C2CCB" w:rsidRPr="00944EB8" w:rsidRDefault="001C2CCB" w:rsidP="001C2CCB">
      <w:pPr>
        <w:pStyle w:val="Bibliography"/>
        <w:spacing w:before="0"/>
        <w:ind w:firstLine="0"/>
        <w:jc w:val="both"/>
        <w:rPr>
          <w:rFonts w:ascii="Times New Roman" w:hAnsi="Times New Roman" w:cs="Times New Roman"/>
          <w:sz w:val="24"/>
          <w:szCs w:val="24"/>
        </w:rPr>
      </w:pPr>
    </w:p>
    <w:p w:rsidR="001C2CCB" w:rsidRPr="00944EB8" w:rsidRDefault="001C2CCB" w:rsidP="001C2CCB">
      <w:pPr>
        <w:pStyle w:val="Bibliography"/>
        <w:numPr>
          <w:ilvl w:val="0"/>
          <w:numId w:val="5"/>
        </w:numPr>
        <w:spacing w:before="0"/>
        <w:jc w:val="both"/>
        <w:rPr>
          <w:rFonts w:ascii="Times New Roman" w:hAnsi="Times New Roman" w:cs="Times New Roman"/>
          <w:sz w:val="24"/>
          <w:szCs w:val="24"/>
        </w:rPr>
      </w:pPr>
      <w:r w:rsidRPr="00944EB8">
        <w:rPr>
          <w:rFonts w:ascii="Times New Roman" w:hAnsi="Times New Roman" w:cs="Times New Roman"/>
          <w:sz w:val="24"/>
          <w:szCs w:val="24"/>
        </w:rPr>
        <w:lastRenderedPageBreak/>
        <w:t>Bamigboye, M., (2015), Does National Court Involvement Undermine the Arbitration Processes? (SSRN Scholarly Paper No. ID 2858812). Social Science Research Network, Rochester, NY. https://doi.org/10.2139/ssrn.2858812</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Bello, T., 2019. Judicial Intervention in Arbitration; </w:t>
      </w:r>
      <w:proofErr w:type="gramStart"/>
      <w:r w:rsidRPr="00944EB8">
        <w:rPr>
          <w:rFonts w:ascii="Times New Roman" w:hAnsi="Times New Roman" w:cs="Times New Roman"/>
          <w:sz w:val="24"/>
          <w:szCs w:val="24"/>
        </w:rPr>
        <w:t>A</w:t>
      </w:r>
      <w:proofErr w:type="gramEnd"/>
      <w:r w:rsidRPr="00944EB8">
        <w:rPr>
          <w:rFonts w:ascii="Times New Roman" w:hAnsi="Times New Roman" w:cs="Times New Roman"/>
          <w:sz w:val="24"/>
          <w:szCs w:val="24"/>
        </w:rPr>
        <w:t xml:space="preserve"> Comparative Analysis of Nigeria and the United States of America. (SSRN Scholarly Paper No. ID 3405449). Social Science Research Network, Rochester, NY. https://doi.org/10.2139/ssrn.3405449</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Berg, A.J. van den, van den Berg, A.J., 1981. The New York Arbitration Convention of 1958, 45th </w:t>
      </w:r>
      <w:proofErr w:type="gramStart"/>
      <w:r w:rsidRPr="00944EB8">
        <w:rPr>
          <w:rFonts w:ascii="Times New Roman" w:hAnsi="Times New Roman" w:cs="Times New Roman"/>
          <w:sz w:val="24"/>
          <w:szCs w:val="24"/>
        </w:rPr>
        <w:t>ed</w:t>
      </w:r>
      <w:proofErr w:type="gramEnd"/>
      <w:r w:rsidRPr="00944EB8">
        <w:rPr>
          <w:rFonts w:ascii="Times New Roman" w:hAnsi="Times New Roman" w:cs="Times New Roman"/>
          <w:sz w:val="24"/>
          <w:szCs w:val="24"/>
        </w:rPr>
        <w:t>.</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Binder, P. (2009) </w:t>
      </w:r>
      <w:r w:rsidRPr="00944EB8">
        <w:rPr>
          <w:rFonts w:ascii="Times New Roman" w:hAnsi="Times New Roman" w:cs="Times New Roman"/>
          <w:i/>
          <w:iCs/>
          <w:sz w:val="24"/>
          <w:szCs w:val="24"/>
        </w:rPr>
        <w:t>International Commercial Arbitration and Conciliation in UNCITRAL Model Law Jurisdictions</w:t>
      </w:r>
      <w:r w:rsidRPr="00944EB8">
        <w:rPr>
          <w:rFonts w:ascii="Times New Roman" w:hAnsi="Times New Roman" w:cs="Times New Roman"/>
          <w:sz w:val="24"/>
          <w:szCs w:val="24"/>
        </w:rPr>
        <w:t xml:space="preserve"> (3</w:t>
      </w:r>
      <w:r w:rsidRPr="00944EB8">
        <w:rPr>
          <w:rFonts w:ascii="Times New Roman" w:hAnsi="Times New Roman" w:cs="Times New Roman"/>
          <w:sz w:val="24"/>
          <w:szCs w:val="24"/>
          <w:vertAlign w:val="superscript"/>
        </w:rPr>
        <w:t>rd</w:t>
      </w:r>
      <w:r w:rsidRPr="00944EB8">
        <w:rPr>
          <w:rFonts w:ascii="Times New Roman" w:hAnsi="Times New Roman" w:cs="Times New Roman"/>
          <w:sz w:val="24"/>
          <w:szCs w:val="24"/>
        </w:rPr>
        <w:t xml:space="preserve"> edn) London: Sweet and Maxwell.</w:t>
      </w:r>
    </w:p>
    <w:p w:rsidR="001C2CCB" w:rsidRPr="00F4797E" w:rsidRDefault="001C2CCB" w:rsidP="001C2CCB">
      <w:pPr>
        <w:pStyle w:val="ListParagraph"/>
        <w:rPr>
          <w:rFonts w:ascii="Times New Roman" w:hAnsi="Times New Roman" w:cs="Times New Roman"/>
          <w:sz w:val="24"/>
          <w:szCs w:val="24"/>
        </w:rPr>
      </w:pP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Blaikie, N., Priest, J., 2016. Social Research: Paradigms in Action, 1st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Polity, Malden, MA.</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F4797E">
        <w:rPr>
          <w:rFonts w:ascii="Times New Roman" w:hAnsi="Times New Roman" w:cs="Times New Roman"/>
          <w:sz w:val="24"/>
          <w:szCs w:val="24"/>
        </w:rPr>
        <w:t>Bogdan, R., Biklen, S.K., 1998. Qualitative research for education: an introduction to theory and methods, 3rd ed. ed. Allyn and Bacon, Boston.</w:t>
      </w:r>
    </w:p>
    <w:p w:rsidR="001C2CCB" w:rsidRPr="00F4797E" w:rsidRDefault="001C2CCB" w:rsidP="001C2CCB">
      <w:pPr>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Born, G., (2009) </w:t>
      </w:r>
      <w:proofErr w:type="gramStart"/>
      <w:r w:rsidRPr="00944EB8">
        <w:rPr>
          <w:rFonts w:ascii="Times New Roman" w:hAnsi="Times New Roman" w:cs="Times New Roman"/>
          <w:sz w:val="24"/>
          <w:szCs w:val="24"/>
        </w:rPr>
        <w:t>The</w:t>
      </w:r>
      <w:proofErr w:type="gramEnd"/>
      <w:r w:rsidRPr="00944EB8">
        <w:rPr>
          <w:rFonts w:ascii="Times New Roman" w:hAnsi="Times New Roman" w:cs="Times New Roman"/>
          <w:sz w:val="24"/>
          <w:szCs w:val="24"/>
        </w:rPr>
        <w:t xml:space="preserve"> Principle of Judicial Non-Interference in International Arbitral Proceedings. University of Pennsylvania journal of international law. 30, 999–1034.</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Born, G. (2014)</w:t>
      </w:r>
      <w:r w:rsidRPr="00944EB8">
        <w:rPr>
          <w:rFonts w:ascii="Times New Roman" w:hAnsi="Times New Roman" w:cs="Times New Roman"/>
          <w:i/>
          <w:iCs/>
          <w:sz w:val="24"/>
          <w:szCs w:val="24"/>
        </w:rPr>
        <w:t xml:space="preserve"> International Arbitration:</w:t>
      </w:r>
      <w:r w:rsidRPr="00944EB8">
        <w:rPr>
          <w:rFonts w:ascii="Times New Roman" w:hAnsi="Times New Roman" w:cs="Times New Roman"/>
          <w:sz w:val="24"/>
          <w:szCs w:val="24"/>
        </w:rPr>
        <w:t xml:space="preserve"> </w:t>
      </w:r>
      <w:r w:rsidRPr="00944EB8">
        <w:rPr>
          <w:rFonts w:ascii="Times New Roman" w:hAnsi="Times New Roman" w:cs="Times New Roman"/>
          <w:i/>
          <w:iCs/>
          <w:sz w:val="24"/>
          <w:szCs w:val="24"/>
        </w:rPr>
        <w:t>Law and Practice</w:t>
      </w:r>
      <w:r w:rsidRPr="00944EB8">
        <w:rPr>
          <w:rFonts w:ascii="Times New Roman" w:hAnsi="Times New Roman" w:cs="Times New Roman"/>
          <w:sz w:val="24"/>
          <w:szCs w:val="24"/>
        </w:rPr>
        <w:t xml:space="preserve"> (2</w:t>
      </w:r>
      <w:r w:rsidRPr="00944EB8">
        <w:rPr>
          <w:rFonts w:ascii="Times New Roman" w:hAnsi="Times New Roman" w:cs="Times New Roman"/>
          <w:sz w:val="24"/>
          <w:szCs w:val="24"/>
          <w:vertAlign w:val="superscript"/>
        </w:rPr>
        <w:t>nd</w:t>
      </w:r>
      <w:r w:rsidRPr="00944EB8">
        <w:rPr>
          <w:rFonts w:ascii="Times New Roman" w:hAnsi="Times New Roman" w:cs="Times New Roman"/>
          <w:sz w:val="24"/>
          <w:szCs w:val="24"/>
        </w:rPr>
        <w:t xml:space="preserve"> edn) Wolters Kluwer p. 2</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FootnoteText"/>
        <w:numPr>
          <w:ilvl w:val="0"/>
          <w:numId w:val="5"/>
        </w:numPr>
        <w:spacing w:line="276" w:lineRule="auto"/>
        <w:jc w:val="both"/>
        <w:rPr>
          <w:rFonts w:ascii="Times New Roman" w:hAnsi="Times New Roman"/>
          <w:sz w:val="24"/>
          <w:szCs w:val="24"/>
        </w:rPr>
      </w:pPr>
      <w:r w:rsidRPr="00944EB8">
        <w:rPr>
          <w:rFonts w:ascii="Times New Roman" w:hAnsi="Times New Roman"/>
          <w:sz w:val="24"/>
          <w:szCs w:val="24"/>
        </w:rPr>
        <w:t xml:space="preserve">Born, G. (2014) </w:t>
      </w:r>
      <w:r w:rsidRPr="00944EB8">
        <w:rPr>
          <w:rFonts w:ascii="Times New Roman" w:hAnsi="Times New Roman"/>
          <w:i/>
          <w:iCs/>
          <w:sz w:val="24"/>
          <w:szCs w:val="24"/>
        </w:rPr>
        <w:t>International Commercial Arbitration</w:t>
      </w:r>
      <w:r w:rsidRPr="00944EB8">
        <w:rPr>
          <w:rFonts w:ascii="Times New Roman" w:hAnsi="Times New Roman"/>
          <w:sz w:val="24"/>
          <w:szCs w:val="24"/>
        </w:rPr>
        <w:t xml:space="preserve"> 2</w:t>
      </w:r>
      <w:r w:rsidRPr="00944EB8">
        <w:rPr>
          <w:rFonts w:ascii="Times New Roman" w:hAnsi="Times New Roman"/>
          <w:sz w:val="24"/>
          <w:szCs w:val="24"/>
          <w:vertAlign w:val="superscript"/>
        </w:rPr>
        <w:t>nd</w:t>
      </w:r>
      <w:r w:rsidRPr="00944EB8">
        <w:rPr>
          <w:rFonts w:ascii="Times New Roman" w:hAnsi="Times New Roman"/>
          <w:sz w:val="24"/>
          <w:szCs w:val="24"/>
        </w:rPr>
        <w:t xml:space="preserve"> Edition Vol II Wolters Kluwer p. 350.</w:t>
      </w:r>
    </w:p>
    <w:p w:rsidR="001C2CCB" w:rsidRPr="00944EB8" w:rsidRDefault="001C2CCB" w:rsidP="001C2CCB">
      <w:pPr>
        <w:pStyle w:val="FootnoteText"/>
        <w:spacing w:line="276" w:lineRule="auto"/>
        <w:ind w:left="720"/>
        <w:jc w:val="both"/>
        <w:rPr>
          <w:rFonts w:ascii="Times New Roman" w:hAnsi="Times New Roman"/>
          <w:sz w:val="24"/>
          <w:szCs w:val="24"/>
        </w:rPr>
      </w:pPr>
    </w:p>
    <w:p w:rsidR="001C2CCB" w:rsidRPr="00944EB8" w:rsidRDefault="001C2CCB" w:rsidP="001C2CCB">
      <w:pPr>
        <w:pStyle w:val="FootnoteText"/>
        <w:numPr>
          <w:ilvl w:val="0"/>
          <w:numId w:val="5"/>
        </w:numPr>
        <w:spacing w:line="276" w:lineRule="auto"/>
        <w:jc w:val="both"/>
        <w:rPr>
          <w:rFonts w:ascii="Times New Roman" w:hAnsi="Times New Roman"/>
          <w:sz w:val="24"/>
          <w:szCs w:val="24"/>
        </w:rPr>
      </w:pPr>
      <w:r w:rsidRPr="00944EB8">
        <w:rPr>
          <w:rFonts w:ascii="Times New Roman" w:hAnsi="Times New Roman"/>
          <w:sz w:val="24"/>
          <w:szCs w:val="24"/>
        </w:rPr>
        <w:t>Buhler, M. &amp; Webster, T. (2008) Handbook of ICC Arbitration: Commentary, Precedents, Materials 2</w:t>
      </w:r>
      <w:r w:rsidRPr="00944EB8">
        <w:rPr>
          <w:rFonts w:ascii="Times New Roman" w:hAnsi="Times New Roman"/>
          <w:sz w:val="24"/>
          <w:szCs w:val="24"/>
          <w:vertAlign w:val="superscript"/>
        </w:rPr>
        <w:t>nd</w:t>
      </w:r>
      <w:r w:rsidRPr="00944EB8">
        <w:rPr>
          <w:rFonts w:ascii="Times New Roman" w:hAnsi="Times New Roman"/>
          <w:sz w:val="24"/>
          <w:szCs w:val="24"/>
        </w:rPr>
        <w:t xml:space="preserve"> ed. 143.</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Candide-Johnson, C. A. &amp; Shasore, O. (2012) Commercial Arbitration Law and International Practice in Nigeria Durban: LexisNexis.</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Chukwumerije, O. (1991) ‘Judicial Supervision of Commercial Arbitration: The English Arbitration Act 1996’ Arbitration International, Vol 15 Issue, 1 June 1999 pp 171 – 191.</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rPr>
          <w:rFonts w:ascii="Times New Roman" w:hAnsi="Times New Roman" w:cs="Times New Roman"/>
          <w:b/>
          <w:bCs/>
          <w:i/>
          <w:iCs/>
          <w:sz w:val="24"/>
          <w:szCs w:val="24"/>
        </w:rPr>
      </w:pPr>
      <w:r w:rsidRPr="00944EB8">
        <w:rPr>
          <w:rFonts w:ascii="Times New Roman" w:hAnsi="Times New Roman" w:cs="Times New Roman"/>
          <w:b/>
          <w:bCs/>
          <w:i/>
          <w:iCs/>
          <w:sz w:val="24"/>
          <w:szCs w:val="24"/>
        </w:rPr>
        <w:t>City Engineering Nig. Ltd v. Federal Housing Authority (1997) 9 NWLR (Pt. 520) 224</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lastRenderedPageBreak/>
        <w:t>Constitution of the Federal Republic of Nigeria [WWW Document], n.d. URL http://www.nigeria-law.org/ConstitutionOfTheFederalRepublicOfNigeria.htm (accessed 4.22.21)</w:t>
      </w:r>
    </w:p>
    <w:p w:rsidR="001C2CCB" w:rsidRPr="00F4797E" w:rsidRDefault="001C2CCB" w:rsidP="001C2CCB">
      <w:pPr>
        <w:pStyle w:val="ListParagraph"/>
        <w:rPr>
          <w:rFonts w:ascii="Times New Roman" w:hAnsi="Times New Roman" w:cs="Times New Roman"/>
          <w:sz w:val="24"/>
          <w:szCs w:val="24"/>
        </w:rPr>
      </w:pP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Cooksey, R., McDonald, G., 2009. Surviving and Thriving in Postgraduate Research. https://doi.org/10.1007/978-981-13-7747-1</w:t>
      </w: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Council, A.R., 2018. Codes and Guidelines [WWW Document]. URL https://www.arc.gov.au/policies-strategies/policy/codes-and-guidelines (accessed 8.15.21).</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Creswell, J., 2009. Research Design: Qualitative, Quantitative, and Mixed-Method Approaches.</w:t>
      </w:r>
    </w:p>
    <w:p w:rsidR="001C2CCB" w:rsidRPr="00944EB8" w:rsidRDefault="001C2CCB" w:rsidP="001C2CCB">
      <w:pPr>
        <w:pStyle w:val="ListParagraph"/>
        <w:numPr>
          <w:ilvl w:val="0"/>
          <w:numId w:val="5"/>
        </w:numPr>
        <w:rPr>
          <w:rFonts w:ascii="Times New Roman" w:hAnsi="Times New Roman" w:cs="Times New Roman"/>
          <w:b/>
          <w:bCs/>
          <w:i/>
          <w:iCs/>
          <w:sz w:val="24"/>
          <w:szCs w:val="24"/>
        </w:rPr>
      </w:pPr>
      <w:r w:rsidRPr="00944EB8">
        <w:rPr>
          <w:rFonts w:ascii="Times New Roman" w:hAnsi="Times New Roman" w:cs="Times New Roman"/>
          <w:b/>
          <w:bCs/>
          <w:i/>
          <w:iCs/>
          <w:sz w:val="24"/>
          <w:szCs w:val="24"/>
        </w:rPr>
        <w:t>Dallah Real Estate and Tourism Holding Company v The Ministry of Religious Affairs, Government of Pakistan [2010] UKSC 46</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eastAsia="Times New Roman" w:hAnsi="Times New Roman" w:cs="Times New Roman"/>
          <w:sz w:val="24"/>
          <w:szCs w:val="24"/>
          <w:lang w:eastAsia="en-GB"/>
        </w:rPr>
        <w:t>Delaume, G. (1984) ‘Court Intervention in Arbitral Proceedings’, in Carbonneau</w:t>
      </w:r>
      <w:r w:rsidRPr="00944EB8">
        <w:rPr>
          <w:rFonts w:ascii="Times New Roman" w:eastAsia="Times New Roman" w:hAnsi="Times New Roman" w:cs="Times New Roman"/>
          <w:sz w:val="24"/>
          <w:szCs w:val="24"/>
          <w:bdr w:val="none" w:sz="0" w:space="0" w:color="auto" w:frame="1"/>
          <w:lang w:eastAsia="en-GB"/>
        </w:rPr>
        <w:t xml:space="preserve"> T. </w:t>
      </w:r>
      <w:r w:rsidRPr="00944EB8">
        <w:rPr>
          <w:rFonts w:ascii="Times New Roman" w:eastAsia="Times New Roman" w:hAnsi="Times New Roman" w:cs="Times New Roman"/>
          <w:sz w:val="24"/>
          <w:szCs w:val="24"/>
          <w:lang w:eastAsia="en-GB"/>
        </w:rPr>
        <w:t xml:space="preserve">(ed.) </w:t>
      </w:r>
      <w:r w:rsidRPr="00944EB8">
        <w:rPr>
          <w:rFonts w:ascii="Times New Roman" w:eastAsia="Times New Roman" w:hAnsi="Times New Roman" w:cs="Times New Roman"/>
          <w:sz w:val="24"/>
          <w:szCs w:val="24"/>
          <w:bdr w:val="none" w:sz="0" w:space="0" w:color="auto" w:frame="1"/>
          <w:lang w:eastAsia="en-GB"/>
        </w:rPr>
        <w:t>Resolving Transnational Disputes through International Arbitration</w:t>
      </w:r>
      <w:r w:rsidRPr="00944EB8">
        <w:rPr>
          <w:rFonts w:ascii="Times New Roman" w:eastAsia="Times New Roman" w:hAnsi="Times New Roman" w:cs="Times New Roman"/>
          <w:sz w:val="24"/>
          <w:szCs w:val="24"/>
          <w:lang w:eastAsia="en-GB"/>
        </w:rPr>
        <w:t>. Charlottesville: University Press of Virginia p. 196.</w:t>
      </w:r>
    </w:p>
    <w:p w:rsidR="001C2CCB" w:rsidRPr="00F4797E" w:rsidRDefault="001C2CCB" w:rsidP="001C2CCB">
      <w:pPr>
        <w:pStyle w:val="ListParagraph"/>
        <w:rPr>
          <w:rFonts w:ascii="Times New Roman" w:hAnsi="Times New Roman" w:cs="Times New Roman"/>
          <w:sz w:val="24"/>
          <w:szCs w:val="24"/>
        </w:rPr>
      </w:pP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Denzin, N.K., Lincoln, Y.S. (Eds.), 2017. The SAGE Handbook of Qualitative Research, Fifth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SAGE Publications, Inc, Los Angeles London New Delhi Singapore Washington DC Melbourne.</w:t>
      </w:r>
    </w:p>
    <w:p w:rsidR="001C2CCB" w:rsidRPr="00F4797E" w:rsidRDefault="001C2CCB" w:rsidP="001C2CCB">
      <w:pPr>
        <w:spacing w:before="0" w:after="0"/>
        <w:jc w:val="both"/>
        <w:rPr>
          <w:rFonts w:ascii="Times New Roman" w:hAnsi="Times New Roman" w:cs="Times New Roman"/>
          <w:sz w:val="24"/>
          <w:szCs w:val="24"/>
        </w:rPr>
      </w:pPr>
    </w:p>
    <w:p w:rsidR="001C2CCB"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Dimgba, N. et al, (2020) ‘Forced Cohabitation or True Partnership? The Role of Nigerian Courts in Supporting Arbitration’ in Aderemi, T. </w:t>
      </w:r>
      <w:r w:rsidRPr="00944EB8">
        <w:rPr>
          <w:rFonts w:ascii="Times New Roman" w:eastAsiaTheme="minorHAnsi" w:hAnsi="Times New Roman" w:cs="Times New Roman"/>
          <w:sz w:val="24"/>
          <w:szCs w:val="24"/>
        </w:rPr>
        <w:t>(</w:t>
      </w:r>
      <w:proofErr w:type="gramStart"/>
      <w:r w:rsidRPr="00944EB8">
        <w:rPr>
          <w:rFonts w:ascii="Times New Roman" w:hAnsi="Times New Roman" w:cs="Times New Roman"/>
          <w:sz w:val="24"/>
          <w:szCs w:val="24"/>
        </w:rPr>
        <w:t>ed</w:t>
      </w:r>
      <w:proofErr w:type="gramEnd"/>
      <w:r w:rsidRPr="00944EB8">
        <w:rPr>
          <w:rFonts w:ascii="Times New Roman" w:eastAsiaTheme="minorHAnsi" w:hAnsi="Times New Roman" w:cs="Times New Roman"/>
          <w:sz w:val="24"/>
          <w:szCs w:val="24"/>
        </w:rPr>
        <w:t xml:space="preserve">) </w:t>
      </w:r>
      <w:r w:rsidRPr="00944EB8">
        <w:rPr>
          <w:rFonts w:ascii="Times New Roman" w:hAnsi="Times New Roman" w:cs="Times New Roman"/>
          <w:i/>
          <w:iCs/>
          <w:sz w:val="24"/>
          <w:szCs w:val="24"/>
        </w:rPr>
        <w:t>International Arbitration Law and Practice: The Practitioner’s Perspective</w:t>
      </w:r>
      <w:r w:rsidRPr="00944EB8">
        <w:rPr>
          <w:rFonts w:ascii="Times New Roman" w:hAnsi="Times New Roman" w:cs="Times New Roman"/>
          <w:sz w:val="24"/>
          <w:szCs w:val="24"/>
        </w:rPr>
        <w:t xml:space="preserve"> Law Lagos: Lexis International 1.</w:t>
      </w:r>
    </w:p>
    <w:p w:rsidR="001C2CCB" w:rsidRPr="00F4797E" w:rsidRDefault="001C2CCB" w:rsidP="001C2CCB">
      <w:pPr>
        <w:pStyle w:val="ListParagraph"/>
        <w:rPr>
          <w:rFonts w:ascii="Times New Roman" w:hAnsi="Times New Roman" w:cs="Times New Roman"/>
          <w:sz w:val="24"/>
          <w:szCs w:val="24"/>
        </w:rPr>
      </w:pP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Doyle, L., Brady, A.-M., Byrne, G., 2009. An overview of mixed methods research. Journal of Research in Nursing 14, 175–185. https://doi.org/10.1177/1744987108093962</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rPr>
          <w:rFonts w:ascii="Times New Roman" w:hAnsi="Times New Roman" w:cs="Times New Roman"/>
          <w:b/>
          <w:bCs/>
          <w:i/>
          <w:iCs/>
          <w:sz w:val="24"/>
          <w:szCs w:val="24"/>
        </w:rPr>
      </w:pPr>
      <w:r w:rsidRPr="00944EB8">
        <w:rPr>
          <w:rFonts w:ascii="Times New Roman" w:hAnsi="Times New Roman" w:cs="Times New Roman"/>
          <w:b/>
          <w:bCs/>
          <w:i/>
          <w:iCs/>
          <w:sz w:val="24"/>
          <w:szCs w:val="24"/>
        </w:rPr>
        <w:t>Ebokan v Ekwunibe &amp; Sons Trading Co. (2001) 2 NWLR (Pt. 696)32 at page 41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Fagbohunlu, B, (2020) ‘Is Nigerian Case Law on Arbitration Entering Its Dark Ages?’ in Aderemi, T. </w:t>
      </w:r>
      <w:r w:rsidRPr="00944EB8">
        <w:rPr>
          <w:rFonts w:ascii="Times New Roman" w:eastAsiaTheme="minorHAnsi" w:hAnsi="Times New Roman" w:cs="Times New Roman"/>
          <w:sz w:val="24"/>
          <w:szCs w:val="24"/>
        </w:rPr>
        <w:t>(</w:t>
      </w:r>
      <w:proofErr w:type="gramStart"/>
      <w:r w:rsidRPr="00944EB8">
        <w:rPr>
          <w:rFonts w:ascii="Times New Roman" w:hAnsi="Times New Roman" w:cs="Times New Roman"/>
          <w:sz w:val="24"/>
          <w:szCs w:val="24"/>
        </w:rPr>
        <w:t>ed</w:t>
      </w:r>
      <w:proofErr w:type="gramEnd"/>
      <w:r w:rsidRPr="00944EB8">
        <w:rPr>
          <w:rFonts w:ascii="Times New Roman" w:eastAsiaTheme="minorHAnsi" w:hAnsi="Times New Roman" w:cs="Times New Roman"/>
          <w:sz w:val="24"/>
          <w:szCs w:val="24"/>
        </w:rPr>
        <w:t xml:space="preserve">) </w:t>
      </w:r>
      <w:r w:rsidRPr="00944EB8">
        <w:rPr>
          <w:rFonts w:ascii="Times New Roman" w:hAnsi="Times New Roman" w:cs="Times New Roman"/>
          <w:i/>
          <w:iCs/>
          <w:sz w:val="24"/>
          <w:szCs w:val="24"/>
        </w:rPr>
        <w:t>International Arbitration Law and Practice: The Practitioner’s Perspective</w:t>
      </w:r>
      <w:r w:rsidRPr="00944EB8">
        <w:rPr>
          <w:rFonts w:ascii="Times New Roman" w:hAnsi="Times New Roman" w:cs="Times New Roman"/>
          <w:sz w:val="24"/>
          <w:szCs w:val="24"/>
        </w:rPr>
        <w:t xml:space="preserve"> Law Lagos: Lexis International 1.</w:t>
      </w:r>
    </w:p>
    <w:p w:rsidR="001C2CCB" w:rsidRPr="00944EB8" w:rsidRDefault="001C2CCB" w:rsidP="001C2CCB">
      <w:pPr>
        <w:pStyle w:val="ListParagrap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Feehily, R., 2018. </w:t>
      </w:r>
      <w:r w:rsidRPr="00944EB8">
        <w:rPr>
          <w:rFonts w:ascii="Times New Roman" w:eastAsia="Times New Roman" w:hAnsi="Times New Roman" w:cs="Times New Roman"/>
          <w:kern w:val="36"/>
          <w:sz w:val="24"/>
          <w:szCs w:val="24"/>
        </w:rPr>
        <w:t>Separability in international commercial arbitration; confluence, conflict and the appropriate limitations in the development and application of the doctrine</w:t>
      </w:r>
      <w:r w:rsidRPr="00944EB8">
        <w:rPr>
          <w:rFonts w:ascii="Times New Roman" w:hAnsi="Times New Roman" w:cs="Times New Roman"/>
          <w:sz w:val="24"/>
          <w:szCs w:val="24"/>
        </w:rPr>
        <w:t xml:space="preserve">. </w:t>
      </w:r>
      <w:r w:rsidRPr="00944EB8">
        <w:rPr>
          <w:rStyle w:val="Emphasis"/>
          <w:rFonts w:ascii="Times New Roman" w:hAnsi="Times New Roman" w:cs="Times New Roman"/>
          <w:sz w:val="24"/>
          <w:szCs w:val="24"/>
          <w:bdr w:val="none" w:sz="0" w:space="0" w:color="auto" w:frame="1"/>
          <w:shd w:val="clear" w:color="auto" w:fill="FFFFFF"/>
        </w:rPr>
        <w:t>Arbitration International</w:t>
      </w:r>
      <w:r w:rsidRPr="00944EB8">
        <w:rPr>
          <w:rFonts w:ascii="Times New Roman" w:hAnsi="Times New Roman" w:cs="Times New Roman"/>
          <w:sz w:val="24"/>
          <w:szCs w:val="24"/>
          <w:shd w:val="clear" w:color="auto" w:fill="FFFFFF"/>
        </w:rPr>
        <w:t>, Volume 34, Issue 3, Pages 355–383,</w:t>
      </w:r>
      <w:r w:rsidRPr="00944EB8">
        <w:rPr>
          <w:rFonts w:ascii="Times New Roman" w:hAnsi="Times New Roman" w:cs="Times New Roman"/>
          <w:sz w:val="24"/>
          <w:szCs w:val="24"/>
        </w:rPr>
        <w:t xml:space="preserve"> Oxford University Press. </w:t>
      </w:r>
      <w:r w:rsidRPr="00944EB8">
        <w:rPr>
          <w:rStyle w:val="Hyperlink"/>
          <w:rFonts w:ascii="Times New Roman" w:hAnsi="Times New Roman" w:cs="Times New Roman"/>
          <w:color w:val="auto"/>
          <w:sz w:val="24"/>
          <w:szCs w:val="24"/>
        </w:rPr>
        <w:t>https://doi.org/10.1093/arbint/aiy026</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lastRenderedPageBreak/>
        <w:t xml:space="preserve">Finnis, J., 2011. Natural Law and Natural Rights, 2nd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Oxford University Press, Oxford ; New York.</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Fowler, F.J., 2008. By Floyd J. Fowler - Survey Research Methods, Applied Social Research Methods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SAGE Publications, Inc.</w:t>
      </w:r>
    </w:p>
    <w:p w:rsidR="001C2CCB" w:rsidRPr="00F4797E" w:rsidRDefault="001C2CCB" w:rsidP="001C2CCB">
      <w:pPr>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Garuda v. Birgen Appeal [WWW Document], n.d. URL https://archive.onlinedmc.co.uk/garuda_v__birgen_appeal.htm (accessed 4.3.21).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Gbenga Bamodu, (2018) ‘</w:t>
      </w:r>
      <w:r w:rsidRPr="00944EB8">
        <w:rPr>
          <w:rFonts w:ascii="Times New Roman" w:eastAsiaTheme="minorHAnsi" w:hAnsi="Times New Roman" w:cs="Times New Roman"/>
          <w:sz w:val="24"/>
          <w:szCs w:val="24"/>
        </w:rPr>
        <w:t>Judicial Support for Arbitration in Nigeria: On Interpretation of Aspects of Nigeria’s Arbitration and Conciliation Act’ Journal of African Law, 62, 2 (2018), 255–279 © SOAS, University of London, 2018.</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Giedymin, J., 1975. Antipositivism in Contemporary Philosophy of Social Science and Humanities. British Journal for the Philosophy of Science 26, 275–301. https://doi.org/10.1093/bjps/26.4.275</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Grix, J., 2010. The Foundations of Research, Second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Palgrave Macmillan, Basingstoke.</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Guba, E. G., &amp; Lincoln, Y. S. (1994). Competing paradigms in qualitative research. In N. K. Denzin &amp; Y. S. Lincoln (Eds.), Handbook of qualitative research (pp. 105-117). London: </w:t>
      </w:r>
      <w:proofErr w:type="gramStart"/>
      <w:r w:rsidRPr="0060192C">
        <w:rPr>
          <w:rFonts w:ascii="Times New Roman" w:hAnsi="Times New Roman" w:cs="Times New Roman"/>
          <w:sz w:val="24"/>
          <w:szCs w:val="24"/>
        </w:rPr>
        <w:t>Sage.,</w:t>
      </w:r>
      <w:proofErr w:type="gramEnd"/>
      <w:r w:rsidRPr="0060192C">
        <w:rPr>
          <w:rFonts w:ascii="Times New Roman" w:hAnsi="Times New Roman" w:cs="Times New Roman"/>
          <w:sz w:val="24"/>
          <w:szCs w:val="24"/>
        </w:rPr>
        <w:t xml:space="preserve"> n.d.</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Halsbury’s Laws of England 4</w:t>
      </w:r>
      <w:r w:rsidRPr="00944EB8">
        <w:rPr>
          <w:rFonts w:ascii="Times New Roman" w:hAnsi="Times New Roman" w:cs="Times New Roman"/>
          <w:sz w:val="24"/>
          <w:szCs w:val="24"/>
          <w:vertAlign w:val="superscript"/>
        </w:rPr>
        <w:t>th</w:t>
      </w:r>
      <w:r w:rsidRPr="00944EB8">
        <w:rPr>
          <w:rFonts w:ascii="Times New Roman" w:hAnsi="Times New Roman" w:cs="Times New Roman"/>
          <w:sz w:val="24"/>
          <w:szCs w:val="24"/>
        </w:rPr>
        <w:t xml:space="preserve"> edition Volume 2 para 622.</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ICC announces record 2020 caseloads in Arbitration and ADR, 2021. . ICC - International Chamber of Commerce. URL https://iccwbo.org/media-wall/news-speeches/icc-announces-record-2020-caseloads-in-arbitration-and-adr/ (accessed 1.26.21).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Indeed, in the cases of </w:t>
      </w:r>
      <w:r w:rsidRPr="00944EB8">
        <w:rPr>
          <w:rFonts w:ascii="Times New Roman" w:hAnsi="Times New Roman" w:cs="Times New Roman"/>
          <w:b/>
          <w:bCs/>
          <w:i/>
          <w:iCs/>
          <w:sz w:val="24"/>
          <w:szCs w:val="24"/>
        </w:rPr>
        <w:t>Ogunwale v Syrian Arab Republic (2002) 9 NWLR (Pt 717) 127; Nigerian Agip Oil Co Ltd v William Kemmer (2001) 1 NWLR (Pt. 716) 506</w:t>
      </w:r>
      <w:r w:rsidRPr="00944EB8">
        <w:rPr>
          <w:rFonts w:ascii="Times New Roman" w:hAnsi="Times New Roman" w:cs="Times New Roman"/>
          <w:sz w:val="24"/>
          <w:szCs w:val="24"/>
        </w:rPr>
        <w:t xml:space="preserve"> the Court of Appeal declared the provision of section 7(4) of the Arbitration Act as unconstitutional.</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International Arbitration: Law and Practice [WWW Document], n.d</w:t>
      </w:r>
      <w:proofErr w:type="gramStart"/>
      <w:r w:rsidRPr="00944EB8">
        <w:rPr>
          <w:rFonts w:ascii="Times New Roman" w:hAnsi="Times New Roman" w:cs="Times New Roman"/>
          <w:sz w:val="24"/>
          <w:szCs w:val="24"/>
        </w:rPr>
        <w:t>. .</w:t>
      </w:r>
      <w:proofErr w:type="gramEnd"/>
      <w:r w:rsidRPr="00944EB8">
        <w:rPr>
          <w:rFonts w:ascii="Times New Roman" w:hAnsi="Times New Roman" w:cs="Times New Roman"/>
          <w:sz w:val="24"/>
          <w:szCs w:val="24"/>
        </w:rPr>
        <w:t xml:space="preserve"> Wolters Kluwer Legal &amp; Regulatory. URL https://lrus.wolterskluwer.com/store/product/international-arbitration-law-and-practice-second-edition/ (accessed 1.26.21).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Bibliography"/>
        <w:numPr>
          <w:ilvl w:val="0"/>
          <w:numId w:val="5"/>
        </w:numPr>
        <w:spacing w:before="0"/>
        <w:jc w:val="both"/>
        <w:rPr>
          <w:rFonts w:ascii="Times New Roman" w:hAnsi="Times New Roman" w:cs="Times New Roman"/>
          <w:sz w:val="24"/>
          <w:szCs w:val="24"/>
        </w:rPr>
      </w:pPr>
      <w:r w:rsidRPr="00944EB8">
        <w:rPr>
          <w:rFonts w:ascii="Times New Roman" w:hAnsi="Times New Roman" w:cs="Times New Roman"/>
          <w:sz w:val="24"/>
          <w:szCs w:val="24"/>
        </w:rPr>
        <w:t>International Arbitration 2017, Third Edition - Litigation, Mediation &amp; Arbitration - Nigeria [WWW Document], n.d. URL https://www.mondaq.com/nigeria/arbitration-dispute-resolution/669322/international-arbitration-2017-third-edition (accessed 4.22.21).</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Joel M Modiri [WWW Document], n.d. URL https://scholar.google.co.za/citations?user=Cl28B0wAAAAJ&amp;hl=en (accessed 8.15.21).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lastRenderedPageBreak/>
        <w:t>Julian D M Lew, 2003. Comparative international commercial arbitration / by Julian D.M. Lew, Loukas A. Mistelis, Stefan M. Kröll. Kluwer Law International, The Hague ; London: p. 1</w:t>
      </w:r>
    </w:p>
    <w:p w:rsidR="001C2CCB" w:rsidRPr="00944EB8" w:rsidRDefault="001C2CCB" w:rsidP="001C2CCB">
      <w:pPr>
        <w:pStyle w:val="ListParagraph"/>
        <w:rPr>
          <w:rFonts w:ascii="Times New Roman" w:hAnsi="Times New Roman" w:cs="Times New Roman"/>
          <w:sz w:val="24"/>
          <w:szCs w:val="24"/>
        </w:rPr>
      </w:pPr>
    </w:p>
    <w:p w:rsidR="001C2CCB" w:rsidRPr="00F4797E" w:rsidRDefault="001C2CCB" w:rsidP="001C2CCB">
      <w:pPr>
        <w:pStyle w:val="ListParagraph"/>
        <w:numPr>
          <w:ilvl w:val="0"/>
          <w:numId w:val="5"/>
        </w:numPr>
        <w:rPr>
          <w:rFonts w:ascii="Times New Roman" w:hAnsi="Times New Roman" w:cs="Times New Roman"/>
        </w:rPr>
      </w:pPr>
      <w:r w:rsidRPr="00944EB8">
        <w:rPr>
          <w:rFonts w:ascii="Times New Roman" w:hAnsi="Times New Roman" w:cs="Times New Roman"/>
          <w:b/>
          <w:bCs/>
          <w:i/>
          <w:iCs/>
          <w:sz w:val="24"/>
          <w:szCs w:val="24"/>
        </w:rPr>
        <w:t>Kano State Urban Development Board v. Fanz Construction Co Ltd (1990) 4 NWLR (Pt. 142) 1</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Keeves, J.P., 1997. Educational Research, Methodology and Measurement: An International Handbook (Resources in Education Series): 7, 2nd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Emerald Group Publishing Limited, New York, N.Y.</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Kivunja, C., Kuyini, A.B., 2017. Understanding and Applying Research Paradigms in Educational Contexts. International Journal of Higher Education 6, 26. https://doi.org/10.5430/ijhe.v6n5p26</w:t>
      </w:r>
    </w:p>
    <w:p w:rsidR="001C2CCB" w:rsidRPr="00F4797E" w:rsidRDefault="001C2CCB" w:rsidP="001C2CCB">
      <w:pPr>
        <w:pStyle w:val="ListParagraph"/>
        <w:rPr>
          <w:rFonts w:ascii="Times New Roman" w:hAnsi="Times New Roman" w:cs="Times New Roman"/>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Lagos State Arbitration Law, No 18 of 2009.</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Lagos State v P.H.C.N &amp; 2ors</w:t>
      </w:r>
      <w:r w:rsidRPr="00944EB8">
        <w:rPr>
          <w:rFonts w:ascii="Times New Roman" w:hAnsi="Times New Roman" w:cs="Times New Roman"/>
          <w:sz w:val="24"/>
          <w:szCs w:val="24"/>
        </w:rPr>
        <w:t xml:space="preserve"> (2012) 7 CLRN at page 134</w:t>
      </w: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Lather, P., 2011. Research as Praxis. Harvard Educational Review 56, 257–278. https://doi.org/10.17763/haer.56.3.bj2h231877069482</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Logan, N., 2016. The Starbucks Race Together Initiative: Analyzing a public relations campaign with critical race theory. Public Relations Inquiry 5, 93–113. https://doi.org/10.1177/2046147X15626969</w:t>
      </w:r>
    </w:p>
    <w:p w:rsidR="001C2CCB" w:rsidRPr="00F4797E"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Lord Mustill, (1993) Comments and Conclusions in Conservatory Provisional Measures in International Arbitration, 9th Joint Colloquium, ICC Publication p. 118.</w:t>
      </w:r>
    </w:p>
    <w:p w:rsidR="001C2CCB" w:rsidRPr="00F4797E" w:rsidRDefault="001C2CCB" w:rsidP="001C2CCB">
      <w:pPr>
        <w:pStyle w:val="ListParagrap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60192C">
        <w:rPr>
          <w:rFonts w:ascii="Times New Roman" w:hAnsi="Times New Roman" w:cs="Times New Roman"/>
          <w:sz w:val="24"/>
          <w:szCs w:val="24"/>
        </w:rPr>
        <w:t>Mackenzie, N., Knipe, S., 2006. Research dilemmas: Paradigms, methods and methodology. Issues in Educational Research 16, 193–205.</w:t>
      </w: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Makombe, G., 2017. An Expose of the Relationship between Paradigm, Method and Design in Research. The Qualitative Report 22, 3363–3382. https://doi.org/10.46743/2160-3715/2017.3054</w:t>
      </w:r>
    </w:p>
    <w:p w:rsidR="001C2CCB" w:rsidRPr="00F4797E" w:rsidRDefault="001C2CCB" w:rsidP="001C2CCB">
      <w:pPr>
        <w:spacing w:before="0" w:after="0"/>
        <w:jc w:val="bot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b/>
          <w:bCs/>
          <w:i/>
          <w:iCs/>
          <w:sz w:val="24"/>
          <w:szCs w:val="24"/>
        </w:rPr>
      </w:pPr>
      <w:r w:rsidRPr="00944EB8">
        <w:rPr>
          <w:rFonts w:ascii="Times New Roman" w:hAnsi="Times New Roman" w:cs="Times New Roman"/>
          <w:b/>
          <w:bCs/>
          <w:i/>
          <w:iCs/>
          <w:sz w:val="24"/>
          <w:szCs w:val="24"/>
        </w:rPr>
        <w:t>Mekwunye v. Lotus Capital Ltd (2018) LPELR-45546 (CA)</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Miles, M.B., Huberman, A.M., 1994. Qualitative Data Analysis: An Expanded Sourcebook. SAGE.</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Moreno, J.L., 1947. Contributions of Sociometry to Research Methodology in Sociology. American Sociological Review 12, 287–292. https://doi.org/10.2307/2086518</w:t>
      </w:r>
    </w:p>
    <w:p w:rsidR="001C2CCB" w:rsidRPr="00944EB8" w:rsidRDefault="001C2CCB" w:rsidP="001C2CCB">
      <w:pPr>
        <w:pStyle w:val="ListParagraph"/>
        <w:rPr>
          <w:rFonts w:ascii="Times New Roman" w:hAnsi="Times New Roman" w:cs="Times New Roman"/>
          <w:b/>
          <w:bCs/>
          <w:i/>
          <w:iCs/>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b/>
          <w:bCs/>
          <w:i/>
          <w:iCs/>
          <w:sz w:val="24"/>
          <w:szCs w:val="24"/>
        </w:rPr>
      </w:pPr>
      <w:r w:rsidRPr="00944EB8">
        <w:rPr>
          <w:rFonts w:ascii="Times New Roman" w:hAnsi="Times New Roman" w:cs="Times New Roman"/>
          <w:b/>
          <w:bCs/>
          <w:i/>
          <w:iCs/>
          <w:sz w:val="24"/>
          <w:szCs w:val="24"/>
        </w:rPr>
        <w:t>North Pole Navigation Co. Ltd v. Milan (Nig) Ltd (2015) LPELR-25865(CA)</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lastRenderedPageBreak/>
        <w:t xml:space="preserve">O. Akpata &amp; O. Adegbonmire, (2019), </w:t>
      </w:r>
      <w:r w:rsidRPr="00944EB8">
        <w:rPr>
          <w:rFonts w:ascii="Times New Roman" w:eastAsia="Times New Roman" w:hAnsi="Times New Roman" w:cs="Times New Roman"/>
          <w:sz w:val="24"/>
          <w:szCs w:val="24"/>
        </w:rPr>
        <w:t>The Nigerian Arbitration Law in Focus (2</w:t>
      </w:r>
      <w:r w:rsidRPr="00944EB8">
        <w:rPr>
          <w:rFonts w:ascii="Times New Roman" w:eastAsia="Times New Roman" w:hAnsi="Times New Roman" w:cs="Times New Roman"/>
          <w:sz w:val="24"/>
          <w:szCs w:val="24"/>
          <w:vertAlign w:val="superscript"/>
        </w:rPr>
        <w:t>nd</w:t>
      </w:r>
      <w:r w:rsidRPr="00944EB8">
        <w:rPr>
          <w:rFonts w:ascii="Times New Roman" w:eastAsia="Times New Roman" w:hAnsi="Times New Roman" w:cs="Times New Roman"/>
          <w:sz w:val="24"/>
          <w:szCs w:val="24"/>
        </w:rPr>
        <w:t xml:space="preserve"> edn) West African Book Publishers Ltd, Lagos (2019) 35.  </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Bibliography"/>
        <w:numPr>
          <w:ilvl w:val="0"/>
          <w:numId w:val="5"/>
        </w:numPr>
        <w:spacing w:before="0"/>
        <w:jc w:val="both"/>
        <w:rPr>
          <w:rFonts w:ascii="Times New Roman" w:hAnsi="Times New Roman" w:cs="Times New Roman"/>
          <w:sz w:val="24"/>
          <w:szCs w:val="24"/>
        </w:rPr>
      </w:pPr>
      <w:r w:rsidRPr="00944EB8">
        <w:rPr>
          <w:rFonts w:ascii="Times New Roman" w:hAnsi="Times New Roman" w:cs="Times New Roman"/>
          <w:sz w:val="24"/>
          <w:szCs w:val="24"/>
        </w:rPr>
        <w:t>Olatawura, O.O., 2012. Stay of Proceedings in Nigerian Law of Arbitration – An Analysis of its Functions, Applications and Problems. Arbitration International 28, 689–720. https://doi.org/10.1093/arbitration/28.4.689</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Onward Enterprises Ltd v. MV Matrix (2010)</w:t>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2 NWLR (pt 1179) 530</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Bibliography"/>
        <w:numPr>
          <w:ilvl w:val="0"/>
          <w:numId w:val="5"/>
        </w:numPr>
        <w:spacing w:before="0"/>
        <w:jc w:val="both"/>
        <w:rPr>
          <w:rFonts w:ascii="Times New Roman" w:hAnsi="Times New Roman" w:cs="Times New Roman"/>
          <w:sz w:val="24"/>
          <w:szCs w:val="24"/>
        </w:rPr>
      </w:pPr>
      <w:r w:rsidRPr="00944EB8">
        <w:rPr>
          <w:rFonts w:ascii="Times New Roman" w:hAnsi="Times New Roman" w:cs="Times New Roman"/>
          <w:sz w:val="24"/>
          <w:szCs w:val="24"/>
        </w:rPr>
        <w:t>Oyekunle, T. &amp; Ojo, B., 2018. Handbook of Arbitration and ADR Practice in Nigeria. Durban: LexisNexis.</w:t>
      </w:r>
    </w:p>
    <w:p w:rsidR="001C2CCB" w:rsidRPr="00944EB8" w:rsidRDefault="001C2CCB" w:rsidP="001C2CCB">
      <w:pPr>
        <w:pStyle w:val="Bibliography"/>
        <w:spacing w:before="0"/>
        <w:ind w:firstLine="0"/>
        <w:jc w:val="both"/>
        <w:rPr>
          <w:rFonts w:ascii="Times New Roman" w:eastAsia="Times New Roman" w:hAnsi="Times New Roman" w:cs="Times New Roman"/>
          <w:sz w:val="24"/>
          <w:szCs w:val="24"/>
          <w:lang w:eastAsia="en-GB"/>
        </w:rPr>
      </w:pPr>
    </w:p>
    <w:p w:rsidR="001C2CCB" w:rsidRPr="00944EB8" w:rsidRDefault="001C2CCB" w:rsidP="001C2CCB">
      <w:pPr>
        <w:pStyle w:val="Bibliography"/>
        <w:numPr>
          <w:ilvl w:val="0"/>
          <w:numId w:val="5"/>
        </w:numPr>
        <w:spacing w:before="0"/>
        <w:jc w:val="both"/>
        <w:rPr>
          <w:rFonts w:ascii="Times New Roman" w:eastAsia="Times New Roman" w:hAnsi="Times New Roman" w:cs="Times New Roman"/>
          <w:sz w:val="24"/>
          <w:szCs w:val="24"/>
          <w:lang w:eastAsia="en-GB"/>
        </w:rPr>
      </w:pPr>
      <w:r w:rsidRPr="00944EB8">
        <w:rPr>
          <w:rFonts w:ascii="Times New Roman" w:eastAsia="Times New Roman" w:hAnsi="Times New Roman" w:cs="Times New Roman"/>
          <w:sz w:val="24"/>
          <w:szCs w:val="24"/>
          <w:lang w:eastAsia="en-GB"/>
        </w:rPr>
        <w:t>A. Redfern, (1986) ‘International Commercial Arbitration: Jurisdiction Denied: The Pyramid Collapses’ JBL 15.</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 xml:space="preserve">Panormos Bay v Olam </w:t>
      </w:r>
      <w:r w:rsidRPr="00944EB8">
        <w:rPr>
          <w:rFonts w:ascii="Times New Roman" w:eastAsia="Times New Roman" w:hAnsi="Times New Roman" w:cs="Times New Roman"/>
          <w:sz w:val="24"/>
          <w:szCs w:val="24"/>
        </w:rPr>
        <w:t xml:space="preserve">(2004) 5 NWLR </w:t>
      </w:r>
      <w:r w:rsidRPr="00944EB8">
        <w:rPr>
          <w:rFonts w:ascii="Times New Roman" w:eastAsiaTheme="minorHAnsi" w:hAnsi="Times New Roman" w:cs="Times New Roman"/>
          <w:sz w:val="24"/>
          <w:szCs w:val="24"/>
        </w:rPr>
        <w:t>(Pt 865) 1</w:t>
      </w:r>
    </w:p>
    <w:p w:rsidR="001C2CCB" w:rsidRPr="00F4797E"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 xml:space="preserve">Paris, D., Winn, M.T. (Eds.), 2013. Humanizing Research: Decolonizing Qualitative Inquiry </w:t>
      </w:r>
      <w:proofErr w:type="gramStart"/>
      <w:r w:rsidRPr="0060192C">
        <w:rPr>
          <w:rFonts w:ascii="Times New Roman" w:hAnsi="Times New Roman" w:cs="Times New Roman"/>
          <w:sz w:val="24"/>
          <w:szCs w:val="24"/>
        </w:rPr>
        <w:t>With</w:t>
      </w:r>
      <w:proofErr w:type="gramEnd"/>
      <w:r w:rsidRPr="0060192C">
        <w:rPr>
          <w:rFonts w:ascii="Times New Roman" w:hAnsi="Times New Roman" w:cs="Times New Roman"/>
          <w:sz w:val="24"/>
          <w:szCs w:val="24"/>
        </w:rPr>
        <w:t xml:space="preserve"> Youth and Communities, 1st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SAGE Publications, Inc, Thousand Oaks.</w:t>
      </w:r>
    </w:p>
    <w:p w:rsidR="001C2CCB" w:rsidRDefault="001C2CCB" w:rsidP="001C2CCB">
      <w:pPr>
        <w:pStyle w:val="ListParagraph"/>
        <w:numPr>
          <w:ilvl w:val="0"/>
          <w:numId w:val="5"/>
        </w:numPr>
        <w:rPr>
          <w:rFonts w:ascii="Times New Roman" w:hAnsi="Times New Roman" w:cs="Times New Roman"/>
          <w:b/>
          <w:bCs/>
          <w:i/>
          <w:iCs/>
          <w:sz w:val="24"/>
          <w:szCs w:val="24"/>
        </w:rPr>
      </w:pPr>
      <w:r w:rsidRPr="00944EB8">
        <w:rPr>
          <w:rFonts w:ascii="Times New Roman" w:hAnsi="Times New Roman" w:cs="Times New Roman"/>
          <w:b/>
          <w:bCs/>
          <w:i/>
          <w:iCs/>
          <w:sz w:val="24"/>
          <w:szCs w:val="24"/>
        </w:rPr>
        <w:t>Ras Palgazi Construction Company Limited v. Federal Capital Development Authority (2001) 10 NWLR (Pt. 722) 559</w:t>
      </w:r>
    </w:p>
    <w:p w:rsidR="001C2CCB" w:rsidRPr="00944EB8" w:rsidRDefault="001C2CCB" w:rsidP="001C2CCB">
      <w:pPr>
        <w:pStyle w:val="ListParagraph"/>
        <w:numPr>
          <w:ilvl w:val="0"/>
          <w:numId w:val="5"/>
        </w:numPr>
        <w:rPr>
          <w:rFonts w:ascii="Times New Roman" w:hAnsi="Times New Roman" w:cs="Times New Roman"/>
          <w:b/>
          <w:bCs/>
          <w:i/>
          <w:iCs/>
          <w:sz w:val="24"/>
          <w:szCs w:val="24"/>
        </w:rPr>
      </w:pPr>
      <w:r w:rsidRPr="0060192C">
        <w:rPr>
          <w:rFonts w:ascii="Times New Roman" w:hAnsi="Times New Roman" w:cs="Times New Roman"/>
          <w:sz w:val="24"/>
          <w:szCs w:val="24"/>
        </w:rPr>
        <w:t>Reading the “Problem of Evaluation” in Social Inquiry - Thomas A. Schwandt, 1997 [WWW Document], n.d. URL https://journals.sagepub.com/doi/10.1177/107780049700300101 (accessed 8.15.21).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eastAsiaTheme="minorHAnsi" w:hAnsi="Times New Roman" w:cs="Times New Roman"/>
          <w:sz w:val="24"/>
          <w:szCs w:val="24"/>
        </w:rPr>
        <w:t>Robert E. Lutz, (1988) ‘International Arbitration and Judicial Intervention’ 10 Loy. L.A. Int'l &amp; Comp. L. Rev. 621 available at</w:t>
      </w:r>
      <w:proofErr w:type="gramStart"/>
      <w:r w:rsidRPr="00944EB8">
        <w:rPr>
          <w:rFonts w:ascii="Times New Roman" w:eastAsiaTheme="minorHAnsi" w:hAnsi="Times New Roman" w:cs="Times New Roman"/>
          <w:sz w:val="24"/>
          <w:szCs w:val="24"/>
        </w:rPr>
        <w:t xml:space="preserve">: </w:t>
      </w:r>
      <w:proofErr w:type="gramEnd"/>
      <w:r>
        <w:fldChar w:fldCharType="begin"/>
      </w:r>
      <w:r>
        <w:instrText>HYPERLINK "http://digitalcommons.lmu.edu/ilr/vol10/iss3/6"</w:instrText>
      </w:r>
      <w:r>
        <w:fldChar w:fldCharType="separate"/>
      </w:r>
      <w:r w:rsidRPr="00944EB8">
        <w:rPr>
          <w:rStyle w:val="Hyperlink"/>
          <w:rFonts w:ascii="Times New Roman" w:eastAsiaTheme="minorHAnsi" w:hAnsi="Times New Roman" w:cs="Times New Roman"/>
          <w:color w:val="auto"/>
          <w:sz w:val="24"/>
          <w:szCs w:val="24"/>
        </w:rPr>
        <w:t>http://digitalcommons.lmu.edu/ilr/vol10/iss3/6</w:t>
      </w:r>
      <w:r>
        <w:fldChar w:fldCharType="end"/>
      </w:r>
      <w:r w:rsidRPr="00944EB8">
        <w:rPr>
          <w:rFonts w:ascii="Times New Roman" w:eastAsiaTheme="minorHAnsi" w:hAnsi="Times New Roman" w:cs="Times New Roman"/>
          <w:sz w:val="24"/>
          <w:szCs w:val="24"/>
        </w:rPr>
        <w:t xml:space="preserve">. </w:t>
      </w:r>
      <w:r w:rsidRPr="00944EB8">
        <w:rPr>
          <w:rFonts w:ascii="Times New Roman" w:hAnsi="Times New Roman" w:cs="Times New Roman"/>
          <w:sz w:val="24"/>
          <w:szCs w:val="24"/>
        </w:rPr>
        <w:t>Accessed on 24 January 2021.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Royal Exchange Assur. v. Bentworth Fin. (Nig.) Ltd</w:t>
      </w:r>
      <w:r w:rsidRPr="00944EB8">
        <w:rPr>
          <w:rFonts w:ascii="Times New Roman" w:hAnsi="Times New Roman" w:cs="Times New Roman"/>
          <w:b/>
          <w:bCs/>
          <w:sz w:val="24"/>
          <w:szCs w:val="24"/>
        </w:rPr>
        <w:t xml:space="preserve">. </w:t>
      </w:r>
      <w:r w:rsidRPr="00944EB8">
        <w:rPr>
          <w:rFonts w:ascii="Times New Roman" w:hAnsi="Times New Roman" w:cs="Times New Roman"/>
          <w:sz w:val="24"/>
          <w:szCs w:val="24"/>
        </w:rPr>
        <w:t>(1976) 10 NSCC 648 at 657</w:t>
      </w:r>
    </w:p>
    <w:p w:rsidR="001C2CCB" w:rsidRPr="00F4797E" w:rsidRDefault="001C2CCB" w:rsidP="001C2CCB">
      <w:pPr>
        <w:pStyle w:val="ListParagraph"/>
        <w:rPr>
          <w:rFonts w:ascii="Times New Roman" w:hAnsi="Times New Roman" w:cs="Times New Roman"/>
          <w:sz w:val="24"/>
          <w:szCs w:val="24"/>
        </w:rPr>
      </w:pPr>
    </w:p>
    <w:p w:rsidR="001C2CCB" w:rsidRPr="00F4797E"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Samuel, A., 1989. Jurisdictional problems in international commercial arbitration: A study of Belgian, Dutch, English, French, Swedish, Swiss, U.S., and West German law ... de l’Institut suisse de droit comparé). Schulthess Polygraphischer Verlag, Zürich.</w:t>
      </w:r>
    </w:p>
    <w:p w:rsidR="001C2CCB" w:rsidRPr="00944EB8" w:rsidRDefault="001C2CCB" w:rsidP="001C2CCB">
      <w:pPr>
        <w:pStyle w:val="ListParagraph"/>
        <w:rPr>
          <w:rFonts w:ascii="Times New Roman" w:hAnsi="Times New Roman" w:cs="Times New Roman"/>
          <w:sz w:val="24"/>
          <w:szCs w:val="24"/>
        </w:rPr>
      </w:pPr>
    </w:p>
    <w:p w:rsidR="001C2CCB" w:rsidRPr="00F4797E" w:rsidRDefault="001C2CCB" w:rsidP="001C2CCB">
      <w:pPr>
        <w:pStyle w:val="ListParagraph"/>
        <w:numPr>
          <w:ilvl w:val="0"/>
          <w:numId w:val="5"/>
        </w:numPr>
        <w:spacing w:before="0"/>
        <w:rPr>
          <w:rFonts w:ascii="Times New Roman" w:hAnsi="Times New Roman" w:cs="Times New Roman"/>
          <w:b/>
          <w:bCs/>
          <w:i/>
          <w:iCs/>
          <w:sz w:val="24"/>
          <w:szCs w:val="24"/>
        </w:rPr>
      </w:pPr>
      <w:r w:rsidRPr="00944EB8">
        <w:rPr>
          <w:rFonts w:ascii="Times New Roman" w:hAnsi="Times New Roman" w:cs="Times New Roman"/>
          <w:b/>
          <w:bCs/>
          <w:i/>
          <w:iCs/>
          <w:sz w:val="24"/>
          <w:szCs w:val="24"/>
        </w:rPr>
        <w:t>Saviola Ltd v A. O. Sonubi (2000) LPELR-7 (SC)</w:t>
      </w:r>
    </w:p>
    <w:p w:rsidR="001C2CCB" w:rsidRPr="0060192C"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Scotland, J., 2012. Exploring the Philosophical Underpinnings of Research: Relating Ontology and Epistemology to the Methodology and Methods of the Scientific, Interpretive, and Critical Research Paradigms. English Language Teaching 5. https://doi.org/10.5539/elt.v5n9p9</w:t>
      </w: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lastRenderedPageBreak/>
        <w:t xml:space="preserve">Scott, D., Usher, R., 2010. Researching Education: Data, Methods and Theory in Educational Enquiry, 2nd edition. </w:t>
      </w:r>
      <w:proofErr w:type="gramStart"/>
      <w:r w:rsidRPr="0060192C">
        <w:rPr>
          <w:rFonts w:ascii="Times New Roman" w:hAnsi="Times New Roman" w:cs="Times New Roman"/>
          <w:sz w:val="24"/>
          <w:szCs w:val="24"/>
        </w:rPr>
        <w:t>ed</w:t>
      </w:r>
      <w:proofErr w:type="gramEnd"/>
      <w:r w:rsidRPr="0060192C">
        <w:rPr>
          <w:rFonts w:ascii="Times New Roman" w:hAnsi="Times New Roman" w:cs="Times New Roman"/>
          <w:sz w:val="24"/>
          <w:szCs w:val="24"/>
        </w:rPr>
        <w:t>. Continuum, London ; New York.</w:t>
      </w:r>
    </w:p>
    <w:p w:rsidR="001C2CCB" w:rsidRPr="00B62A86" w:rsidRDefault="001C2CCB" w:rsidP="001C2CCB">
      <w:pPr>
        <w:spacing w:after="0"/>
        <w:rPr>
          <w:lang w:val="en-GB"/>
        </w:rPr>
      </w:pPr>
    </w:p>
    <w:p w:rsidR="001C2CCB" w:rsidRPr="00B62A86" w:rsidRDefault="001C2CCB" w:rsidP="001C2CCB">
      <w:pPr>
        <w:pStyle w:val="ListParagraph"/>
        <w:numPr>
          <w:ilvl w:val="0"/>
          <w:numId w:val="5"/>
        </w:numPr>
        <w:autoSpaceDE w:val="0"/>
        <w:autoSpaceDN w:val="0"/>
        <w:adjustRightInd w:val="0"/>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See for instance </w:t>
      </w:r>
      <w:r w:rsidRPr="00944EB8">
        <w:rPr>
          <w:rFonts w:ascii="Times New Roman" w:hAnsi="Times New Roman" w:cs="Times New Roman"/>
          <w:b/>
          <w:bCs/>
          <w:i/>
          <w:iCs/>
          <w:sz w:val="24"/>
          <w:szCs w:val="24"/>
        </w:rPr>
        <w:t xml:space="preserve">African Insurance Development Corporation v. Nigeria Liquified Natural Gas </w:t>
      </w:r>
      <w:r w:rsidRPr="00944EB8">
        <w:rPr>
          <w:rFonts w:ascii="Times New Roman" w:eastAsia="Times New Roman" w:hAnsi="Times New Roman" w:cs="Times New Roman"/>
          <w:b/>
          <w:bCs/>
          <w:i/>
          <w:iCs/>
          <w:sz w:val="24"/>
          <w:szCs w:val="24"/>
        </w:rPr>
        <w:t xml:space="preserve">(2000) 4 NWLR (Pt. 653) </w:t>
      </w:r>
      <w:r w:rsidRPr="00944EB8">
        <w:rPr>
          <w:rFonts w:ascii="Times New Roman" w:hAnsi="Times New Roman" w:cs="Times New Roman"/>
          <w:b/>
          <w:bCs/>
          <w:i/>
          <w:iCs/>
          <w:sz w:val="24"/>
          <w:szCs w:val="24"/>
        </w:rPr>
        <w:t xml:space="preserve">49; United Bank for Africa v. Trident Consulting Ltd </w:t>
      </w:r>
      <w:r w:rsidRPr="00944EB8">
        <w:rPr>
          <w:rFonts w:ascii="Times New Roman" w:eastAsia="Times New Roman" w:hAnsi="Times New Roman" w:cs="Times New Roman"/>
          <w:b/>
          <w:bCs/>
          <w:i/>
          <w:iCs/>
          <w:sz w:val="24"/>
          <w:szCs w:val="24"/>
        </w:rPr>
        <w:t xml:space="preserve">(2013) 4 CLRN 119; </w:t>
      </w:r>
      <w:r w:rsidRPr="00944EB8">
        <w:rPr>
          <w:rFonts w:ascii="Times New Roman" w:hAnsi="Times New Roman" w:cs="Times New Roman"/>
          <w:b/>
          <w:bCs/>
          <w:i/>
          <w:iCs/>
          <w:sz w:val="24"/>
          <w:szCs w:val="24"/>
        </w:rPr>
        <w:t>MV Parnomos Bay V Olam (Nig) Ltd. (2004) 5 NWLR (Pt. 865) 1</w:t>
      </w:r>
      <w:r w:rsidRPr="00944EB8">
        <w:rPr>
          <w:rFonts w:ascii="Times New Roman" w:hAnsi="Times New Roman" w:cs="Times New Roman"/>
          <w:sz w:val="24"/>
          <w:szCs w:val="24"/>
        </w:rPr>
        <w:t xml:space="preserve">; </w:t>
      </w:r>
      <w:r w:rsidRPr="00944EB8">
        <w:rPr>
          <w:rFonts w:ascii="Times New Roman" w:eastAsia="Times New Roman" w:hAnsi="Times New Roman" w:cs="Times New Roman"/>
          <w:b/>
          <w:bCs/>
          <w:i/>
          <w:iCs/>
          <w:sz w:val="24"/>
          <w:szCs w:val="24"/>
        </w:rPr>
        <w:t xml:space="preserve">Charles Mekwunye v Lotus Capital </w:t>
      </w:r>
      <w:r w:rsidRPr="00944EB8">
        <w:rPr>
          <w:rFonts w:ascii="Times New Roman" w:hAnsi="Times New Roman" w:cs="Times New Roman"/>
          <w:sz w:val="24"/>
          <w:szCs w:val="24"/>
        </w:rPr>
        <w:t>(2018) LPELR-45546 (CA)</w:t>
      </w:r>
      <w:r w:rsidRPr="00944EB8">
        <w:rPr>
          <w:rFonts w:ascii="Times New Roman" w:eastAsia="Times New Roman" w:hAnsi="Times New Roman" w:cs="Times New Roman"/>
          <w:sz w:val="24"/>
          <w:szCs w:val="24"/>
        </w:rPr>
        <w:t>. See generally O. O. Olatawura ‘Stay of Proceedings in Nigerian Law of Arbitration – An Analysis of its Functions, Applications and Problems’ Arbitration International Vol 28, Issue 4, 1 December 2012, pgs 689 – 720.</w:t>
      </w:r>
    </w:p>
    <w:p w:rsidR="001C2CCB" w:rsidRPr="00B62A86" w:rsidRDefault="001C2CCB" w:rsidP="001C2CCB">
      <w:pPr>
        <w:pStyle w:val="ListParagraph"/>
        <w:autoSpaceDE w:val="0"/>
        <w:autoSpaceDN w:val="0"/>
        <w:adjustRightInd w:val="0"/>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See for instance Article 16 of the UNCITRAL Model Law.</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Default="001C2CCB" w:rsidP="001C2CCB">
      <w:pPr>
        <w:pStyle w:val="ListParagraph"/>
        <w:numPr>
          <w:ilvl w:val="0"/>
          <w:numId w:val="5"/>
        </w:numPr>
        <w:autoSpaceDE w:val="0"/>
        <w:autoSpaceDN w:val="0"/>
        <w:adjustRightInd w:val="0"/>
        <w:spacing w:before="0" w:after="0"/>
        <w:jc w:val="both"/>
        <w:rPr>
          <w:rFonts w:ascii="Times New Roman" w:hAnsi="Times New Roman" w:cs="Times New Roman"/>
          <w:sz w:val="24"/>
          <w:szCs w:val="24"/>
        </w:rPr>
      </w:pPr>
      <w:r w:rsidRPr="00944EB8">
        <w:rPr>
          <w:rFonts w:ascii="Times New Roman" w:hAnsi="Times New Roman" w:cs="Times New Roman"/>
          <w:sz w:val="24"/>
          <w:szCs w:val="24"/>
        </w:rPr>
        <w:t xml:space="preserve">See generally Oyekunle, T. &amp; Ojo, </w:t>
      </w:r>
      <w:proofErr w:type="gramStart"/>
      <w:r w:rsidRPr="00944EB8">
        <w:rPr>
          <w:rFonts w:ascii="Times New Roman" w:hAnsi="Times New Roman" w:cs="Times New Roman"/>
          <w:sz w:val="24"/>
          <w:szCs w:val="24"/>
        </w:rPr>
        <w:t>B</w:t>
      </w:r>
      <w:proofErr w:type="gramEnd"/>
      <w:r w:rsidRPr="00944EB8">
        <w:rPr>
          <w:rFonts w:ascii="Times New Roman" w:hAnsi="Times New Roman" w:cs="Times New Roman"/>
          <w:sz w:val="24"/>
          <w:szCs w:val="24"/>
        </w:rPr>
        <w:t xml:space="preserve">. (2018) </w:t>
      </w:r>
      <w:r w:rsidRPr="00944EB8">
        <w:rPr>
          <w:rFonts w:ascii="Times New Roman" w:hAnsi="Times New Roman" w:cs="Times New Roman"/>
          <w:i/>
          <w:iCs/>
          <w:sz w:val="24"/>
          <w:szCs w:val="24"/>
        </w:rPr>
        <w:t>Handbook of Arbitration and ADR Practice in Nigeria</w:t>
      </w:r>
      <w:r w:rsidRPr="00944EB8">
        <w:rPr>
          <w:rFonts w:ascii="Times New Roman" w:hAnsi="Times New Roman" w:cs="Times New Roman"/>
          <w:sz w:val="24"/>
          <w:szCs w:val="24"/>
        </w:rPr>
        <w:t>. Durban: LexisNexis.</w:t>
      </w:r>
    </w:p>
    <w:p w:rsidR="001C2CCB" w:rsidRPr="00B62A86"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eastAsiaTheme="minorHAnsi" w:hAnsi="Times New Roman" w:cs="Times New Roman"/>
          <w:sz w:val="24"/>
          <w:szCs w:val="24"/>
        </w:rPr>
        <w:t>Sharma, A. K. (2014) ‘Judicial Intervention in International Commercial Arbitration: Critiquing the Indian Supreme Court's Interpretation of the Arbitration and Conciliation Act, 1996’ 3:1 Indian Journal of Arbitration 6.</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B62A86"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eastAsiaTheme="minorHAnsi" w:hAnsi="Times New Roman" w:cs="Times New Roman"/>
          <w:sz w:val="24"/>
          <w:szCs w:val="24"/>
        </w:rPr>
        <w:t>Sino-Afric Agricultural &amp; Industrial Co Ltd v Ministry of Finance Incorporation and Another [2014] 10 NWLR (pt 1416) 515 at 538.</w:t>
      </w:r>
    </w:p>
    <w:p w:rsidR="001C2CCB" w:rsidRPr="00B62A86"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Something a Little Out of the Ordinary: Reflections on Becoming an Interpretivist Researcher in Special Education - Dianne L. Ferguson, 1993 [WWW Document], n.d. URL https://journals.sagepub.com/doi/10.1177/074193259301400408 (accessed 8.15.21).</w:t>
      </w:r>
    </w:p>
    <w:p w:rsidR="001C2CCB" w:rsidRPr="00B62A86" w:rsidRDefault="001C2CCB" w:rsidP="001C2CCB">
      <w:pPr>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Statoil (Nig.) Ltd &amp; Anor v. NNPC &amp; 3 Ors | Commercial Law Reports Nigeria [WWW Document], n.d. URL https://www.clrndirect.com/content/statoil-nig-ltd-anor-v-nnpc-3-ors (accessed 1.26.21b); Please see the case of Statoil (Nig) Ltd v NNPC (2013) 14 NWLR (Pt. 1373) 1 at 29 para E.</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Steelworkers v. Warrior &amp; Gulf Co., 363 U.S. 574 (1960) [WWW Document], n.d</w:t>
      </w:r>
      <w:proofErr w:type="gramStart"/>
      <w:r w:rsidRPr="00944EB8">
        <w:rPr>
          <w:rFonts w:ascii="Times New Roman" w:hAnsi="Times New Roman" w:cs="Times New Roman"/>
          <w:sz w:val="24"/>
          <w:szCs w:val="24"/>
        </w:rPr>
        <w:t>. .</w:t>
      </w:r>
      <w:proofErr w:type="gramEnd"/>
      <w:r w:rsidRPr="00944EB8">
        <w:rPr>
          <w:rFonts w:ascii="Times New Roman" w:hAnsi="Times New Roman" w:cs="Times New Roman"/>
          <w:sz w:val="24"/>
          <w:szCs w:val="24"/>
        </w:rPr>
        <w:t xml:space="preserve"> Justia Law. URL https://supreme.justia.com/cases/federal/us/363/574/ (accessed 4.3.21).</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Taylor Woodrow (Nig) Ltd v. Suddeutsche Etna-Werk GmbH Ltd (1993) 4 NWLR (Pt. 286) 127 at 155</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The Owners of MV Lupex v Nigerian Overseas Chartering &amp; Shipping Ltd (MV Lupex)</w:t>
      </w:r>
      <w:r w:rsidRPr="00944EB8">
        <w:rPr>
          <w:rFonts w:ascii="Times New Roman" w:hAnsi="Times New Roman" w:cs="Times New Roman"/>
          <w:sz w:val="24"/>
          <w:szCs w:val="24"/>
        </w:rPr>
        <w:t xml:space="preserve"> </w:t>
      </w:r>
      <w:r w:rsidRPr="00944EB8">
        <w:rPr>
          <w:rFonts w:ascii="Times New Roman" w:eastAsiaTheme="minorHAnsi" w:hAnsi="Times New Roman" w:cs="Times New Roman"/>
          <w:sz w:val="24"/>
          <w:szCs w:val="24"/>
        </w:rPr>
        <w:t>(2003) 15 NWLR (pt 844) 469</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lastRenderedPageBreak/>
        <w:t>The New York Convention » New York Convention, n.d.</w:t>
      </w:r>
    </w:p>
    <w:p w:rsidR="001C2CCB" w:rsidRPr="00944EB8" w:rsidRDefault="001C2CCB" w:rsidP="001C2CCB">
      <w:pPr>
        <w:pStyle w:val="ListParagraph"/>
        <w:rPr>
          <w:rFonts w:ascii="Times New Roman" w:hAnsi="Times New Roman" w:cs="Times New Roman"/>
          <w:sz w:val="24"/>
          <w:szCs w:val="24"/>
        </w:rPr>
      </w:pPr>
    </w:p>
    <w:p w:rsidR="001C2CCB" w:rsidRPr="00944EB8" w:rsidRDefault="001C2CCB" w:rsidP="001C2CCB">
      <w:pPr>
        <w:pStyle w:val="ListParagraph"/>
        <w:numPr>
          <w:ilvl w:val="0"/>
          <w:numId w:val="5"/>
        </w:numPr>
        <w:rPr>
          <w:rFonts w:ascii="Times New Roman" w:hAnsi="Times New Roman" w:cs="Times New Roman"/>
          <w:b/>
          <w:bCs/>
          <w:i/>
          <w:iCs/>
          <w:sz w:val="24"/>
          <w:szCs w:val="24"/>
        </w:rPr>
      </w:pPr>
      <w:r w:rsidRPr="00944EB8">
        <w:rPr>
          <w:rFonts w:ascii="Times New Roman" w:hAnsi="Times New Roman" w:cs="Times New Roman"/>
          <w:b/>
          <w:bCs/>
          <w:i/>
          <w:iCs/>
          <w:sz w:val="24"/>
          <w:szCs w:val="24"/>
        </w:rPr>
        <w:t>Triana Ltd v UTB Plc (2009) 12 NWLR (Pt. 1155) 313</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UNCITRAL Model Law on International Commercial Arbitration (1985) [WWW Document], 1985. URL https://www.jus.uio.no/lm/un.arbitration.model.law.1985/16.html (accessed 4.3.21).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b/>
          <w:bCs/>
          <w:i/>
          <w:iCs/>
          <w:sz w:val="24"/>
          <w:szCs w:val="24"/>
        </w:rPr>
        <w:t xml:space="preserve">United Bank for Africa v. Trident Consulting Ltd, </w:t>
      </w:r>
      <w:r w:rsidRPr="00944EB8">
        <w:rPr>
          <w:rFonts w:ascii="Times New Roman" w:hAnsi="Times New Roman" w:cs="Times New Roman"/>
          <w:b/>
          <w:bCs/>
          <w:i/>
          <w:iCs/>
          <w:sz w:val="24"/>
          <w:szCs w:val="24"/>
        </w:rPr>
        <w:fldChar w:fldCharType="begin"/>
      </w:r>
      <w:r w:rsidRPr="00944EB8">
        <w:rPr>
          <w:rFonts w:ascii="Times New Roman" w:hAnsi="Times New Roman" w:cs="Times New Roman"/>
          <w:b/>
          <w:bCs/>
          <w:i/>
          <w:iCs/>
          <w:sz w:val="24"/>
          <w:szCs w:val="24"/>
        </w:rPr>
        <w:instrText xml:space="preserve"> ADDIN ZOTERO_ITEM CSL_CITATION {"citationID":"1CWKbGy0","properties":{"formattedCitation":"(\\uc0\\u8220{}United Bank For Africa plc. V Trident Consulting Limited Qualified,\\uc0\\u8221{} n.d.)","plainCitation":"(“United Bank For Africa plc. V Trident Consulting Limited Qualified,” n.d.)","noteIndex":0},"citationItems":[{"id":636,"uris":["http://zotero.org/users/local/arLofKbg/items/D8I7CFJI"],"uri":["http://zotero.org/users/local/arLofKbg/items/D8I7CFJI"],"itemData":{"id":636,"type":"webpage","abstract":"In a recent decision, the Court of Appeal sitting in Lagos, in Dr. Charles D. Mekwunye v. Lotus Capital Limited &amp; 4 Ors. (SUIT NO: CA/L/1349/2016 – judgment delivered on April 20, 2018), clarified...","container-title":"Banwo &amp; Ighodalo","title":"United Bank For Africa plc. V Trident Consulting Limited Qualified","URL":"https://banwo-ighodalo.com/news/united-bank-for-africa-plc-v-trident-consulting-limited-qualified","accessed":{"date-parts":[["2021",4,22]]}}}],"schema":"https://github.com/citation-style-language/schema/raw/master/csl-citation.json"} </w:instrText>
      </w:r>
      <w:r w:rsidRPr="00944EB8">
        <w:rPr>
          <w:rFonts w:ascii="Times New Roman" w:hAnsi="Times New Roman" w:cs="Times New Roman"/>
          <w:b/>
          <w:bCs/>
          <w:i/>
          <w:iCs/>
          <w:sz w:val="24"/>
          <w:szCs w:val="24"/>
        </w:rPr>
        <w:fldChar w:fldCharType="separate"/>
      </w:r>
      <w:r w:rsidRPr="00944EB8">
        <w:rPr>
          <w:rFonts w:ascii="Times New Roman" w:eastAsia="Times New Roman" w:hAnsi="Times New Roman" w:cs="Times New Roman"/>
          <w:sz w:val="24"/>
          <w:szCs w:val="24"/>
        </w:rPr>
        <w:t>(2013) 4 CLRN 119</w:t>
      </w:r>
      <w:r w:rsidRPr="00944EB8">
        <w:rPr>
          <w:rFonts w:ascii="Times New Roman" w:hAnsi="Times New Roman" w:cs="Times New Roman"/>
          <w:sz w:val="24"/>
          <w:szCs w:val="24"/>
        </w:rPr>
        <w:t>)</w:t>
      </w:r>
      <w:r w:rsidRPr="00944EB8">
        <w:rPr>
          <w:rFonts w:ascii="Times New Roman" w:hAnsi="Times New Roman" w:cs="Times New Roman"/>
          <w:b/>
          <w:bCs/>
          <w:i/>
          <w:iCs/>
          <w:sz w:val="24"/>
          <w:szCs w:val="24"/>
        </w:rPr>
        <w:fldChar w:fldCharType="end"/>
      </w:r>
      <w:r w:rsidRPr="00944EB8">
        <w:rPr>
          <w:rFonts w:ascii="Times New Roman" w:hAnsi="Times New Roman" w:cs="Times New Roman"/>
          <w:b/>
          <w:bCs/>
          <w:i/>
          <w:iCs/>
          <w:sz w:val="24"/>
          <w:szCs w:val="24"/>
        </w:rPr>
        <w:t xml:space="preserve"> </w:t>
      </w:r>
      <w:r w:rsidRPr="00944EB8">
        <w:rPr>
          <w:rFonts w:ascii="Times New Roman" w:hAnsi="Times New Roman" w:cs="Times New Roman"/>
          <w:sz w:val="24"/>
          <w:szCs w:val="24"/>
        </w:rPr>
        <w:t>[WWW Document], n.d. . Banwo &amp; Ighodalo. URL https://banwo-ighodalo.com/news/united-bank-for-africa-plc-v-trident-consulting-limited-qualified (accessed 4.22.21).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Van der Berg, A. (1981) The New York Convention of 1958 1.</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B62A86" w:rsidRDefault="001C2CCB" w:rsidP="001C2CCB">
      <w:pPr>
        <w:pStyle w:val="ListParagraph"/>
        <w:numPr>
          <w:ilvl w:val="0"/>
          <w:numId w:val="5"/>
        </w:numPr>
        <w:spacing w:before="0" w:after="0"/>
        <w:jc w:val="both"/>
        <w:rPr>
          <w:rFonts w:ascii="Times New Roman" w:hAnsi="Times New Roman" w:cs="Times New Roman"/>
          <w:sz w:val="24"/>
          <w:szCs w:val="24"/>
        </w:rPr>
      </w:pPr>
      <w:r w:rsidRPr="00944EB8">
        <w:rPr>
          <w:rFonts w:ascii="Times New Roman" w:hAnsi="Times New Roman" w:cs="Times New Roman"/>
          <w:sz w:val="24"/>
          <w:szCs w:val="24"/>
        </w:rPr>
        <w:t>West Tankers Inc v RAS Riunione Adriatica di Sicurta SpA [2007] UKHL 4 – anti-suit injunctions in support of arbitration | Lexology [WWW Document], n.d. URL https://www.lexology.com/library/detail.aspx?g=5accb6dc-b442-4aa9-a67e-3f4b7d472960 (accessed 1.18.21).</w:t>
      </w:r>
    </w:p>
    <w:p w:rsidR="001C2CCB" w:rsidRDefault="001C2CCB" w:rsidP="001C2CCB">
      <w:pPr>
        <w:pStyle w:val="Bibliography"/>
        <w:numPr>
          <w:ilvl w:val="0"/>
          <w:numId w:val="5"/>
        </w:numPr>
        <w:jc w:val="both"/>
        <w:rPr>
          <w:rFonts w:ascii="Times New Roman" w:hAnsi="Times New Roman" w:cs="Times New Roman"/>
          <w:sz w:val="24"/>
          <w:szCs w:val="24"/>
        </w:rPr>
      </w:pPr>
      <w:r w:rsidRPr="0060192C">
        <w:rPr>
          <w:rFonts w:ascii="Times New Roman" w:hAnsi="Times New Roman" w:cs="Times New Roman"/>
          <w:sz w:val="24"/>
          <w:szCs w:val="24"/>
        </w:rPr>
        <w:t>Xinping, Z., 2002. Interpretivist Research, Positivist Research, and Field Research. Chinese Education &amp; Society 35, 39–46. https://doi.org/10.2753/CED1061-1932350239</w:t>
      </w:r>
    </w:p>
    <w:p w:rsidR="001C2CCB" w:rsidRDefault="001C2CCB" w:rsidP="001C2CCB">
      <w:pPr>
        <w:pStyle w:val="Bibliography"/>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Link to </w:t>
      </w:r>
      <w:proofErr w:type="spellStart"/>
      <w:r>
        <w:rPr>
          <w:rFonts w:ascii="Times New Roman" w:hAnsi="Times New Roman" w:cs="Times New Roman"/>
          <w:sz w:val="24"/>
          <w:szCs w:val="24"/>
        </w:rPr>
        <w:t>google</w:t>
      </w:r>
      <w:proofErr w:type="spellEnd"/>
      <w:r>
        <w:rPr>
          <w:rFonts w:ascii="Times New Roman" w:hAnsi="Times New Roman" w:cs="Times New Roman"/>
          <w:sz w:val="24"/>
          <w:szCs w:val="24"/>
        </w:rPr>
        <w:t xml:space="preserve"> forms questionnaire. </w:t>
      </w:r>
    </w:p>
    <w:p w:rsidR="001C2CCB" w:rsidRPr="00F30A80" w:rsidRDefault="001C2CCB" w:rsidP="001C2CCB">
      <w:pPr>
        <w:pStyle w:val="Bibliography"/>
        <w:ind w:firstLine="0"/>
        <w:jc w:val="both"/>
        <w:rPr>
          <w:rFonts w:ascii="Times New Roman" w:hAnsi="Times New Roman" w:cs="Times New Roman"/>
          <w:sz w:val="24"/>
          <w:szCs w:val="24"/>
        </w:rPr>
      </w:pPr>
      <w:r w:rsidRPr="00F30A80">
        <w:rPr>
          <w:rFonts w:ascii="Times New Roman" w:hAnsi="Times New Roman" w:cs="Times New Roman"/>
          <w:sz w:val="24"/>
          <w:szCs w:val="24"/>
        </w:rPr>
        <w:t>https://docs.google.com/forms/d/e/1FAIpQLScBlCVEylVEAkP3sRBgizJznbhHf3Q5h-lGFip8OLB0XmEFxw/viewform?usp=sf_link</w:t>
      </w:r>
    </w:p>
    <w:p w:rsidR="001C2CCB" w:rsidRPr="00944EB8" w:rsidRDefault="001C2CCB" w:rsidP="001C2CCB">
      <w:pPr>
        <w:pStyle w:val="ListParagraph"/>
        <w:spacing w:before="0" w:after="0"/>
        <w:jc w:val="both"/>
        <w:rPr>
          <w:rFonts w:ascii="Times New Roman" w:hAnsi="Times New Roman" w:cs="Times New Roman"/>
          <w:sz w:val="24"/>
          <w:szCs w:val="24"/>
        </w:rPr>
      </w:pPr>
    </w:p>
    <w:p w:rsidR="001C2CCB" w:rsidRPr="00944EB8" w:rsidRDefault="001C2CCB" w:rsidP="001C2CCB">
      <w:pPr>
        <w:pStyle w:val="FootnoteText"/>
        <w:spacing w:line="276" w:lineRule="auto"/>
        <w:jc w:val="both"/>
        <w:rPr>
          <w:rFonts w:ascii="Times New Roman" w:hAnsi="Times New Roman"/>
          <w:sz w:val="24"/>
          <w:szCs w:val="24"/>
        </w:rPr>
      </w:pPr>
      <w:r w:rsidRPr="00944EB8">
        <w:rPr>
          <w:rFonts w:ascii="Times New Roman" w:hAnsi="Times New Roman"/>
          <w:sz w:val="24"/>
          <w:szCs w:val="24"/>
        </w:rPr>
        <w:fldChar w:fldCharType="end"/>
      </w:r>
      <w:r w:rsidRPr="00944EB8">
        <w:rPr>
          <w:rFonts w:ascii="Times New Roman" w:hAnsi="Times New Roman"/>
          <w:sz w:val="24"/>
          <w:szCs w:val="24"/>
        </w:rPr>
        <w:t xml:space="preserve"> </w:t>
      </w:r>
    </w:p>
    <w:p w:rsidR="001C2CCB" w:rsidRPr="00944EB8" w:rsidRDefault="001C2CCB" w:rsidP="001C2CCB">
      <w:pPr>
        <w:pStyle w:val="Bibliography"/>
        <w:spacing w:before="0"/>
        <w:rPr>
          <w:rFonts w:ascii="Times New Roman" w:hAnsi="Times New Roman" w:cs="Times New Roman"/>
          <w:sz w:val="24"/>
          <w:szCs w:val="24"/>
        </w:rPr>
      </w:pPr>
    </w:p>
    <w:p w:rsidR="001C2CCB" w:rsidRPr="00944EB8" w:rsidRDefault="001C2CCB" w:rsidP="001C2CCB">
      <w:pPr>
        <w:rPr>
          <w:rFonts w:ascii="Times New Roman" w:hAnsi="Times New Roman" w:cs="Times New Roman"/>
        </w:rPr>
      </w:pPr>
    </w:p>
    <w:p w:rsidR="001C2CCB" w:rsidRPr="00944EB8" w:rsidRDefault="001C2CCB" w:rsidP="001C2CCB">
      <w:pPr>
        <w:rPr>
          <w:rFonts w:ascii="Times New Roman" w:hAnsi="Times New Roman" w:cs="Times New Roman"/>
        </w:rPr>
      </w:pPr>
    </w:p>
    <w:p w:rsidR="001C2CCB" w:rsidRPr="00944EB8" w:rsidRDefault="001C2CCB" w:rsidP="001C2CCB">
      <w:pPr>
        <w:rPr>
          <w:rFonts w:ascii="Times New Roman" w:hAnsi="Times New Roman" w:cs="Times New Roman"/>
        </w:rPr>
      </w:pPr>
    </w:p>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Pr>
        <w:sectPr w:rsidR="001C2CCB" w:rsidSect="00F62DE9">
          <w:headerReference w:type="default" r:id="rId18"/>
          <w:footerReference w:type="default" r:id="rId19"/>
          <w:pgSz w:w="12240" w:h="15840"/>
          <w:pgMar w:top="1440" w:right="1440" w:bottom="1440" w:left="1440" w:header="720" w:footer="720" w:gutter="0"/>
          <w:pgNumType w:start="1"/>
          <w:cols w:space="720"/>
          <w:docGrid w:linePitch="360"/>
        </w:sectPr>
      </w:pPr>
    </w:p>
    <w:p w:rsidR="001C2CCB" w:rsidRDefault="001C2CCB" w:rsidP="001C2CCB"/>
    <w:p w:rsidR="001C2CCB" w:rsidRDefault="001C2CCB" w:rsidP="001C2CCB">
      <w:pPr>
        <w:pStyle w:val="Heading1"/>
        <w:numPr>
          <w:ilvl w:val="0"/>
          <w:numId w:val="0"/>
        </w:numPr>
        <w:ind w:left="432"/>
      </w:pPr>
      <w:bookmarkStart w:id="87" w:name="_Toc80808297"/>
      <w:r w:rsidRPr="00AC4EC7">
        <w:t>APPENDICES</w:t>
      </w:r>
      <w:bookmarkEnd w:id="87"/>
    </w:p>
    <w:p w:rsidR="001C2CCB" w:rsidRPr="00F81144" w:rsidRDefault="001C2CCB" w:rsidP="001C2CCB">
      <w:pPr>
        <w:pStyle w:val="Heading2"/>
        <w:numPr>
          <w:ilvl w:val="0"/>
          <w:numId w:val="0"/>
        </w:numPr>
        <w:ind w:left="576"/>
      </w:pPr>
      <w:bookmarkStart w:id="88" w:name="_Toc80808298"/>
      <w:r>
        <w:t>Appendix A- Transcript of responses</w:t>
      </w:r>
      <w:bookmarkEnd w:id="88"/>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 What is your name?</w:t>
      </w:r>
      <w:r w:rsidRPr="00F36B8A">
        <w:rPr>
          <w:rFonts w:ascii="Times New Roman" w:eastAsia="Times New Roman" w:hAnsi="Times New Roman" w:cs="Times New Roman"/>
          <w:color w:val="202124"/>
          <w:spacing w:val="5"/>
          <w:sz w:val="24"/>
          <w:szCs w:val="24"/>
          <w:lang w:eastAsia="en-IE"/>
        </w:rPr>
        <w:t xml:space="preserve"> 32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Jeff Maduka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Zibiri Manasseh</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Chikezie Madubuike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Chinedum Gregory Ike-Okafor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Omotayo Ibrahim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Nicholas Njaka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Chikodi Okeorji</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Nwaeke Ukeagume Stephen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Franklin C. Okoro</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Orji A. Uka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My name is Mba Mgboji</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Victor Chimezie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Ukanwa Izundu Asobie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Attorney LAWRENCE UMUDU</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Ugochukwu Njoku</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Darlington Ozurumba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Omeiza Ibrahim Esq.</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Eluwah Nnamdi Nwachukwu</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Obinna Osisiogu</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Chimuanya Ubanna Azubuike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Joshua Idoko</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Sunny Maji</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Ibe Prince Ukagha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Abdulrahman T. S. Halidu, Esq.</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Okemini Nyejiowaka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Joseph Nwatu</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 xml:space="preserve">Igwe </w:t>
      </w:r>
      <w:proofErr w:type="spellStart"/>
      <w:r w:rsidRPr="00F36B8A">
        <w:rPr>
          <w:rFonts w:ascii="Times New Roman" w:eastAsia="Times New Roman" w:hAnsi="Times New Roman" w:cs="Times New Roman"/>
          <w:color w:val="202124"/>
          <w:spacing w:val="3"/>
          <w:sz w:val="24"/>
          <w:szCs w:val="24"/>
          <w:lang w:eastAsia="en-IE"/>
        </w:rPr>
        <w:t>Uju</w:t>
      </w:r>
      <w:proofErr w:type="spellEnd"/>
      <w:r w:rsidRPr="00F36B8A">
        <w:rPr>
          <w:rFonts w:ascii="Times New Roman" w:eastAsia="Times New Roman" w:hAnsi="Times New Roman" w:cs="Times New Roman"/>
          <w:color w:val="202124"/>
          <w:spacing w:val="3"/>
          <w:sz w:val="24"/>
          <w:szCs w:val="24"/>
          <w:lang w:eastAsia="en-IE"/>
        </w:rPr>
        <w:t xml:space="preserve"> Shontel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Johnpaul Okolie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Olayinka Adedeji</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Atilolaoluwa Taiwo-Nsirim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Abdulhafeez Mohammad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Adaeze Mgbeahuru</w:t>
      </w:r>
    </w:p>
    <w:p w:rsidR="001C2CCB" w:rsidRDefault="001C2CCB" w:rsidP="001C2CCB">
      <w:pPr>
        <w:rPr>
          <w:noProof/>
        </w:rPr>
      </w:pPr>
    </w:p>
    <w:p w:rsidR="001C2CCB" w:rsidRDefault="001C2CCB" w:rsidP="001C2CCB">
      <w:r>
        <w:rPr>
          <w:noProof/>
          <w:lang w:val="en-US"/>
        </w:rPr>
        <w:drawing>
          <wp:inline distT="0" distB="0" distL="0" distR="0">
            <wp:extent cx="5731510" cy="2724785"/>
            <wp:effectExtent l="0" t="0" r="2540" b="0"/>
            <wp:docPr id="818"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724785"/>
                    </a:xfrm>
                    <a:prstGeom prst="rect">
                      <a:avLst/>
                    </a:prstGeom>
                    <a:noFill/>
                    <a:ln>
                      <a:noFill/>
                    </a:ln>
                  </pic:spPr>
                </pic:pic>
              </a:graphicData>
            </a:graphic>
          </wp:inline>
        </w:drawing>
      </w:r>
    </w:p>
    <w:p w:rsidR="001C2CCB" w:rsidRDefault="001C2CCB" w:rsidP="001C2CCB"/>
    <w:p w:rsidR="001C2CCB" w:rsidRDefault="001C2CCB" w:rsidP="001C2CCB">
      <w:r>
        <w:rPr>
          <w:noProof/>
          <w:lang w:val="en-US"/>
        </w:rPr>
        <w:drawing>
          <wp:inline distT="0" distB="0" distL="0" distR="0">
            <wp:extent cx="5731510" cy="2411730"/>
            <wp:effectExtent l="0" t="0" r="2540" b="7620"/>
            <wp:docPr id="819" name="Picture 2"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pie 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411730"/>
                    </a:xfrm>
                    <a:prstGeom prst="rect">
                      <a:avLst/>
                    </a:prstGeom>
                    <a:noFill/>
                    <a:ln>
                      <a:noFill/>
                    </a:ln>
                  </pic:spPr>
                </pic:pic>
              </a:graphicData>
            </a:graphic>
          </wp:inline>
        </w:drawing>
      </w:r>
    </w:p>
    <w:p w:rsidR="001C2CCB" w:rsidRDefault="001C2CCB" w:rsidP="001C2CCB">
      <w:r>
        <w:rPr>
          <w:noProof/>
          <w:lang w:val="en-US"/>
        </w:rPr>
        <w:lastRenderedPageBreak/>
        <w:drawing>
          <wp:inline distT="0" distB="0" distL="0" distR="0">
            <wp:extent cx="5731510" cy="2912745"/>
            <wp:effectExtent l="0" t="0" r="2540" b="1905"/>
            <wp:docPr id="820" name="Picture 3"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 histogram&#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912745"/>
                    </a:xfrm>
                    <a:prstGeom prst="rect">
                      <a:avLst/>
                    </a:prstGeom>
                    <a:noFill/>
                    <a:ln>
                      <a:noFill/>
                    </a:ln>
                  </pic:spPr>
                </pic:pic>
              </a:graphicData>
            </a:graphic>
          </wp:inline>
        </w:drawing>
      </w:r>
    </w:p>
    <w:p w:rsidR="001C2CCB" w:rsidRDefault="001C2CCB" w:rsidP="001C2CCB">
      <w:r>
        <w:rPr>
          <w:noProof/>
          <w:lang w:val="en-US"/>
        </w:rPr>
        <w:drawing>
          <wp:inline distT="0" distB="0" distL="0" distR="0">
            <wp:extent cx="5731510" cy="2724785"/>
            <wp:effectExtent l="0" t="0" r="2540" b="0"/>
            <wp:docPr id="821"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histogram&#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724785"/>
                    </a:xfrm>
                    <a:prstGeom prst="rect">
                      <a:avLst/>
                    </a:prstGeom>
                    <a:noFill/>
                    <a:ln>
                      <a:noFill/>
                    </a:ln>
                  </pic:spPr>
                </pic:pic>
              </a:graphicData>
            </a:graphic>
          </wp:inline>
        </w:drawing>
      </w:r>
    </w:p>
    <w:p w:rsidR="001C2CCB" w:rsidRDefault="001C2CCB" w:rsidP="001C2CCB">
      <w:r>
        <w:rPr>
          <w:noProof/>
          <w:lang w:val="en-US"/>
        </w:rPr>
        <w:lastRenderedPageBreak/>
        <w:drawing>
          <wp:inline distT="0" distB="0" distL="0" distR="0">
            <wp:extent cx="5731510" cy="2724785"/>
            <wp:effectExtent l="0" t="0" r="2540" b="0"/>
            <wp:docPr id="822" name="Picture 5" descr="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10;&#10;Description automatically generated with low confidence"/>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724785"/>
                    </a:xfrm>
                    <a:prstGeom prst="rect">
                      <a:avLst/>
                    </a:prstGeom>
                    <a:noFill/>
                    <a:ln>
                      <a:noFill/>
                    </a:ln>
                  </pic:spPr>
                </pic:pic>
              </a:graphicData>
            </a:graphic>
          </wp:inline>
        </w:drawing>
      </w: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7. Do you believe in the concept of party autonomy and why?</w:t>
      </w:r>
      <w:r w:rsidRPr="00F36B8A">
        <w:rPr>
          <w:rFonts w:ascii="Times New Roman" w:eastAsia="Times New Roman" w:hAnsi="Times New Roman" w:cs="Times New Roman"/>
          <w:color w:val="202124"/>
          <w:spacing w:val="5"/>
          <w:sz w:val="24"/>
          <w:szCs w:val="24"/>
          <w:lang w:eastAsia="en-IE"/>
        </w:rPr>
        <w:t xml:space="preserve"> 32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party autonomy helps to facilitate the process of arbitration between the parties involved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believe in the principle of Party Autonomy because it gives the parties the right to determine how to resolve their dispute through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spellStart"/>
      <w:r w:rsidRPr="00F36B8A">
        <w:rPr>
          <w:rFonts w:ascii="Times New Roman" w:eastAsia="Times New Roman" w:hAnsi="Times New Roman" w:cs="Times New Roman"/>
          <w:color w:val="202124"/>
          <w:spacing w:val="3"/>
          <w:sz w:val="24"/>
          <w:szCs w:val="24"/>
          <w:lang w:eastAsia="en-IE"/>
        </w:rPr>
        <w:t>i</w:t>
      </w:r>
      <w:proofErr w:type="spellEnd"/>
      <w:r w:rsidRPr="00F36B8A">
        <w:rPr>
          <w:rFonts w:ascii="Times New Roman" w:eastAsia="Times New Roman" w:hAnsi="Times New Roman" w:cs="Times New Roman"/>
          <w:color w:val="202124"/>
          <w:spacing w:val="3"/>
          <w:sz w:val="24"/>
          <w:szCs w:val="24"/>
          <w:lang w:eastAsia="en-IE"/>
        </w:rPr>
        <w:t xml:space="preserve"> do</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secures the freedom of parties to consensually execute arbitration agreement and in their terms.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subject to public policy.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Arbitration is no regular Court proceedings. Party autonomy is important to ensure the award is binding.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because it grants the contracting parties the liberty to form their contractual relationship as they wish</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do. Party autonomy for me is the hallmark of commercial arbitration. It is the major factor that distinguishes commercial arbitration from the other dispute resolution mechanisms especially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believe in the concept of Party. I think every Party in a commercial engagement should be at liberty to agree on the need to resort to Arbitration in settlement of disputes. They should also agree on the modus operandi for the said Arbitration as well as be allowed to appoint their own Arbitrators. This is part of the distinguishing factor from conventional litigation in the settlement of disputes.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believe because it helps the parties choose who their Arbitrator(s) is/are.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allows for continuation of commercial relationship thereafter.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is a vital factor in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do. It makes the process easier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gramStart"/>
      <w:r w:rsidRPr="00F36B8A">
        <w:rPr>
          <w:rFonts w:ascii="Times New Roman" w:eastAsia="Times New Roman" w:hAnsi="Times New Roman" w:cs="Times New Roman"/>
          <w:color w:val="202124"/>
          <w:spacing w:val="3"/>
          <w:sz w:val="24"/>
          <w:szCs w:val="24"/>
          <w:lang w:eastAsia="en-IE"/>
        </w:rPr>
        <w:t>Fairness.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do</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spellStart"/>
      <w:r w:rsidRPr="00F36B8A">
        <w:rPr>
          <w:rFonts w:ascii="Times New Roman" w:eastAsia="Times New Roman" w:hAnsi="Times New Roman" w:cs="Times New Roman"/>
          <w:color w:val="202124"/>
          <w:spacing w:val="3"/>
          <w:sz w:val="24"/>
          <w:szCs w:val="24"/>
          <w:lang w:eastAsia="en-IE"/>
        </w:rPr>
        <w:t>i</w:t>
      </w:r>
      <w:proofErr w:type="spellEnd"/>
      <w:r w:rsidRPr="00F36B8A">
        <w:rPr>
          <w:rFonts w:ascii="Times New Roman" w:eastAsia="Times New Roman" w:hAnsi="Times New Roman" w:cs="Times New Roman"/>
          <w:color w:val="202124"/>
          <w:spacing w:val="3"/>
          <w:sz w:val="24"/>
          <w:szCs w:val="24"/>
          <w:lang w:eastAsia="en-IE"/>
        </w:rPr>
        <w:t xml:space="preserve"> believe in the concept of party autonomy. This is because one of the important principles of arbitration is allowing parties dictate and map out how they want the arbitration process to be conducted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This is because, the sanctity of arbitration demands that parties are allowed to directly navigate the process themselves.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spellStart"/>
      <w:r w:rsidRPr="00F36B8A">
        <w:rPr>
          <w:rFonts w:ascii="Times New Roman" w:eastAsia="Times New Roman" w:hAnsi="Times New Roman" w:cs="Times New Roman"/>
          <w:color w:val="202124"/>
          <w:spacing w:val="3"/>
          <w:sz w:val="24"/>
          <w:szCs w:val="24"/>
          <w:lang w:eastAsia="en-IE"/>
        </w:rPr>
        <w:t>i</w:t>
      </w:r>
      <w:proofErr w:type="spellEnd"/>
      <w:r w:rsidRPr="00F36B8A">
        <w:rPr>
          <w:rFonts w:ascii="Times New Roman" w:eastAsia="Times New Roman" w:hAnsi="Times New Roman" w:cs="Times New Roman"/>
          <w:color w:val="202124"/>
          <w:spacing w:val="3"/>
          <w:sz w:val="24"/>
          <w:szCs w:val="24"/>
          <w:lang w:eastAsia="en-IE"/>
        </w:rPr>
        <w:t xml:space="preserve"> </w:t>
      </w:r>
      <w:proofErr w:type="gramStart"/>
      <w:r w:rsidRPr="00F36B8A">
        <w:rPr>
          <w:rFonts w:ascii="Times New Roman" w:eastAsia="Times New Roman" w:hAnsi="Times New Roman" w:cs="Times New Roman"/>
          <w:color w:val="202124"/>
          <w:spacing w:val="3"/>
          <w:sz w:val="24"/>
          <w:szCs w:val="24"/>
          <w:lang w:eastAsia="en-IE"/>
        </w:rPr>
        <w:t>do because</w:t>
      </w:r>
      <w:proofErr w:type="gramEnd"/>
      <w:r w:rsidRPr="00F36B8A">
        <w:rPr>
          <w:rFonts w:ascii="Times New Roman" w:eastAsia="Times New Roman" w:hAnsi="Times New Roman" w:cs="Times New Roman"/>
          <w:color w:val="202124"/>
          <w:spacing w:val="3"/>
          <w:sz w:val="24"/>
          <w:szCs w:val="24"/>
          <w:lang w:eastAsia="en-IE"/>
        </w:rPr>
        <w:t xml:space="preserve"> contracting parties ought not to be bound by any law or procedure which they do not intend to make applicable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spellStart"/>
      <w:proofErr w:type="gramStart"/>
      <w:r w:rsidRPr="00F36B8A">
        <w:rPr>
          <w:rFonts w:ascii="Times New Roman" w:eastAsia="Times New Roman" w:hAnsi="Times New Roman" w:cs="Times New Roman"/>
          <w:color w:val="202124"/>
          <w:spacing w:val="3"/>
          <w:sz w:val="24"/>
          <w:szCs w:val="24"/>
          <w:lang w:eastAsia="en-IE"/>
        </w:rPr>
        <w:t>i</w:t>
      </w:r>
      <w:proofErr w:type="spellEnd"/>
      <w:proofErr w:type="gramEnd"/>
      <w:r w:rsidRPr="00F36B8A">
        <w:rPr>
          <w:rFonts w:ascii="Times New Roman" w:eastAsia="Times New Roman" w:hAnsi="Times New Roman" w:cs="Times New Roman"/>
          <w:color w:val="202124"/>
          <w:spacing w:val="3"/>
          <w:sz w:val="24"/>
          <w:szCs w:val="24"/>
          <w:lang w:eastAsia="en-IE"/>
        </w:rPr>
        <w:t xml:space="preserve"> believe in party autonomy because it is the very basis of contract and parties should be totally free to contract including how they wish to settle their disputes to suit their needs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Parties should be at liberty to determine the nature of their relationship and how it should be resolved, and what law should govern same.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I believe in party autonomy because the sanctity of arbitration demands that parties are allowed to direct navigate the process themselves 2. It permits parties to create a custom-tailored procedure to meet their desired needs. 3. </w:t>
      </w:r>
      <w:proofErr w:type="gramStart"/>
      <w:r w:rsidRPr="00F36B8A">
        <w:rPr>
          <w:rFonts w:ascii="Times New Roman" w:eastAsia="Times New Roman" w:hAnsi="Times New Roman" w:cs="Times New Roman"/>
          <w:color w:val="202124"/>
          <w:spacing w:val="3"/>
          <w:sz w:val="24"/>
          <w:szCs w:val="24"/>
          <w:lang w:eastAsia="en-IE"/>
        </w:rPr>
        <w:t>it</w:t>
      </w:r>
      <w:proofErr w:type="gramEnd"/>
      <w:r w:rsidRPr="00F36B8A">
        <w:rPr>
          <w:rFonts w:ascii="Times New Roman" w:eastAsia="Times New Roman" w:hAnsi="Times New Roman" w:cs="Times New Roman"/>
          <w:color w:val="202124"/>
          <w:spacing w:val="3"/>
          <w:sz w:val="24"/>
          <w:szCs w:val="24"/>
          <w:lang w:eastAsia="en-IE"/>
        </w:rPr>
        <w:t xml:space="preserve"> gives parties power to select neutral decision makers &amp; experts in the field of dispute.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I don't know.</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No, the concept of party autonomy takes away certainty of established rules and prediction which is an established principle of law 2. Takes away the need for uniform procedures as </w:t>
      </w:r>
      <w:proofErr w:type="gramStart"/>
      <w:r w:rsidRPr="00F36B8A">
        <w:rPr>
          <w:rFonts w:ascii="Times New Roman" w:eastAsia="Times New Roman" w:hAnsi="Times New Roman" w:cs="Times New Roman"/>
          <w:color w:val="202124"/>
          <w:spacing w:val="3"/>
          <w:sz w:val="24"/>
          <w:szCs w:val="24"/>
          <w:lang w:eastAsia="en-IE"/>
        </w:rPr>
        <w:t>every arbitration</w:t>
      </w:r>
      <w:proofErr w:type="gramEnd"/>
      <w:r w:rsidRPr="00F36B8A">
        <w:rPr>
          <w:rFonts w:ascii="Times New Roman" w:eastAsia="Times New Roman" w:hAnsi="Times New Roman" w:cs="Times New Roman"/>
          <w:color w:val="202124"/>
          <w:spacing w:val="3"/>
          <w:sz w:val="24"/>
          <w:szCs w:val="24"/>
          <w:lang w:eastAsia="en-IE"/>
        </w:rPr>
        <w:t xml:space="preserve"> is different 3. No, because it seeks to limit the power of the courts or state to interfere or resolve disputes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is a hallmark of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because it tends to limit the powers of the court to interfere or resolve disputes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believe in party autonomy because it is the bedrock of commercial arbitration. The arbitration tribunal derive their jurisdiction from the party autonomy. The fact that parties chose their seat of arbitration, lex arbitri, number of arbitration, the arbitrators themselves and other related matters places arbitration relatively above conventional courts. It is right to say arbitration is what it is because of party autonomy.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Parties are at liberty to determine where arbitration takes place and it cannot be foisted on them by law.</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allows parties control the terms of reference and the entire process unlike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allows parties determine how to resolve their dispute.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If rightly and skilfully managed, can ensure Justice is done to BOTH parties and within a reasonable time frame</w:t>
      </w:r>
    </w:p>
    <w:p w:rsidR="001C2CCB" w:rsidRPr="00F36B8A" w:rsidRDefault="001C2CCB" w:rsidP="001C2CCB">
      <w:pPr>
        <w:jc w:val="both"/>
        <w:rPr>
          <w:rFonts w:ascii="Times New Roman" w:hAnsi="Times New Roman" w:cs="Times New Roman"/>
          <w:sz w:val="24"/>
          <w:szCs w:val="24"/>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8. In your experience, do you agree that the Nigerian judicial system is arbitration friendly and why?</w:t>
      </w:r>
      <w:r w:rsidRPr="00F36B8A">
        <w:rPr>
          <w:rFonts w:ascii="Times New Roman" w:eastAsia="Times New Roman" w:hAnsi="Times New Roman" w:cs="Times New Roman"/>
          <w:color w:val="202124"/>
          <w:spacing w:val="5"/>
          <w:sz w:val="24"/>
          <w:szCs w:val="24"/>
          <w:lang w:eastAsia="en-IE"/>
        </w:rPr>
        <w:t xml:space="preserve"> 32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Courts often uphold arbitration clauses and try to ensure parties arbitrate when parties have clearly intended that arbitration should be their disputes resolution mechanism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there are laws such as the arbitration and conciliation act 1988 which are recognized by the judicial system and these laws are binding on the parties involved.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our Judicial System is arbitration friendly as our laws and Court Rules make provisions for resolution of dispute through any medium of arbitration before bringing a matter to the regular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it's not. Parties don’t abide by the decision most times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Some judges are trained as specialized arbitrators.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It appears the courts are buying into arbitration as an alternative way of resolving dispute.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Almost all Rules of Court allows for arbitration before and even during proceedings. </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Judges are by the Rules of Court, also mandated to suggest ADR to parties, and so many State High Courts and Nigerian Federal High Court have dedicated Multidoor Court Houses whose role is ADR.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because the judges had always in their decisions (judgements) upheld arbitration clauses in contract Agreements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In my experience, I would say that the Nigerian judicial system has become increasingly arbitration friendly overtime. However, a lot more still needs to be done. In time past, Nigerian judges viewed arbitration as a rival mechanism. With time, they have now come to see arbitration as complimentary.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 agree because even our Courts have held Arbitration awards as binding on the parties and same is enforceable by the Courts.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most Courts in Nigeria both at the state and federal levels, have established Alternative Dispute Resolution systems/mechanisms.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1. It enforces awards. 2. It declines jurisdiction over arbitration clauses. 3. It also encourage arbitration in </w:t>
      </w:r>
      <w:proofErr w:type="spellStart"/>
      <w:proofErr w:type="gramStart"/>
      <w:r w:rsidRPr="00F36B8A">
        <w:rPr>
          <w:rFonts w:ascii="Times New Roman" w:eastAsia="Times New Roman" w:hAnsi="Times New Roman" w:cs="Times New Roman"/>
          <w:color w:val="202124"/>
          <w:spacing w:val="3"/>
          <w:sz w:val="24"/>
          <w:szCs w:val="24"/>
          <w:lang w:eastAsia="en-IE"/>
        </w:rPr>
        <w:t>it's</w:t>
      </w:r>
      <w:proofErr w:type="spellEnd"/>
      <w:proofErr w:type="gramEnd"/>
      <w:r w:rsidRPr="00F36B8A">
        <w:rPr>
          <w:rFonts w:ascii="Times New Roman" w:eastAsia="Times New Roman" w:hAnsi="Times New Roman" w:cs="Times New Roman"/>
          <w:color w:val="202124"/>
          <w:spacing w:val="3"/>
          <w:sz w:val="24"/>
          <w:szCs w:val="24"/>
          <w:lang w:eastAsia="en-IE"/>
        </w:rPr>
        <w:t xml:space="preserve"> various Rules of Court. 4. Provides for Multi-Door Court Houses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Yes, Very friendly. Every Hierarchy of courts in Nigeria has a good dispute resolution Mechanism/ Well Managed Arbitration Center.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Nigerian judiciary is arbitration friendly. Several courts have put in place the legal and institutional framework for the effective use of arbitration and other non judicial dispute resolution methods. Decisions of courts also include opinions enforcing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gramStart"/>
      <w:r w:rsidRPr="00F36B8A">
        <w:rPr>
          <w:rFonts w:ascii="Times New Roman" w:eastAsia="Times New Roman" w:hAnsi="Times New Roman" w:cs="Times New Roman"/>
          <w:color w:val="202124"/>
          <w:spacing w:val="3"/>
          <w:sz w:val="24"/>
          <w:szCs w:val="24"/>
          <w:lang w:eastAsia="en-IE"/>
        </w:rPr>
        <w:t>Because it is even encouraged by the Nigerian Courts.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The courts always encourage parties to settle out of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is arbitration friendly because once parties are before the court and the court observes that there is a provision for arbitration, the court will suspend all actions until the issue of arbitration has been exhausted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because judges in Nigeria are reluctant to hear a matter once their attention is drawn to an arbitration clause.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Several rules of court and procedures make provision for ARBITRATION as an ADR. In some jurisdictions special centres are created.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is. Judges recommend arbitration and give recognition and enforcement to arbitral awards. The process is pretty straight forward and it is effective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The various rules of court and the arbitration and conciliation act emphasis arbitration and the High Court Civil Procedure Rules of the Federal Capital Territory, Abuja particularly encourages that parties must explore settlement and or arbitration before resorting to litigation. The judiciary has also in my experience and opinion insisted on parties resorting to arbitration first when there is an arbitration clause in their agreemen</w:t>
      </w:r>
      <w:r>
        <w:rPr>
          <w:rFonts w:ascii="Times New Roman" w:eastAsia="Times New Roman" w:hAnsi="Times New Roman" w:cs="Times New Roman"/>
          <w:color w:val="202124"/>
          <w:spacing w:val="3"/>
          <w:sz w:val="24"/>
          <w:szCs w:val="24"/>
          <w:lang w:eastAsia="en-IE"/>
        </w:rPr>
        <w:t>t or contract as the case maybe</w:t>
      </w:r>
      <w:r w:rsidRPr="00F36B8A">
        <w:rPr>
          <w:rFonts w:ascii="Times New Roman" w:eastAsia="Times New Roman" w:hAnsi="Times New Roman" w:cs="Times New Roman"/>
          <w:color w:val="202124"/>
          <w:spacing w:val="3"/>
          <w:sz w:val="24"/>
          <w:szCs w:val="24"/>
          <w:lang w:eastAsia="en-IE"/>
        </w:rPr>
        <w: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is arbitration friendly because in practice once a case is in court and the judge's attention is drawn to an arbitration clause, most judges would stay proceedings and first refer the matter to arbitration and until that avenue is exhausted most courts are reluctant to proceed.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No. </w:t>
      </w:r>
      <w:proofErr w:type="gramStart"/>
      <w:r w:rsidRPr="00F36B8A">
        <w:rPr>
          <w:rFonts w:ascii="Times New Roman" w:eastAsia="Times New Roman" w:hAnsi="Times New Roman" w:cs="Times New Roman"/>
          <w:color w:val="202124"/>
          <w:spacing w:val="3"/>
          <w:sz w:val="24"/>
          <w:szCs w:val="24"/>
          <w:lang w:eastAsia="en-IE"/>
        </w:rPr>
        <w:t>Because everyone in Nigeria is more conversant with litigation.</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the court is not friendly to arbitration. In my experience when the judges attention is drawn to a clause demanding that dispute be settled first through arbitration, the court is reluctant to surrender its power to a private arrangement. 2. They are jealous and protective of their power to decide disputes.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Of recent, yes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because in our courts, once a judge notices an arbitral clause, it stays proceedings and directs the parties to arbitration and until that option is exhausted, they don't dabble into the matter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agree that Nigerian judicial system is Arbitration friendly. Even before the coming into effect of the Arbitration and Conciliation Act, customary arbitration has been in existence and the Supreme Court of Nigeria and the West African Court of Appeal have in plethora of cases held that arbitration is not alien to Nigeria’s legal system. Customary arbitration as earlier stated has been recognised as a competent way to settle dispute even before the courts were established. See the case of Agu v Ikewibe. Also, the Nigeria’s legal system encourages Arbitration as the most convenient mechanism of dispute resolution. Different High Court rules provide that parties to a dispute must first show that they have explored alternative dispute resolution before action can be commenced in court. Furthermore, any party to arbitration agreement can apply to court to stay proceedings and refer parties to arbitration. The Nigerian courts do not hesitate to grant a stay if it is established that an arbitration agreement exist between litigants. Lastly, Nigeria is signatory to New York Convention and Uncitral Model Law and both conventions have been domesticated and applicable holistically in Nigeria. Arbitration in Nigeria is arguably one of the finest in Africa.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in recent times I have come to appreciate the timeliness of dispensing with cases at arbitration compared to litigation. In addition Rules of Court has empowered the courts to encourage parties to seek arbitration which is less time consuming.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It is not yet 100% but significant progress has been made. Despite efforts, the factors frustrating the effectiveness include delayed justice system and corruption.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There are too many court connected activities, which slow down arbitration.</w:t>
      </w:r>
    </w:p>
    <w:p w:rsidR="001C2CCB" w:rsidRPr="00F36B8A" w:rsidRDefault="001C2CCB" w:rsidP="001C2CCB">
      <w:pPr>
        <w:jc w:val="both"/>
        <w:rPr>
          <w:rFonts w:ascii="Times New Roman" w:hAnsi="Times New Roman" w:cs="Times New Roman"/>
          <w:sz w:val="24"/>
          <w:szCs w:val="24"/>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9. In what ways do Nigerian courts support arbitration</w:t>
      </w:r>
      <w:proofErr w:type="gramStart"/>
      <w:r w:rsidRPr="00F36B8A">
        <w:rPr>
          <w:rFonts w:ascii="Times New Roman" w:eastAsia="Times New Roman" w:hAnsi="Times New Roman" w:cs="Times New Roman"/>
          <w:color w:val="202124"/>
          <w:spacing w:val="2"/>
          <w:sz w:val="24"/>
          <w:szCs w:val="24"/>
          <w:lang w:eastAsia="en-IE"/>
        </w:rPr>
        <w:t>?</w:t>
      </w:r>
      <w:r w:rsidRPr="00F36B8A">
        <w:rPr>
          <w:rFonts w:ascii="Times New Roman" w:eastAsia="Times New Roman" w:hAnsi="Times New Roman" w:cs="Times New Roman"/>
          <w:color w:val="202124"/>
          <w:spacing w:val="5"/>
          <w:sz w:val="24"/>
          <w:szCs w:val="24"/>
          <w:lang w:eastAsia="en-IE"/>
        </w:rPr>
        <w:t>32</w:t>
      </w:r>
      <w:proofErr w:type="gramEnd"/>
      <w:r w:rsidRPr="00F36B8A">
        <w:rPr>
          <w:rFonts w:ascii="Times New Roman" w:eastAsia="Times New Roman" w:hAnsi="Times New Roman" w:cs="Times New Roman"/>
          <w:color w:val="202124"/>
          <w:spacing w:val="5"/>
          <w:sz w:val="24"/>
          <w:szCs w:val="24"/>
          <w:lang w:eastAsia="en-IE"/>
        </w:rPr>
        <w:t xml:space="preserve">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See above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Courts would advice that certain matters should be settled out of court with the process of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Through referring of matters to the Multi-door Courts for settlement of disputes and ensuring that parties attached Arbitration Certificate before they file any matter in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They try to enforce the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Litigation and Arbitration coexist in most Nigerian courts through the Multi-door court houses, specialized in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Not sure.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If a litigant ignores going to arbitration first, when he had earlier agreed to go to arbitration in the event of dispute, a Nigerian Court would usually rely on Section 5 of the Arbitration and Conciliation Act to stay the proceedings or even strike out the proceedings, pending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First before hearing, they will always ask if parties had explored settlements before coming to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Pre-trial scheduling and conferencing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former Chief Judge of Nigeria once issued a directive asking judges to stay proceedings in ALL cases before them once there is a prima facie valid arbitration agreement. That epitomises the ways in which Nigerian courts support arbitration. Nigerian courts also play supportive roles to the arbitral process by appointing arbitrators and removing arbitrators, making injunctive orders in support of arbitration, setting aside awards in limited circumstances, and most importantly, recognising and enforcing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One of the major ways Nigerian Courts support Arbitration is in the practice of declining jurisdiction once an Arbitration clause in a commercial engagement has not been complied with before resorting to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Courts are ever ready to enforce arbitration clauses in agreements as well as enforce arbitral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1. It enforces awards. 2. It declines jurisdiction over arbitration clauses. 3. It also encourage arbitration in </w:t>
      </w:r>
      <w:proofErr w:type="spellStart"/>
      <w:proofErr w:type="gramStart"/>
      <w:r w:rsidRPr="00F36B8A">
        <w:rPr>
          <w:rFonts w:ascii="Times New Roman" w:eastAsia="Times New Roman" w:hAnsi="Times New Roman" w:cs="Times New Roman"/>
          <w:color w:val="202124"/>
          <w:spacing w:val="3"/>
          <w:sz w:val="24"/>
          <w:szCs w:val="24"/>
          <w:lang w:eastAsia="en-IE"/>
        </w:rPr>
        <w:t>it's</w:t>
      </w:r>
      <w:proofErr w:type="spellEnd"/>
      <w:proofErr w:type="gramEnd"/>
      <w:r w:rsidRPr="00F36B8A">
        <w:rPr>
          <w:rFonts w:ascii="Times New Roman" w:eastAsia="Times New Roman" w:hAnsi="Times New Roman" w:cs="Times New Roman"/>
          <w:color w:val="202124"/>
          <w:spacing w:val="3"/>
          <w:sz w:val="24"/>
          <w:szCs w:val="24"/>
          <w:lang w:eastAsia="en-IE"/>
        </w:rPr>
        <w:t xml:space="preserve"> various Rules of Court. 4. Provides for Multi-Door Court Houses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Full financial, Material and Management Support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See 8.</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Enforcement of arbitral awards.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practice is to refer matters to arbitration where there is a clause in the contract that has arbitration clause.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Some of the ways the Nigerian courts support arbitration are: 1. Non interference in the arbitration process 2. Refusing interlocutory applications filed before the court to frustrate the arbitration process 3. By limiting </w:t>
      </w:r>
      <w:proofErr w:type="spellStart"/>
      <w:r w:rsidRPr="00F36B8A">
        <w:rPr>
          <w:rFonts w:ascii="Times New Roman" w:eastAsia="Times New Roman" w:hAnsi="Times New Roman" w:cs="Times New Roman"/>
          <w:color w:val="202124"/>
          <w:spacing w:val="3"/>
          <w:sz w:val="24"/>
          <w:szCs w:val="24"/>
          <w:lang w:eastAsia="en-IE"/>
        </w:rPr>
        <w:t>it's</w:t>
      </w:r>
      <w:proofErr w:type="spellEnd"/>
      <w:r w:rsidRPr="00F36B8A">
        <w:rPr>
          <w:rFonts w:ascii="Times New Roman" w:eastAsia="Times New Roman" w:hAnsi="Times New Roman" w:cs="Times New Roman"/>
          <w:color w:val="202124"/>
          <w:spacing w:val="3"/>
          <w:sz w:val="24"/>
          <w:szCs w:val="24"/>
          <w:lang w:eastAsia="en-IE"/>
        </w:rPr>
        <w:t xml:space="preserve"> intervention in line with section 34 of the Nigerian arbitration and conciliation act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By keeping the arbitration process completely free from judicial interference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Through recognition and enforcement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They recommend it to litigants, they support multi door courthouses, they provide enforcement and recognition, they provide injunctions and other aids in support of arbitration and they also deny jurisdiction on contracts which contain an arbitration clause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By making rules of Court which encourages arbitration, setting up of the different arbitration or multi door court houses for arbitration and conciliation purposes and given effect to the wishes of parties by referring cases filed before which have arbitration clauses in them.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By limiting its intervention in compliance with section 34 of the Nigerian arbitration and conciliation act. b. By keeping the arbitration process completely free from judicial interference. c. refuse interlocutory applications brought to the court which tend to delay or frustrate arbitration proceedings d. Give effect to applications that only facilitate the arbitration proceedings e. only set aside arbitration awards in limited circumstances which must be narrowly interpreted to avoid constant influx of applications to set aside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By Alternative Dispute Resolution through Multi-Door Court Houses.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It allows applications that only facilitate the arbitration proceedings. b. The courts are always mindful to go into full litigation when options of arbitration have not been exhausted.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Instances abound in which the courts kept its jurisdiction in abeyance unless and until arbitration is first concluded in accordance with the </w:t>
      </w:r>
      <w:proofErr w:type="gramStart"/>
      <w:r w:rsidRPr="00F36B8A">
        <w:rPr>
          <w:rFonts w:ascii="Times New Roman" w:eastAsia="Times New Roman" w:hAnsi="Times New Roman" w:cs="Times New Roman"/>
          <w:color w:val="202124"/>
          <w:spacing w:val="3"/>
          <w:sz w:val="24"/>
          <w:szCs w:val="24"/>
          <w:lang w:eastAsia="en-IE"/>
        </w:rPr>
        <w:t>parties</w:t>
      </w:r>
      <w:proofErr w:type="gramEnd"/>
      <w:r w:rsidRPr="00F36B8A">
        <w:rPr>
          <w:rFonts w:ascii="Times New Roman" w:eastAsia="Times New Roman" w:hAnsi="Times New Roman" w:cs="Times New Roman"/>
          <w:color w:val="202124"/>
          <w:spacing w:val="3"/>
          <w:sz w:val="24"/>
          <w:szCs w:val="24"/>
          <w:lang w:eastAsia="en-IE"/>
        </w:rPr>
        <w:t xml:space="preserve"> agreement. In fact my clients benefited in 4 of the cases I handled for them.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Appointment of arbitrators and instituting the multi door court house solely for arbitrations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support arbitration by respecting arbitration agreements and granting stay where necessary. They also recognise and enforce arbitration awards. Foreign awards by virtue of the New York convention are also recognised and enforceable in Nigeria. Other preliminary reliefs are also accorded to arbitration where necessary.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By making provisions for it in the Rules of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They stay proceedings in court cases to give effect to ADR clauses in agreements. Parties are mandated to resort to agreed Arbitral reference. The courts are conscious to avoid re</w:t>
      </w:r>
      <w:r>
        <w:rPr>
          <w:rFonts w:ascii="Times New Roman" w:eastAsia="Times New Roman" w:hAnsi="Times New Roman" w:cs="Times New Roman"/>
          <w:color w:val="202124"/>
          <w:spacing w:val="3"/>
          <w:sz w:val="24"/>
          <w:szCs w:val="24"/>
          <w:lang w:eastAsia="en-IE"/>
        </w:rPr>
        <w:t>-</w:t>
      </w:r>
      <w:r w:rsidRPr="00F36B8A">
        <w:rPr>
          <w:rFonts w:ascii="Times New Roman" w:eastAsia="Times New Roman" w:hAnsi="Times New Roman" w:cs="Times New Roman"/>
          <w:color w:val="202124"/>
          <w:spacing w:val="3"/>
          <w:sz w:val="24"/>
          <w:szCs w:val="24"/>
          <w:lang w:eastAsia="en-IE"/>
        </w:rPr>
        <w:t>litigating arbitral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Respecting the </w:t>
      </w:r>
      <w:proofErr w:type="gramStart"/>
      <w:r w:rsidRPr="00F36B8A">
        <w:rPr>
          <w:rFonts w:ascii="Times New Roman" w:eastAsia="Times New Roman" w:hAnsi="Times New Roman" w:cs="Times New Roman"/>
          <w:color w:val="202124"/>
          <w:spacing w:val="3"/>
          <w:sz w:val="24"/>
          <w:szCs w:val="24"/>
          <w:lang w:eastAsia="en-IE"/>
        </w:rPr>
        <w:t>parties</w:t>
      </w:r>
      <w:proofErr w:type="gramEnd"/>
      <w:r w:rsidRPr="00F36B8A">
        <w:rPr>
          <w:rFonts w:ascii="Times New Roman" w:eastAsia="Times New Roman" w:hAnsi="Times New Roman" w:cs="Times New Roman"/>
          <w:color w:val="202124"/>
          <w:spacing w:val="3"/>
          <w:sz w:val="24"/>
          <w:szCs w:val="24"/>
          <w:lang w:eastAsia="en-IE"/>
        </w:rPr>
        <w:t xml:space="preserve"> wishes and referring the matter to arbitration when promptly raised.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As mentioned earlier, the Nigerian courts have Dispute Resolution centres attached to them and in most jurisdictions, during assessment; cases can go straight to the Multi-door Courthouses before litigation is considered only when Resolution fails. And the rules of various courts accommodate standing down already instituted litigation trial for Mediation or Arbitration to be explored first.</w:t>
      </w:r>
    </w:p>
    <w:p w:rsidR="001C2CCB" w:rsidRPr="00F36B8A" w:rsidRDefault="001C2CCB" w:rsidP="001C2CCB">
      <w:pPr>
        <w:jc w:val="both"/>
        <w:rPr>
          <w:rFonts w:ascii="Times New Roman" w:hAnsi="Times New Roman" w:cs="Times New Roman"/>
          <w:sz w:val="24"/>
          <w:szCs w:val="24"/>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10. In what ways do Nigerian courts inhibit the arbitral system?</w:t>
      </w:r>
      <w:r w:rsidRPr="00F36B8A">
        <w:rPr>
          <w:rFonts w:ascii="Times New Roman" w:eastAsia="Times New Roman" w:hAnsi="Times New Roman" w:cs="Times New Roman"/>
          <w:color w:val="202124"/>
          <w:spacing w:val="5"/>
          <w:sz w:val="24"/>
          <w:szCs w:val="24"/>
          <w:lang w:eastAsia="en-IE"/>
        </w:rPr>
        <w:t xml:space="preserve"> 32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hinder the arbitration system, if they do not enforce arbitral awards on the parties.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Nil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By enforcing the arbitrary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Insufficient facilities, manpower and judicial will to recognize arbitration as a viable alternative to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Not sure.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None that I know.</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 that I know</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There's no provision in the various court rules for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Some Nigerians have set aside arbitral awards on flimsy grounds. The court system also delays the arbitral process especially where a party has to approach the court to make default appointments and the other side appeals against the order.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Several Arbitration awards have been needlessly overturned by the Courts on appeal.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only way the Nigerian Courts seem to obstruct the smooth operation of the arbitral system that I know of, is the cumbersome procedure for the enforcement of the arbitral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Principally by the length of time required to enforce an award. This can take up to 5 years or more if it extends to the Supreme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Arbitral System, is, Part of our Judicial Processes as well defined and enshrined in our Rules of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Sometimes in practice, some courts still look at arbitration with suspicion. Some believe there's a contest for jurisdiction between courts and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lastRenderedPageBreak/>
        <w:t>Judicial backing.</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am not aware of any.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1. The reliance on courts to interpret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interfere when they review or set aside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In a few cases, courts set aside arbitral awards on the substance of the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courts sometimes fail in insisting that parties should as a matter of practice and policy explore arbitration first; there hasn't been enough awareness on the importance of arbitration and the effect it has in maintaining peaceful coexistence and continuous business relationship amongst contracting parties.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a</w:t>
      </w:r>
      <w:proofErr w:type="gramEnd"/>
      <w:r w:rsidRPr="00F36B8A">
        <w:rPr>
          <w:rFonts w:ascii="Times New Roman" w:eastAsia="Times New Roman" w:hAnsi="Times New Roman" w:cs="Times New Roman"/>
          <w:color w:val="202124"/>
          <w:spacing w:val="3"/>
          <w:sz w:val="24"/>
          <w:szCs w:val="24"/>
          <w:lang w:eastAsia="en-IE"/>
        </w:rPr>
        <w:t>. granting of interlocutory applications b. Appointment of arbitrators c. review or setting aside awards d. Staying arbitral proceedings d. Reliance on courts to interpret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Where a Contract Agreement is breached and one of the covenants in the contract states that there must arbitration before going to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a. The reliance on the court to make the final decision on the decisions taken by the arbitrators. </w:t>
      </w:r>
      <w:proofErr w:type="gramStart"/>
      <w:r w:rsidRPr="00F36B8A">
        <w:rPr>
          <w:rFonts w:ascii="Times New Roman" w:eastAsia="Times New Roman" w:hAnsi="Times New Roman" w:cs="Times New Roman"/>
          <w:color w:val="202124"/>
          <w:spacing w:val="3"/>
          <w:sz w:val="24"/>
          <w:szCs w:val="24"/>
          <w:lang w:eastAsia="en-IE"/>
        </w:rPr>
        <w:t>b</w:t>
      </w:r>
      <w:proofErr w:type="gramEnd"/>
      <w:r w:rsidRPr="00F36B8A">
        <w:rPr>
          <w:rFonts w:ascii="Times New Roman" w:eastAsia="Times New Roman" w:hAnsi="Times New Roman" w:cs="Times New Roman"/>
          <w:color w:val="202124"/>
          <w:spacing w:val="3"/>
          <w:sz w:val="24"/>
          <w:szCs w:val="24"/>
          <w:lang w:eastAsia="en-IE"/>
        </w:rPr>
        <w:t>. setting aside and staying arbitrary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Unreasonable interventions pursuant to its supervisory roles; appointment of arbitrators etc</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judge refusing to set aside an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Arbitration is part and parcel of Nigeria’s civil jurisprudence and a condition precedent before action can be maintained in the courts.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do not think the court inhibits the arbitral system in any way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Indiscriminate grant of applications to refuse the recognition and enforcement of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slow pace of courts prevents applications for appointment of arbitrators the reference to arbitration should not be a matter that could be waived.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Some Judges (mostly those attached to the Multi-door Courthouse) interfere in Arbitration or Mediation proceedings.</w:t>
      </w:r>
    </w:p>
    <w:p w:rsidR="001C2CCB" w:rsidRPr="00F36B8A" w:rsidRDefault="001C2CCB" w:rsidP="001C2CCB">
      <w:pPr>
        <w:jc w:val="both"/>
        <w:rPr>
          <w:rFonts w:ascii="Times New Roman" w:hAnsi="Times New Roman" w:cs="Times New Roman"/>
          <w:sz w:val="24"/>
          <w:szCs w:val="24"/>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11. What is the most positive thing you have experienced in a Nigerian court in relation to the arbitral process?</w:t>
      </w:r>
      <w:r w:rsidRPr="00F36B8A">
        <w:rPr>
          <w:rFonts w:ascii="Times New Roman" w:eastAsia="Times New Roman" w:hAnsi="Times New Roman" w:cs="Times New Roman"/>
          <w:color w:val="202124"/>
          <w:spacing w:val="5"/>
          <w:sz w:val="24"/>
          <w:szCs w:val="24"/>
          <w:lang w:eastAsia="en-IE"/>
        </w:rPr>
        <w:t xml:space="preserve"> 32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Referring matters to the Multi-door arbitration houses for easy and quick dispensation of Justice.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Enforcement of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speed of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Staying court proceedings pending arbitration.</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Encouraging parties to explore it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Settlement of a dispute in the course of pre-trial conference which saved parties the cost of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have experienced a number of cases where a Nigerian court either refused to set aside an arbitral award or discountenanced an attempt to resist enforcement.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Adherence to agreement of parties as regarding the process.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willingness of Courts to allow parties refers cases to Arbitral panels.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Settling a highly contentious issue at the Multi-Door Court House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Settlement of Cases of court with the aid of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The institutional and legal framework.</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It is faster and time saving.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once had a matter that the judge decline jurisdiction and insisted that parties should go for arbitral proceedings. We took the directive and we were able to resolve the matter.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court refused to grant the application of a defendant for stay of proceedings which was calculated at frustrating the arbitration process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judge declining jurisdiction to entertain a suit which ought to be submitted to arbitration once his attention was called to an arbitration clause.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Staying proceeding pending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ease of recognition and enforcement, and courts declining jurisdiction and ordering parties to go to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I participated in arbitration where I represented; I went to Court directly to enforce my clients right but the other party raised an objection on the basis of the existence of an arbitration clause which stipulates that parties must first go to arbitration. That objection was upheld by the court and we were sent to arbitration. The most positive thing for me was that inspite of my reluctance initial, the outcome of the arbitration was in my clients favour and the opposing party, </w:t>
      </w:r>
      <w:proofErr w:type="gramStart"/>
      <w:r w:rsidRPr="00F36B8A">
        <w:rPr>
          <w:rFonts w:ascii="Times New Roman" w:eastAsia="Times New Roman" w:hAnsi="Times New Roman" w:cs="Times New Roman"/>
          <w:color w:val="202124"/>
          <w:spacing w:val="3"/>
          <w:sz w:val="24"/>
          <w:szCs w:val="24"/>
          <w:lang w:eastAsia="en-IE"/>
        </w:rPr>
        <w:t>a</w:t>
      </w:r>
      <w:proofErr w:type="gramEnd"/>
      <w:r w:rsidRPr="00F36B8A">
        <w:rPr>
          <w:rFonts w:ascii="Times New Roman" w:eastAsia="Times New Roman" w:hAnsi="Times New Roman" w:cs="Times New Roman"/>
          <w:color w:val="202124"/>
          <w:spacing w:val="3"/>
          <w:sz w:val="24"/>
          <w:szCs w:val="24"/>
          <w:lang w:eastAsia="en-IE"/>
        </w:rPr>
        <w:t xml:space="preserve"> government establishment respected the outcome and paid my client the arbitration award sum, in millions.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 xml:space="preserve">The judge declining jurisdiction to entertain a suit which ought to be submitted to arbitration </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 Judge refusing to set aside an award (c) Judge refusing to grant a stay from a defendant who was bent on frustrating arbitration proceedings (d) a judge interpreting provisions of the arbitration act to give effect to the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My answer in 10 above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Judge refusing to bend to the dictates of a party seeking to frustrate the arbitrary proceeding(d) A Judge following due procedure and upholding the decisions taken by an arbitral panel (e) a judge recognising an award from an international arbitral proceedings and making it enforceable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Protecting the sanctity of an arbitral award.</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Declining to entertain a suit which ought to be submitted to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The desire to uphold the various legal instruments in favour of arbitration.</w:t>
      </w:r>
      <w:proofErr w:type="gramEnd"/>
      <w:r w:rsidRPr="00F36B8A">
        <w:rPr>
          <w:rFonts w:ascii="Times New Roman" w:eastAsia="Times New Roman" w:hAnsi="Times New Roman" w:cs="Times New Roman"/>
          <w:color w:val="202124"/>
          <w:spacing w:val="3"/>
          <w:sz w:val="24"/>
          <w:szCs w:val="24"/>
          <w:lang w:eastAsia="en-IE"/>
        </w:rPr>
        <w:t xml:space="preserve"> Nigeria courts do not hesitate in placing arbitration agreements over party’s right to maintain action in court. Arbitration must be exhausted as agreed by the parties before either party can proceed to the court. In terms of granting interim reliefs, the courts are always there to do the needful.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fact that both parties are able to come to table as against an acrimonious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Stay of proceeding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Referring parties to arbitration in line with agreement after litigation had commenced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Some Judges encourage parties to explore other means of settlement before resorting to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12. What is the most negative thing you have experienced in a Nigerian court in relation to the arbitral process?</w:t>
      </w:r>
      <w:r w:rsidRPr="00F36B8A">
        <w:rPr>
          <w:rFonts w:ascii="Times New Roman" w:eastAsia="Times New Roman" w:hAnsi="Times New Roman" w:cs="Times New Roman"/>
          <w:color w:val="202124"/>
          <w:spacing w:val="5"/>
          <w:sz w:val="24"/>
          <w:szCs w:val="24"/>
          <w:lang w:eastAsia="en-IE"/>
        </w:rPr>
        <w:t xml:space="preserve"> 30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Parties refusing to abide by their agreement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lack of sufficient expertise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None.</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Delay of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A Nigerian court countenanced a strange application for injunction to restrain a successful party from enforcing an arbitral award in a case where that party had failed to set aside the award within the three months period provided in the Arbitration and Conciliation Act. It is now three years and counting and the party </w:t>
      </w:r>
      <w:proofErr w:type="gramStart"/>
      <w:r w:rsidRPr="00F36B8A">
        <w:rPr>
          <w:rFonts w:ascii="Times New Roman" w:eastAsia="Times New Roman" w:hAnsi="Times New Roman" w:cs="Times New Roman"/>
          <w:color w:val="202124"/>
          <w:spacing w:val="3"/>
          <w:sz w:val="24"/>
          <w:szCs w:val="24"/>
          <w:lang w:eastAsia="en-IE"/>
        </w:rPr>
        <w:t>is</w:t>
      </w:r>
      <w:proofErr w:type="gramEnd"/>
      <w:r w:rsidRPr="00F36B8A">
        <w:rPr>
          <w:rFonts w:ascii="Times New Roman" w:eastAsia="Times New Roman" w:hAnsi="Times New Roman" w:cs="Times New Roman"/>
          <w:color w:val="202124"/>
          <w:spacing w:val="3"/>
          <w:sz w:val="24"/>
          <w:szCs w:val="24"/>
          <w:lang w:eastAsia="en-IE"/>
        </w:rPr>
        <w:t xml:space="preserve"> yet to enforce the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cannot think of any right now.</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The cumbersome procedure for the enforcement of the arbitral awards.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Rejection of an award on a mere technical ground.</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None.</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None that I am aware of.</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court refused to decline jurisdiction even when the request for arbitration was made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A judge interpreting the provisions of the act in a manner that </w:t>
      </w:r>
      <w:proofErr w:type="spellStart"/>
      <w:r w:rsidRPr="00F36B8A">
        <w:rPr>
          <w:rFonts w:ascii="Times New Roman" w:eastAsia="Times New Roman" w:hAnsi="Times New Roman" w:cs="Times New Roman"/>
          <w:color w:val="202124"/>
          <w:spacing w:val="3"/>
          <w:sz w:val="24"/>
          <w:szCs w:val="24"/>
          <w:lang w:eastAsia="en-IE"/>
        </w:rPr>
        <w:t>fraustrates</w:t>
      </w:r>
      <w:proofErr w:type="spellEnd"/>
      <w:r w:rsidRPr="00F36B8A">
        <w:rPr>
          <w:rFonts w:ascii="Times New Roman" w:eastAsia="Times New Roman" w:hAnsi="Times New Roman" w:cs="Times New Roman"/>
          <w:color w:val="202124"/>
          <w:spacing w:val="3"/>
          <w:sz w:val="24"/>
          <w:szCs w:val="24"/>
          <w:lang w:eastAsia="en-IE"/>
        </w:rPr>
        <w:t xml:space="preserve">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Not applicable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Refusal to send parties to arbitration even in the face of existence of arbitration clause in a contract and failure to give effect to arbitral awards.</w:t>
      </w:r>
      <w:proofErr w:type="gramEnd"/>
      <w:r w:rsidRPr="00F36B8A">
        <w:rPr>
          <w:rFonts w:ascii="Times New Roman" w:eastAsia="Times New Roman" w:hAnsi="Times New Roman" w:cs="Times New Roman"/>
          <w:color w:val="202124"/>
          <w:spacing w:val="3"/>
          <w:sz w:val="24"/>
          <w:szCs w:val="24"/>
          <w:lang w:eastAsia="en-IE"/>
        </w:rPr>
        <w:t xml:space="preserve"> Then the issue of delay in giving effect to arbitral awards due to the slow nature of our system.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judge for obvious reasons refusing to decline jurisdiction even in the face of obvious request to submit suit to arbitration (b) a judge interpreting the provisions of the act in a manner that frustrates arbitration (c) the judge granting a stay of arbitration proceedings (d) a judge setting aside an award on grounds not founded in the act (e) the judge unilaterally removing arbitrators on the application of a party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Never witnessed any arbitration.</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A judge ignoring the Arbitration clause in an agreement signed by parties and going into full litigation.</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Unreasonable interventions by the courts pursuant to its supervisory roles.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judge interpreting the provisions of the act in a manner that frustrates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 I can remember.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ability of a party who didn’t actively participate to approach the court to set aside an arboreal award on grounds of technicality or less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Failure to hear motion for appointment of arbitrator over 2 years due to court delay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When Judges interfere with Arbitral process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13. In your opinion, should the courts be involved in the appointment or removal of arbitrators and why do you think so?</w:t>
      </w:r>
      <w:r w:rsidRPr="00F36B8A">
        <w:rPr>
          <w:rFonts w:ascii="Times New Roman" w:eastAsia="Times New Roman" w:hAnsi="Times New Roman" w:cs="Times New Roman"/>
          <w:color w:val="202124"/>
          <w:spacing w:val="5"/>
          <w:sz w:val="24"/>
          <w:szCs w:val="24"/>
          <w:lang w:eastAsia="en-IE"/>
        </w:rPr>
        <w:t xml:space="preserve"> 31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Arbitration is a predominantly private matter between the parties; courts shouldn’t appoint arbitrators, except in very limited cases </w:t>
      </w:r>
      <w:proofErr w:type="spellStart"/>
      <w:r w:rsidRPr="00F36B8A">
        <w:rPr>
          <w:rFonts w:ascii="Times New Roman" w:eastAsia="Times New Roman" w:hAnsi="Times New Roman" w:cs="Times New Roman"/>
          <w:color w:val="202124"/>
          <w:spacing w:val="3"/>
          <w:sz w:val="24"/>
          <w:szCs w:val="24"/>
          <w:lang w:eastAsia="en-IE"/>
        </w:rPr>
        <w:t>e.g</w:t>
      </w:r>
      <w:proofErr w:type="spellEnd"/>
      <w:r w:rsidRPr="00F36B8A">
        <w:rPr>
          <w:rFonts w:ascii="Times New Roman" w:eastAsia="Times New Roman" w:hAnsi="Times New Roman" w:cs="Times New Roman"/>
          <w:color w:val="202124"/>
          <w:spacing w:val="3"/>
          <w:sz w:val="24"/>
          <w:szCs w:val="24"/>
          <w:lang w:eastAsia="en-IE"/>
        </w:rPr>
        <w:t xml:space="preserve"> where there is an arbitration clause without a clear provision on who should appoint the arbitrator(s)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courts have to be involved in appointment or removal of arbitrators to make sure the process is fair and conducted with due process in accordance with the laws stipulated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This gives more room for transparency and removes every bottleneck.</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For natural transparency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The parties should have the freedom to submit to the Court’s appointment of arbitrator(s) if they do choose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There’s got to be an umpire.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No. Independence of parties to appoint their own arbitrators is </w:t>
      </w:r>
      <w:proofErr w:type="gramStart"/>
      <w:r w:rsidRPr="00F36B8A">
        <w:rPr>
          <w:rFonts w:ascii="Times New Roman" w:eastAsia="Times New Roman" w:hAnsi="Times New Roman" w:cs="Times New Roman"/>
          <w:color w:val="202124"/>
          <w:spacing w:val="3"/>
          <w:sz w:val="24"/>
          <w:szCs w:val="24"/>
          <w:lang w:eastAsia="en-IE"/>
        </w:rPr>
        <w:t>key</w:t>
      </w:r>
      <w:proofErr w:type="gramEnd"/>
      <w:r w:rsidRPr="00F36B8A">
        <w:rPr>
          <w:rFonts w:ascii="Times New Roman" w:eastAsia="Times New Roman" w:hAnsi="Times New Roman" w:cs="Times New Roman"/>
          <w:color w:val="202124"/>
          <w:spacing w:val="3"/>
          <w:sz w:val="24"/>
          <w:szCs w:val="24"/>
          <w:lang w:eastAsia="en-IE"/>
        </w:rPr>
        <w: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because it will take away the liberties of contracting parties from choosing wilfully those they want to arbitrate and competent arbitrators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to ensure the integrity of the proceeding</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My answer is no and yes! Nigerian courts should not be involved at all in the appointment of arbitrators. However, the courts can be involved in the removal of an arbitrator in certain limited circumstances.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It will inhibit the process and may elongate the time within which awards ought to have been given.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but the Courts should only be involved in situations where parties fail to reach agreement as to the Arbitrator(s)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It gives confidence and a sense of neutrality to the parties.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idea of Courts appointment of Arbitrators is a welcome development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Yes. </w:t>
      </w:r>
      <w:proofErr w:type="gramStart"/>
      <w:r w:rsidRPr="00F36B8A">
        <w:rPr>
          <w:rFonts w:ascii="Times New Roman" w:eastAsia="Times New Roman" w:hAnsi="Times New Roman" w:cs="Times New Roman"/>
          <w:color w:val="202124"/>
          <w:spacing w:val="3"/>
          <w:sz w:val="24"/>
          <w:szCs w:val="24"/>
          <w:lang w:eastAsia="en-IE"/>
        </w:rPr>
        <w:t>To ensure neutrality and fairness.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appointment and removal of arbitrators should be done by parties and arbitrators. When they fail to agree, resort should be made to arbitral institutions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the court is not meant to act as supervisory body over arbitration proceedings. Proceedings including appointment and removal should be totally controlled within the context of the arbitration procedure.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It should be left for parties to choose except where there is a disagreement then parties can resort to court to appoint. Especially for a sole arbitrator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Court should not be involved in appointment or removal unless the parties have so elected in their arbitration agreement. The reason for this is that the courts would be inserting themselves in a process which was designed expressly to exclude them for any number of reasons. Courts are usually not the best place to appoint arbitrators as they might not be as familiar with them as much as other bodies which have more experience. The removal of arbitrators should also be in the exercise of the autonomy of the parties.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do not think so. Parties should be at liberty to do that, only when they fail to agree on an arbitrator that the court should come in.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the court should not because it interferes with the process (b) the court should not because it contributes excessive reliance to courts (c) appointment or removal of arbitrators should be done strictly by parties and arbitrators and where they fail to agree, should be done by arbitral institutions rather than courts (d) no, when u give the court power to remove u are invariably giving them power to replace and thus the court will continue to exercise control over the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Yes, because Nigerians believe in the powers of the courts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No, the court is not meant to act as supervisory body over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Courts should not be involved in order to give in to </w:t>
      </w:r>
      <w:proofErr w:type="spellStart"/>
      <w:r w:rsidRPr="00F36B8A">
        <w:rPr>
          <w:rFonts w:ascii="Times New Roman" w:eastAsia="Times New Roman" w:hAnsi="Times New Roman" w:cs="Times New Roman"/>
          <w:color w:val="202124"/>
          <w:spacing w:val="3"/>
          <w:sz w:val="24"/>
          <w:szCs w:val="24"/>
          <w:lang w:eastAsia="en-IE"/>
        </w:rPr>
        <w:t>to</w:t>
      </w:r>
      <w:proofErr w:type="spellEnd"/>
      <w:r w:rsidRPr="00F36B8A">
        <w:rPr>
          <w:rFonts w:ascii="Times New Roman" w:eastAsia="Times New Roman" w:hAnsi="Times New Roman" w:cs="Times New Roman"/>
          <w:color w:val="202124"/>
          <w:spacing w:val="3"/>
          <w:sz w:val="24"/>
          <w:szCs w:val="24"/>
          <w:lang w:eastAsia="en-IE"/>
        </w:rPr>
        <w:t xml:space="preserve"> speedy conclusion of an arbitration process. It will also ensure complete party autonomy and confidentiality of the whole process.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because so will invariably give them the power to exercise control over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In my opinion, I am of the opinion the courts should retain the supervisory role they play in arbitration and allow the parties exercise their discretion which is the major difference between arbitration and traditional court system. Allowing courts the leverage to descend into the arena will defeat the purpose of arbitration as an alternative dispute resolution mechanism.</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do not think the court should be involved in appointment and removal of arbitrators for the same reasons arbitrators are not involved in the appointment and removal of judges.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think they should, in order to have a way forward. However, there should be special judges for that purpose to speed up the process.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 Allowing parties to choose their Arbitrators gives them a kind of confidence that they are playing a major part in the process. This in turn opens them up to resolution instead of making them against it and frustrating the process as a result.</w:t>
      </w:r>
    </w:p>
    <w:p w:rsidR="001C2CCB" w:rsidRPr="00F36B8A" w:rsidRDefault="001C2CCB" w:rsidP="001C2CCB">
      <w:pPr>
        <w:jc w:val="both"/>
        <w:rPr>
          <w:rFonts w:ascii="Times New Roman" w:hAnsi="Times New Roman" w:cs="Times New Roman"/>
          <w:sz w:val="24"/>
          <w:szCs w:val="24"/>
        </w:rPr>
      </w:pP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14. What is the one thing that you expect Nigerian courts to do better to support the arbitral process?</w:t>
      </w:r>
      <w:r w:rsidRPr="00F36B8A">
        <w:rPr>
          <w:rFonts w:ascii="Times New Roman" w:eastAsia="Times New Roman" w:hAnsi="Times New Roman" w:cs="Times New Roman"/>
          <w:color w:val="202124"/>
          <w:spacing w:val="5"/>
          <w:sz w:val="24"/>
          <w:szCs w:val="24"/>
          <w:lang w:eastAsia="en-IE"/>
        </w:rPr>
        <w:t xml:space="preserve"> 31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should make sure the process is fair and arbitral awards are awarded to the parties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Registration of arbitral awards and enforcing same.</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Compelling parties to abide by the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Make rules that reflect the realities of the society with regards to enforcement of arbitration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(1) Encourage parties to try out arbitration prior to trying their matter. (2) Educate lawyers about the need to insert arbitration clauses in contracts.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To enforce arbitrary awards without paying so much attention to technical objections challenging the awards.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always encourage litigants to explore arbitration as a faster way of resolving disputes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make adequate provision in the rules for expeditious and effective arbitration proceedings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need to be more robust in their support of arbitration and look out for the tactics of certain parties and counsel who set out to thwart the arbitral process.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To hold firm the principle of judicial non-intervention in the Arbitration process.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allow arbitral awards to be enforceable once given the Arbitration panel.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Streamlining the appeal process for quick disposal of arbitration appeals.</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encourage Settlement of cases out of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Give clear decision on the interpretation of arbitration laws in Nigeria.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be referring all commercial cases to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rules of court should have mandatory provision on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1. Limit its interference with the arbitration process 2. Refuse the urge to set aside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Limit its interference with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NILL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Accelerating the process of recognition and enforcement of the award and staying away from the substance of the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Refer every matter that comes to it to arbitration, especially those with arbitration clauses or that can be resolved through arbitration without the rigor or delay if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Limit it’s interference with arbitration (b) interprete provisions of the arbitration act to strengthen and give effect to the arbitration proceedings (c) give effect to doctrine of competence </w:t>
      </w:r>
      <w:proofErr w:type="spellStart"/>
      <w:r w:rsidRPr="00F36B8A">
        <w:rPr>
          <w:rFonts w:ascii="Times New Roman" w:eastAsia="Times New Roman" w:hAnsi="Times New Roman" w:cs="Times New Roman"/>
          <w:color w:val="202124"/>
          <w:spacing w:val="3"/>
          <w:sz w:val="24"/>
          <w:szCs w:val="24"/>
          <w:lang w:eastAsia="en-IE"/>
        </w:rPr>
        <w:t>competence</w:t>
      </w:r>
      <w:proofErr w:type="spellEnd"/>
      <w:r w:rsidRPr="00F36B8A">
        <w:rPr>
          <w:rFonts w:ascii="Times New Roman" w:eastAsia="Times New Roman" w:hAnsi="Times New Roman" w:cs="Times New Roman"/>
          <w:color w:val="202124"/>
          <w:spacing w:val="3"/>
          <w:sz w:val="24"/>
          <w:szCs w:val="24"/>
          <w:lang w:eastAsia="en-IE"/>
        </w:rPr>
        <w:t xml:space="preserve"> (d) refuse the urge to set aside awards (e) give full effect to section 34 of the Arbitration and Conciliation Act.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Encourage it.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Create more awareness and encourage parties to embrace Arbitration instead of seeking litigation for the simplest acts. And the courts should also refuse the urge to set aside awards imposed by the arbitral panels.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 expect Nigerian courts to stand firm in the face of unnecessary applications by parties who intend to denounce their agreement especially on technical grounds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Refuse the urge to set aside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From personal perspective, I believe everything that ought to be right is right in terms of court/arbitration relationship.</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If it were practicable, to ensure parties participate and where an arboreal award is ordered to enforce same without recourse to any party trying to contest the award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Create a special Arbitration Judge to hear and determine matters relating to issues on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one thing is to assign matters to the Multi-door Courthouses from the filing stage and to encourage parties to explore Arbitration before resorting to litigation</w:t>
      </w:r>
    </w:p>
    <w:p w:rsidR="001C2CCB" w:rsidRDefault="001C2CCB" w:rsidP="001C2CCB">
      <w:pPr>
        <w:shd w:val="clear" w:color="auto" w:fill="F8F9FA"/>
        <w:spacing w:after="0" w:line="300" w:lineRule="atLeast"/>
        <w:rPr>
          <w:rFonts w:ascii="Roboto" w:eastAsia="Times New Roman" w:hAnsi="Roboto" w:cs="Times New Roman"/>
          <w:color w:val="202124"/>
          <w:spacing w:val="3"/>
          <w:sz w:val="21"/>
          <w:szCs w:val="21"/>
          <w:lang w:eastAsia="en-IE"/>
        </w:rPr>
      </w:pPr>
    </w:p>
    <w:p w:rsidR="001C2CCB" w:rsidRDefault="001C2CCB" w:rsidP="001C2CCB">
      <w:pPr>
        <w:shd w:val="clear" w:color="auto" w:fill="F8F9FA"/>
        <w:spacing w:after="0" w:line="300" w:lineRule="atLeast"/>
        <w:rPr>
          <w:rFonts w:ascii="Roboto" w:eastAsia="Times New Roman" w:hAnsi="Roboto" w:cs="Times New Roman"/>
          <w:color w:val="202124"/>
          <w:spacing w:val="3"/>
          <w:sz w:val="21"/>
          <w:szCs w:val="21"/>
          <w:lang w:eastAsia="en-IE"/>
        </w:rPr>
      </w:pPr>
      <w:r>
        <w:rPr>
          <w:rFonts w:ascii="Roboto" w:hAnsi="Roboto"/>
          <w:noProof/>
          <w:color w:val="202124"/>
          <w:spacing w:val="3"/>
          <w:sz w:val="21"/>
          <w:szCs w:val="21"/>
          <w:lang w:val="en-US"/>
        </w:rPr>
        <w:lastRenderedPageBreak/>
        <w:drawing>
          <wp:inline distT="0" distB="0" distL="0" distR="0">
            <wp:extent cx="5731510" cy="2912745"/>
            <wp:effectExtent l="0" t="0" r="2540" b="1905"/>
            <wp:docPr id="823" name="Picture 6"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 histogram&#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912745"/>
                    </a:xfrm>
                    <a:prstGeom prst="rect">
                      <a:avLst/>
                    </a:prstGeom>
                    <a:noFill/>
                    <a:ln>
                      <a:noFill/>
                    </a:ln>
                  </pic:spPr>
                </pic:pic>
              </a:graphicData>
            </a:graphic>
          </wp:inline>
        </w:drawing>
      </w:r>
    </w:p>
    <w:p w:rsidR="001C2CCB" w:rsidRDefault="001C2CCB" w:rsidP="001C2CCB">
      <w:pPr>
        <w:shd w:val="clear" w:color="auto" w:fill="F8F9FA"/>
        <w:spacing w:after="0" w:line="300" w:lineRule="atLeast"/>
        <w:rPr>
          <w:rFonts w:ascii="Roboto" w:eastAsia="Times New Roman" w:hAnsi="Roboto" w:cs="Times New Roman"/>
          <w:color w:val="202124"/>
          <w:spacing w:val="3"/>
          <w:sz w:val="21"/>
          <w:szCs w:val="21"/>
          <w:lang w:eastAsia="en-IE"/>
        </w:rPr>
      </w:pPr>
      <w:r>
        <w:rPr>
          <w:rFonts w:ascii="Roboto" w:hAnsi="Roboto"/>
          <w:noProof/>
          <w:color w:val="202124"/>
          <w:spacing w:val="3"/>
          <w:sz w:val="21"/>
          <w:szCs w:val="21"/>
          <w:lang w:val="en-US"/>
        </w:rPr>
        <w:drawing>
          <wp:inline distT="0" distB="0" distL="0" distR="0">
            <wp:extent cx="5731510" cy="2912745"/>
            <wp:effectExtent l="0" t="0" r="2540" b="1905"/>
            <wp:docPr id="824" name="Picture 7"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with medium confidence"/>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912745"/>
                    </a:xfrm>
                    <a:prstGeom prst="rect">
                      <a:avLst/>
                    </a:prstGeom>
                    <a:noFill/>
                    <a:ln>
                      <a:noFill/>
                    </a:ln>
                  </pic:spPr>
                </pic:pic>
              </a:graphicData>
            </a:graphic>
          </wp:inline>
        </w:drawing>
      </w:r>
    </w:p>
    <w:p w:rsidR="001C2CCB" w:rsidRPr="00F36B8A" w:rsidRDefault="001C2CCB" w:rsidP="001C2CCB">
      <w:pPr>
        <w:spacing w:line="405" w:lineRule="atLeast"/>
        <w:jc w:val="both"/>
        <w:rPr>
          <w:rFonts w:ascii="Times New Roman" w:eastAsia="Times New Roman" w:hAnsi="Times New Roman" w:cs="Times New Roman"/>
          <w:color w:val="000000"/>
          <w:sz w:val="24"/>
          <w:szCs w:val="24"/>
          <w:lang w:eastAsia="en-IE"/>
        </w:rPr>
      </w:pPr>
      <w:r w:rsidRPr="00F36B8A">
        <w:rPr>
          <w:rFonts w:ascii="Times New Roman" w:eastAsia="Times New Roman" w:hAnsi="Times New Roman" w:cs="Times New Roman"/>
          <w:color w:val="202124"/>
          <w:spacing w:val="2"/>
          <w:sz w:val="24"/>
          <w:szCs w:val="24"/>
          <w:lang w:eastAsia="en-IE"/>
        </w:rPr>
        <w:t>17. What general suggestions do you have for the improvement of the arbitral system in Nigeria?</w:t>
      </w:r>
      <w:r w:rsidRPr="00F36B8A">
        <w:rPr>
          <w:rFonts w:ascii="Times New Roman" w:eastAsia="Times New Roman" w:hAnsi="Times New Roman" w:cs="Times New Roman"/>
          <w:color w:val="202124"/>
          <w:spacing w:val="5"/>
          <w:sz w:val="24"/>
          <w:szCs w:val="24"/>
          <w:lang w:eastAsia="en-IE"/>
        </w:rPr>
        <w:t xml:space="preserve"> 28 responses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Shorter, easier and more precise processes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Abridgment of the time period within which arbitration proceedings should last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 xml:space="preserve">More transactional and property Lawyers should insert arbitration clauses in their contracts. </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Courts should be willing to hands off the case when a party seeks to enforce it.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Statue should mandate all commercial disputes to first go to arbitration before litigation.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There should be more sensitization of citizens on the benefits of arbitration. Many cases in Nigerian courts today ought not to be there but because of ignorance the matters finds their ways to the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set up a working system for effective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Nigerian courts just need to do better and the judges should be continually trained in this regard</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judicial intervention in the Arbitration process needs to be minimal. Otherwise the whole idea of Arbitration as a quick and fast alternative to litigation will be lost.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allow arbitral awards to be enforceable once given the Arbitration panel.</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Strong Encouragement / Settlement of cases out of Court.</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Better training for judges and arbitration practitioners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It should be made mandatory for all commercial matters.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Amend the Arbitration And Reconciliation Act.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To encourage capacity building and training of judges to help them understand arbitration better</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Establish a bill to minimise the incidents of references and judicial intervention by the court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Providing a time limit within which ARBITRATION would to be completed upon commencement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Pass the pending amendment at the National Assembly</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cost of arbitration is a little steep in Nigeria as a party is expected to pay a certain percentage of his claims before the tribunal, or else, stand the risk of forfeiting same. This on my mind defeats the essence of arbitration. Some indigent persons with good claims may be forced to abandon same and lose out completely due to lack or paucity of funds.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a. To review the act and make it more modern and effective (b) establish a bill to minimise the incidents of references and judicial intervention by the court (c) for a new act to expressly recognise arbitral institutions to serve as appointing authorities and also remove arbitrators (d) for the act to provide a clear interpretation of some basic concepts such as arbitrator misconduct or improper procurement of proceedings and this will help reduce the reliance on courts for interpretations. (e) Streamline conditions to set aside awards.</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More enlightenment of the Nigerian public should be done.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Constant interface amongst all stakeholders for the continued growth and development of arbitration procedure.</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1. Third-party funding 2. Establishment of an Award review tribunal rather than an appeal to a regular court 3. </w:t>
      </w:r>
      <w:proofErr w:type="gramStart"/>
      <w:r w:rsidRPr="00F36B8A">
        <w:rPr>
          <w:rFonts w:ascii="Times New Roman" w:eastAsia="Times New Roman" w:hAnsi="Times New Roman" w:cs="Times New Roman"/>
          <w:color w:val="202124"/>
          <w:spacing w:val="3"/>
          <w:sz w:val="24"/>
          <w:szCs w:val="24"/>
          <w:lang w:eastAsia="en-IE"/>
        </w:rPr>
        <w:t>Provisions for emergency arbitrators 4.</w:t>
      </w:r>
      <w:proofErr w:type="gramEnd"/>
      <w:r w:rsidRPr="00F36B8A">
        <w:rPr>
          <w:rFonts w:ascii="Times New Roman" w:eastAsia="Times New Roman" w:hAnsi="Times New Roman" w:cs="Times New Roman"/>
          <w:color w:val="202124"/>
          <w:spacing w:val="3"/>
          <w:sz w:val="24"/>
          <w:szCs w:val="24"/>
          <w:lang w:eastAsia="en-IE"/>
        </w:rPr>
        <w:t xml:space="preserve"> Efficient enforcement of awards etc </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roofErr w:type="gramStart"/>
      <w:r w:rsidRPr="00F36B8A">
        <w:rPr>
          <w:rFonts w:ascii="Times New Roman" w:eastAsia="Times New Roman" w:hAnsi="Times New Roman" w:cs="Times New Roman"/>
          <w:color w:val="202124"/>
          <w:spacing w:val="3"/>
          <w:sz w:val="24"/>
          <w:szCs w:val="24"/>
          <w:lang w:eastAsia="en-IE"/>
        </w:rPr>
        <w:t>Constant interface amongst all stakeholders for the continued growth and development of the arbitration procedure.</w:t>
      </w:r>
      <w:proofErr w:type="gramEnd"/>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The Act should be amended to be more liberal in terms of arbitrability. Many basic disputes like marriage dispute are all outside the confines of arbitration in Nigeria by virtue of the decision of the court in Kano State Urban Development Board v Fanz Construction Ltd. Unlike in Ireland where certain fraud cases are arbitrable, fraud cases are entirely not arbitrable in Nigeria. Again, the public policy in Nigeria is very strict and not as liberal as what is obtainable in other common law countries. These and more can be taken care of in subsequent amendments of the Act</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None</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lastRenderedPageBreak/>
        <w:t>More awareness for lawyers on arbitration and provision of courses for lawyers to encourage them in arbitration</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r w:rsidRPr="00F36B8A">
        <w:rPr>
          <w:rFonts w:ascii="Times New Roman" w:eastAsia="Times New Roman" w:hAnsi="Times New Roman" w:cs="Times New Roman"/>
          <w:color w:val="202124"/>
          <w:spacing w:val="3"/>
          <w:sz w:val="24"/>
          <w:szCs w:val="24"/>
          <w:lang w:eastAsia="en-IE"/>
        </w:rPr>
        <w:t xml:space="preserve">Judicial officers and lawyers should be trained in Arbitration and alternatively, Arbitration should be added to University and law school curriculum. I believe knowledge of Arbitration will greatly improve its practice in Nigeria. Ignorance is one of the major hindrances to the </w:t>
      </w:r>
      <w:proofErr w:type="gramStart"/>
      <w:r w:rsidRPr="00F36B8A">
        <w:rPr>
          <w:rFonts w:ascii="Times New Roman" w:eastAsia="Times New Roman" w:hAnsi="Times New Roman" w:cs="Times New Roman"/>
          <w:color w:val="202124"/>
          <w:spacing w:val="3"/>
          <w:sz w:val="24"/>
          <w:szCs w:val="24"/>
          <w:lang w:eastAsia="en-IE"/>
        </w:rPr>
        <w:t>practice</w:t>
      </w:r>
      <w:proofErr w:type="gramEnd"/>
      <w:r w:rsidRPr="00F36B8A">
        <w:rPr>
          <w:rFonts w:ascii="Times New Roman" w:eastAsia="Times New Roman" w:hAnsi="Times New Roman" w:cs="Times New Roman"/>
          <w:color w:val="202124"/>
          <w:spacing w:val="3"/>
          <w:sz w:val="24"/>
          <w:szCs w:val="24"/>
          <w:lang w:eastAsia="en-IE"/>
        </w:rPr>
        <w:t xml:space="preserve"> of Arbitration in Nigeria</w:t>
      </w:r>
    </w:p>
    <w:p w:rsidR="001C2CCB" w:rsidRPr="00F36B8A" w:rsidRDefault="001C2CCB" w:rsidP="001C2CCB">
      <w:pPr>
        <w:shd w:val="clear" w:color="auto" w:fill="F8F9FA"/>
        <w:spacing w:after="0" w:line="300" w:lineRule="atLeast"/>
        <w:jc w:val="both"/>
        <w:rPr>
          <w:rFonts w:ascii="Times New Roman" w:eastAsia="Times New Roman" w:hAnsi="Times New Roman" w:cs="Times New Roman"/>
          <w:color w:val="202124"/>
          <w:spacing w:val="3"/>
          <w:sz w:val="24"/>
          <w:szCs w:val="24"/>
          <w:lang w:eastAsia="en-IE"/>
        </w:rPr>
      </w:pPr>
    </w:p>
    <w:p w:rsidR="001C2CCB" w:rsidRDefault="001C2CCB" w:rsidP="001C2CCB"/>
    <w:p w:rsidR="001C2CCB" w:rsidRDefault="001C2CCB" w:rsidP="001C2CCB"/>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Default="001C2CCB" w:rsidP="001C2CCB">
      <w:pPr>
        <w:rPr>
          <w:rFonts w:ascii="Times New Roman" w:hAnsi="Times New Roman" w:cs="Times New Roman"/>
          <w:b/>
          <w:sz w:val="24"/>
          <w:szCs w:val="24"/>
        </w:rPr>
      </w:pPr>
    </w:p>
    <w:p w:rsidR="001C2CCB" w:rsidRPr="00AC4EC7" w:rsidRDefault="001C2CCB" w:rsidP="001C2CCB">
      <w:pPr>
        <w:pStyle w:val="Heading2"/>
        <w:numPr>
          <w:ilvl w:val="0"/>
          <w:numId w:val="0"/>
        </w:numPr>
        <w:ind w:left="576"/>
      </w:pPr>
      <w:bookmarkStart w:id="89" w:name="_Toc80808299"/>
      <w:r>
        <w:lastRenderedPageBreak/>
        <w:t>Appendix B - Interview Responses</w:t>
      </w:r>
      <w:bookmarkEnd w:id="89"/>
    </w:p>
    <w:p w:rsidR="001C2CCB" w:rsidRDefault="001C2CCB" w:rsidP="001C2CCB">
      <w:pPr>
        <w:rPr>
          <w:rFonts w:ascii="Times New Roman" w:hAnsi="Times New Roman" w:cs="Times New Roman"/>
          <w:b/>
          <w:sz w:val="24"/>
          <w:szCs w:val="24"/>
        </w:rPr>
      </w:pPr>
    </w:p>
    <w:p w:rsidR="001C2CCB" w:rsidRDefault="001C2CCB" w:rsidP="001C2CCB">
      <w:pPr>
        <w:pStyle w:val="Bibliography"/>
        <w:jc w:val="both"/>
        <w:rPr>
          <w:rFonts w:ascii="Times New Roman" w:hAnsi="Times New Roman" w:cs="Times New Roman"/>
          <w:sz w:val="24"/>
          <w:szCs w:val="24"/>
        </w:rPr>
      </w:pPr>
      <w:r>
        <w:rPr>
          <w:rFonts w:ascii="Times New Roman" w:hAnsi="Times New Roman" w:cs="Times New Roman"/>
          <w:sz w:val="24"/>
          <w:szCs w:val="24"/>
        </w:rPr>
        <w:t xml:space="preserve">Link to Google forms questionnaire. </w:t>
      </w:r>
    </w:p>
    <w:p w:rsidR="001C2CCB" w:rsidRPr="00F30A80" w:rsidRDefault="001C2CCB" w:rsidP="001C2CCB">
      <w:pPr>
        <w:pStyle w:val="Bibliography"/>
        <w:ind w:left="0" w:firstLine="0"/>
        <w:jc w:val="both"/>
        <w:rPr>
          <w:rFonts w:ascii="Times New Roman" w:hAnsi="Times New Roman" w:cs="Times New Roman"/>
          <w:sz w:val="24"/>
          <w:szCs w:val="24"/>
        </w:rPr>
      </w:pPr>
      <w:r w:rsidRPr="00F30A80">
        <w:rPr>
          <w:rFonts w:ascii="Times New Roman" w:hAnsi="Times New Roman" w:cs="Times New Roman"/>
          <w:sz w:val="24"/>
          <w:szCs w:val="24"/>
        </w:rPr>
        <w:t>https://docs.google.com/forms/d/e/1FAIpQLScBlCVEylVEAkP3sRBgizJznbhHf3Q5h-lGFip8OLB0XmEFxw/viewform?usp=sf_link</w:t>
      </w:r>
    </w:p>
    <w:p w:rsidR="001C2CCB" w:rsidRDefault="001C2CCB" w:rsidP="001C2CCB">
      <w:pPr>
        <w:rPr>
          <w:rFonts w:ascii="Times New Roman" w:hAnsi="Times New Roman" w:cs="Times New Roman"/>
          <w:sz w:val="24"/>
          <w:szCs w:val="24"/>
        </w:rPr>
      </w:pPr>
    </w:p>
    <w:p w:rsidR="001C2CCB" w:rsidRPr="000307E0" w:rsidRDefault="001C2CCB" w:rsidP="001C2CCB">
      <w:pPr>
        <w:rPr>
          <w:rFonts w:ascii="Times New Roman" w:hAnsi="Times New Roman" w:cs="Times New Roman"/>
          <w:sz w:val="24"/>
          <w:szCs w:val="24"/>
        </w:rPr>
      </w:pPr>
      <w:r w:rsidRPr="000307E0">
        <w:rPr>
          <w:rFonts w:ascii="Times New Roman" w:hAnsi="Times New Roman" w:cs="Times New Roman"/>
          <w:sz w:val="24"/>
          <w:szCs w:val="24"/>
        </w:rPr>
        <w:t>https://docs.google.com/forms/d/12uvY9I1PTrD3c0Fb8k8AJ6n0AZxZihjCFAcRRjZPufc/edit?vc=0&amp;c=0&amp;w=1&amp;flr=0#response=ACYDBNh72uC9-WS7IrFdwFYwg4oCSWuOjrpsjdS6SI__ApsWcVsct-kxaHPPQpGXc7sTsyo</w:t>
      </w:r>
    </w:p>
    <w:p w:rsidR="001C2CCB" w:rsidRDefault="001C2CCB" w:rsidP="001C2CCB"/>
    <w:p w:rsidR="001C2CCB" w:rsidRPr="000307E0" w:rsidRDefault="001C2CCB" w:rsidP="001C2CCB">
      <w:pPr>
        <w:rPr>
          <w:rFonts w:ascii="Times New Roman" w:hAnsi="Times New Roman" w:cs="Times New Roman"/>
          <w:sz w:val="24"/>
          <w:szCs w:val="24"/>
        </w:rPr>
      </w:pPr>
      <w:r w:rsidRPr="000307E0">
        <w:rPr>
          <w:rFonts w:ascii="Times New Roman" w:hAnsi="Times New Roman" w:cs="Times New Roman"/>
          <w:sz w:val="24"/>
          <w:szCs w:val="24"/>
        </w:rPr>
        <w:t>https://docs.google.com/forms/d/12uvY9I1PTrD3c0Fb8k8AJ6n0AZxZihjCFAcRRjZPufc/edit?vc=0&amp;c=0&amp;w=1&amp;flr=0#question=193574675&amp;field=366340186</w:t>
      </w:r>
    </w:p>
    <w:p w:rsidR="001C2CCB" w:rsidRDefault="001C2CCB" w:rsidP="001C2CCB"/>
    <w:p w:rsidR="001C2CCB" w:rsidRDefault="001C2CCB" w:rsidP="001C2CCB"/>
    <w:p w:rsidR="001C2CCB" w:rsidRDefault="001C2CCB" w:rsidP="001C2CCB"/>
    <w:bookmarkStart w:id="90" w:name="_MON_1691418469"/>
    <w:bookmarkEnd w:id="90"/>
    <w:p w:rsidR="001C2CCB" w:rsidRDefault="001C2CCB" w:rsidP="001C2CCB">
      <w:pPr>
        <w:pStyle w:val="BodyText"/>
        <w:ind w:left="360" w:hanging="360"/>
        <w:jc w:val="both"/>
        <w:rPr>
          <w:rFonts w:ascii="Arial" w:hAnsi="Arial"/>
        </w:rPr>
      </w:pPr>
      <w:r>
        <w:rPr>
          <w:noProof/>
        </w:rPr>
        <w:object w:dxaOrig="8500"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25.25pt;height:678pt;mso-width-percent:0;mso-height-percent:0;mso-width-percent:0;mso-height-percent:0" o:ole="">
            <v:imagedata r:id="rId23" o:title=""/>
          </v:shape>
          <o:OLEObject Type="Embed" ProgID="Word.Document.12" ShapeID="_x0000_i1025" DrawAspect="Content" ObjectID="_1691450746" r:id="rId24">
            <o:FieldCodes>\s</o:FieldCodes>
          </o:OLEObject>
        </w:object>
      </w:r>
      <w:r w:rsidRPr="00992E6A">
        <w:rPr>
          <w:rFonts w:ascii="Arial" w:hAnsi="Arial"/>
        </w:rPr>
        <w:tab/>
      </w:r>
    </w:p>
    <w:p w:rsidR="001C2CCB" w:rsidRPr="00992E6A" w:rsidRDefault="001C2CCB" w:rsidP="001C2CCB">
      <w:pPr>
        <w:pStyle w:val="BodyText"/>
        <w:ind w:left="360" w:hanging="360"/>
        <w:jc w:val="both"/>
        <w:rPr>
          <w:rFonts w:ascii="Arial" w:hAnsi="Arial"/>
          <w:sz w:val="20"/>
        </w:rPr>
      </w:pPr>
      <w:r w:rsidRPr="00992E6A">
        <w:rPr>
          <w:rFonts w:ascii="Arial" w:hAnsi="Arial"/>
          <w:sz w:val="20"/>
        </w:rPr>
        <w:lastRenderedPageBreak/>
        <w:t xml:space="preserve">If participants have concerns about this study and wish to contact an independent </w:t>
      </w:r>
    </w:p>
    <w:p w:rsidR="001C2CCB" w:rsidRDefault="001C2CCB" w:rsidP="001C2CCB">
      <w:pPr>
        <w:pStyle w:val="BodyText"/>
        <w:ind w:left="360" w:hanging="360"/>
        <w:jc w:val="both"/>
        <w:rPr>
          <w:rFonts w:ascii="Arial" w:hAnsi="Arial"/>
          <w:sz w:val="20"/>
        </w:rPr>
      </w:pPr>
      <w:proofErr w:type="gramStart"/>
      <w:r w:rsidRPr="00992E6A">
        <w:rPr>
          <w:rFonts w:ascii="Arial" w:hAnsi="Arial"/>
          <w:sz w:val="20"/>
        </w:rPr>
        <w:t>person</w:t>
      </w:r>
      <w:proofErr w:type="gramEnd"/>
      <w:r w:rsidRPr="00992E6A">
        <w:rPr>
          <w:rFonts w:ascii="Arial" w:hAnsi="Arial"/>
          <w:sz w:val="20"/>
        </w:rPr>
        <w:t>,</w:t>
      </w:r>
      <w:r>
        <w:rPr>
          <w:rFonts w:ascii="Arial" w:hAnsi="Arial"/>
          <w:sz w:val="20"/>
        </w:rPr>
        <w:t xml:space="preserve"> </w:t>
      </w:r>
      <w:r w:rsidRPr="00992E6A">
        <w:rPr>
          <w:rFonts w:ascii="Arial" w:hAnsi="Arial"/>
          <w:sz w:val="20"/>
        </w:rPr>
        <w:t xml:space="preserve">please contact: </w:t>
      </w:r>
    </w:p>
    <w:p w:rsidR="001C2CCB" w:rsidRDefault="001C2CCB" w:rsidP="001C2CCB">
      <w:pPr>
        <w:pStyle w:val="BodyText"/>
        <w:ind w:left="360" w:hanging="360"/>
        <w:jc w:val="both"/>
        <w:rPr>
          <w:rFonts w:ascii="Arial" w:hAnsi="Arial"/>
          <w:sz w:val="20"/>
        </w:rPr>
      </w:pPr>
    </w:p>
    <w:p w:rsidR="001C2CCB" w:rsidRDefault="001C2CCB" w:rsidP="001C2CCB">
      <w:pPr>
        <w:pStyle w:val="BodyText"/>
        <w:ind w:left="360" w:hanging="360"/>
        <w:jc w:val="both"/>
        <w:rPr>
          <w:rFonts w:ascii="Arial" w:hAnsi="Arial"/>
          <w:b w:val="0"/>
          <w:bCs/>
          <w:sz w:val="20"/>
        </w:rPr>
      </w:pPr>
      <w:r w:rsidRPr="008D7C5E">
        <w:rPr>
          <w:rFonts w:ascii="Arial" w:hAnsi="Arial"/>
          <w:b w:val="0"/>
          <w:bCs/>
          <w:sz w:val="20"/>
        </w:rPr>
        <w:t>Dr. Garrett Ryan</w:t>
      </w:r>
    </w:p>
    <w:p w:rsidR="001C2CCB" w:rsidRPr="008D7C5E" w:rsidRDefault="001C2CCB" w:rsidP="001C2CCB">
      <w:pPr>
        <w:pStyle w:val="BodyText"/>
        <w:ind w:left="360" w:hanging="360"/>
        <w:jc w:val="both"/>
        <w:rPr>
          <w:rFonts w:ascii="Arial" w:hAnsi="Arial"/>
          <w:b w:val="0"/>
          <w:bCs/>
          <w:sz w:val="20"/>
        </w:rPr>
      </w:pP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MSCIB Programme director</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Graduate Business School</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Office: A109</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 </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Griffith College</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South Circular Road, Dublin 8, Ireland</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 </w:t>
      </w:r>
    </w:p>
    <w:p w:rsidR="001C2CCB" w:rsidRPr="008D7C5E" w:rsidRDefault="001C2CCB" w:rsidP="001C2CCB">
      <w:pPr>
        <w:pStyle w:val="BodyText"/>
        <w:ind w:left="360" w:hanging="360"/>
        <w:jc w:val="both"/>
        <w:rPr>
          <w:rFonts w:ascii="Arial" w:hAnsi="Arial"/>
          <w:b w:val="0"/>
          <w:bCs/>
          <w:sz w:val="20"/>
        </w:rPr>
      </w:pPr>
      <w:r w:rsidRPr="008D7C5E">
        <w:rPr>
          <w:rFonts w:ascii="Arial" w:hAnsi="Arial"/>
          <w:b w:val="0"/>
          <w:bCs/>
          <w:sz w:val="20"/>
        </w:rPr>
        <w:t>Phone:  + 353 1 416 3324</w:t>
      </w:r>
    </w:p>
    <w:p w:rsidR="001C2CCB" w:rsidRDefault="001C2CCB" w:rsidP="001C2CCB">
      <w:pPr>
        <w:spacing w:line="240" w:lineRule="auto"/>
        <w:jc w:val="both"/>
        <w:rPr>
          <w:rFonts w:ascii="Calibri" w:hAnsi="Calibri" w:cs="Calibri"/>
          <w:color w:val="000000"/>
        </w:rPr>
      </w:pPr>
      <w:r>
        <w:rPr>
          <w:rFonts w:ascii="Calibri" w:hAnsi="Calibri" w:cs="Calibri"/>
          <w:color w:val="000000"/>
        </w:rPr>
        <w:t xml:space="preserve">Email: </w:t>
      </w:r>
      <w:hyperlink r:id="rId25" w:history="1">
        <w:r>
          <w:rPr>
            <w:rStyle w:val="Hyperlink"/>
            <w:rFonts w:ascii="Calibri" w:hAnsi="Calibri" w:cs="Calibri"/>
          </w:rPr>
          <w:t>garrett.ryan@griffith.ie</w:t>
        </w:r>
      </w:hyperlink>
    </w:p>
    <w:p w:rsidR="001C2CCB" w:rsidRDefault="001C2CCB" w:rsidP="001C2CCB">
      <w:pPr>
        <w:spacing w:line="240" w:lineRule="auto"/>
        <w:jc w:val="both"/>
        <w:rPr>
          <w:rFonts w:ascii="Calibri" w:hAnsi="Calibri" w:cs="Calibri"/>
          <w:color w:val="000000"/>
        </w:rPr>
      </w:pPr>
      <w:r>
        <w:rPr>
          <w:rFonts w:ascii="Calibri" w:hAnsi="Calibri" w:cs="Calibri"/>
          <w:color w:val="000000"/>
        </w:rPr>
        <w:t>Website: </w:t>
      </w:r>
      <w:hyperlink r:id="rId26" w:history="1">
        <w:r>
          <w:rPr>
            <w:rStyle w:val="Hyperlink"/>
            <w:rFonts w:ascii="Calibri" w:hAnsi="Calibri" w:cs="Calibri"/>
          </w:rPr>
          <w:t>www.griffith.ie</w:t>
        </w:r>
      </w:hyperlink>
      <w:r>
        <w:rPr>
          <w:rFonts w:ascii="Calibri" w:hAnsi="Calibri" w:cs="Calibri"/>
          <w:color w:val="000000"/>
        </w:rPr>
        <w:t xml:space="preserve">  </w:t>
      </w:r>
    </w:p>
    <w:p w:rsidR="001C2CCB" w:rsidRDefault="001C2CCB" w:rsidP="001C2CCB">
      <w:pPr>
        <w:pStyle w:val="BodyText"/>
        <w:ind w:left="360" w:hanging="360"/>
        <w:jc w:val="both"/>
      </w:pPr>
    </w:p>
    <w:p w:rsidR="001C2CCB" w:rsidRDefault="001C2CCB" w:rsidP="001C2CCB">
      <w:pPr>
        <w:pStyle w:val="BodyText"/>
        <w:ind w:left="360" w:hanging="360"/>
        <w:jc w:val="both"/>
      </w:pPr>
    </w:p>
    <w:p w:rsidR="001C2CCB" w:rsidRDefault="001C2CCB" w:rsidP="001C2CCB">
      <w:pPr>
        <w:pStyle w:val="BodyText"/>
        <w:ind w:left="360" w:hanging="360"/>
        <w:jc w:val="both"/>
      </w:pPr>
    </w:p>
    <w:p w:rsidR="001C2CCB" w:rsidRDefault="001C2CCB" w:rsidP="001C2CCB">
      <w:pPr>
        <w:pStyle w:val="BodyText"/>
        <w:ind w:left="360" w:hanging="360"/>
        <w:jc w:val="both"/>
      </w:pPr>
    </w:p>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 w:rsidR="001C2CCB" w:rsidRDefault="001C2CCB" w:rsidP="001C2CCB">
      <w:pPr>
        <w:spacing w:after="0" w:line="259" w:lineRule="auto"/>
      </w:pPr>
    </w:p>
    <w:p w:rsidR="001C2CCB" w:rsidRDefault="001C2CCB" w:rsidP="001C2CCB">
      <w:pPr>
        <w:pBdr>
          <w:top w:val="single" w:sz="6" w:space="0" w:color="000000"/>
          <w:bottom w:val="single" w:sz="6" w:space="0" w:color="000000"/>
        </w:pBdr>
        <w:shd w:val="clear" w:color="auto" w:fill="D9D9D9"/>
        <w:spacing w:after="0" w:line="259" w:lineRule="auto"/>
      </w:pPr>
      <w:r>
        <w:rPr>
          <w:rFonts w:ascii="Arial" w:eastAsia="Arial" w:hAnsi="Arial" w:cs="Arial"/>
          <w:b/>
        </w:rPr>
        <w:t xml:space="preserve"> </w:t>
      </w:r>
    </w:p>
    <w:p w:rsidR="001C2CCB" w:rsidRDefault="001C2CCB" w:rsidP="001C2CCB">
      <w:pPr>
        <w:pBdr>
          <w:top w:val="single" w:sz="6" w:space="0" w:color="000000"/>
          <w:bottom w:val="single" w:sz="6" w:space="0" w:color="000000"/>
        </w:pBdr>
        <w:shd w:val="clear" w:color="auto" w:fill="D9D9D9"/>
        <w:spacing w:after="0" w:line="259" w:lineRule="auto"/>
      </w:pPr>
      <w:r>
        <w:rPr>
          <w:rFonts w:ascii="Arial" w:eastAsia="Arial" w:hAnsi="Arial" w:cs="Arial"/>
          <w:b/>
        </w:rPr>
        <w:t>INFORMED</w:t>
      </w:r>
      <w:r>
        <w:rPr>
          <w:rFonts w:ascii="Arial" w:eastAsia="Arial" w:hAnsi="Arial" w:cs="Arial"/>
          <w:b/>
          <w:sz w:val="16"/>
        </w:rPr>
        <w:t xml:space="preserve"> </w:t>
      </w:r>
      <w:r>
        <w:rPr>
          <w:rFonts w:ascii="Arial" w:eastAsia="Arial" w:hAnsi="Arial" w:cs="Arial"/>
          <w:b/>
        </w:rPr>
        <w:t>CONSENT</w:t>
      </w:r>
      <w:r>
        <w:rPr>
          <w:rFonts w:ascii="Arial" w:eastAsia="Arial" w:hAnsi="Arial" w:cs="Arial"/>
          <w:b/>
          <w:sz w:val="16"/>
        </w:rPr>
        <w:t xml:space="preserve"> </w:t>
      </w:r>
      <w:r>
        <w:rPr>
          <w:rFonts w:ascii="Arial" w:eastAsia="Arial" w:hAnsi="Arial" w:cs="Arial"/>
          <w:b/>
        </w:rPr>
        <w:t>FORM</w:t>
      </w:r>
      <w:r>
        <w:rPr>
          <w:rFonts w:ascii="Arial" w:eastAsia="Arial" w:hAnsi="Arial" w:cs="Arial"/>
          <w:b/>
          <w:sz w:val="16"/>
        </w:rPr>
        <w:t xml:space="preserve"> </w:t>
      </w:r>
      <w:r>
        <w:rPr>
          <w:rFonts w:ascii="Arial" w:eastAsia="Arial" w:hAnsi="Arial" w:cs="Arial"/>
          <w:b/>
          <w:sz w:val="18"/>
        </w:rPr>
        <w:t xml:space="preserve"> </w:t>
      </w:r>
    </w:p>
    <w:p w:rsidR="001C2CCB" w:rsidRDefault="001C2CCB" w:rsidP="001C2CCB">
      <w:pPr>
        <w:spacing w:after="2" w:line="259" w:lineRule="auto"/>
      </w:pPr>
      <w:r>
        <w:rPr>
          <w:rFonts w:ascii="Arial" w:eastAsia="Arial" w:hAnsi="Arial" w:cs="Arial"/>
          <w:b/>
          <w:sz w:val="18"/>
        </w:rPr>
        <w:t xml:space="preserve"> </w:t>
      </w:r>
    </w:p>
    <w:p w:rsidR="001C2CCB" w:rsidRDefault="001C2CCB" w:rsidP="001C2CCB">
      <w:pPr>
        <w:spacing w:after="191"/>
      </w:pPr>
      <w:r>
        <w:rPr>
          <w:rFonts w:ascii="Arial" w:eastAsia="Arial" w:hAnsi="Arial" w:cs="Arial"/>
          <w:b/>
        </w:rPr>
        <w:t xml:space="preserve">I. </w:t>
      </w:r>
      <w:r>
        <w:rPr>
          <w:rFonts w:ascii="Arial" w:eastAsia="Arial" w:hAnsi="Arial" w:cs="Arial"/>
          <w:b/>
        </w:rPr>
        <w:tab/>
        <w:t>Research Study Title</w:t>
      </w:r>
      <w:r>
        <w:t xml:space="preserve">:  A Critical Appraisal of the Role of National Courts in  </w:t>
      </w:r>
      <w:r>
        <w:tab/>
        <w:t xml:space="preserve">the Arbitral Process: A Case Study of Nigeria </w:t>
      </w:r>
    </w:p>
    <w:p w:rsidR="001C2CCB" w:rsidRDefault="001C2CCB" w:rsidP="001C2CCB">
      <w:pPr>
        <w:spacing w:after="189"/>
        <w:ind w:left="355"/>
      </w:pPr>
      <w:r>
        <w:t xml:space="preserve">University: Griffith College, Graduate Business School. </w:t>
      </w:r>
    </w:p>
    <w:p w:rsidR="001C2CCB" w:rsidRDefault="001C2CCB" w:rsidP="001C2CCB">
      <w:pPr>
        <w:spacing w:after="189"/>
        <w:ind w:left="355"/>
      </w:pPr>
      <w:r>
        <w:t xml:space="preserve">Principal Investigator: Dr Garrett Ryan.  </w:t>
      </w:r>
    </w:p>
    <w:p w:rsidR="001C2CCB" w:rsidRDefault="001C2CCB" w:rsidP="001C2CCB">
      <w:pPr>
        <w:spacing w:after="190"/>
        <w:ind w:left="355"/>
      </w:pPr>
      <w:r>
        <w:t xml:space="preserve">Researcher Name: Emeka Emmanson Okoroafor </w:t>
      </w:r>
    </w:p>
    <w:p w:rsidR="001C2CCB" w:rsidRDefault="001C2CCB" w:rsidP="001C2CCB">
      <w:pPr>
        <w:spacing w:after="469"/>
        <w:ind w:left="355"/>
      </w:pPr>
      <w:r>
        <w:t xml:space="preserve">Email: emmasonemeka2001@gmail.com </w:t>
      </w:r>
    </w:p>
    <w:p w:rsidR="001C2CCB" w:rsidRDefault="001C2CCB" w:rsidP="001C2CCB">
      <w:pPr>
        <w:pStyle w:val="Heading1"/>
        <w:ind w:left="345" w:hanging="360"/>
      </w:pPr>
      <w:bookmarkStart w:id="91" w:name="_Toc80808300"/>
      <w:r>
        <w:t>Clarification of the purpose of the research</w:t>
      </w:r>
      <w:bookmarkEnd w:id="91"/>
      <w:r>
        <w:t xml:space="preserve"> </w:t>
      </w:r>
    </w:p>
    <w:p w:rsidR="001C2CCB" w:rsidRDefault="001C2CCB" w:rsidP="001C2CCB">
      <w:pPr>
        <w:spacing w:after="0" w:line="259" w:lineRule="auto"/>
        <w:ind w:left="355"/>
      </w:pPr>
      <w:r>
        <w:t xml:space="preserve"> </w:t>
      </w:r>
    </w:p>
    <w:p w:rsidR="001C2CCB" w:rsidRDefault="001C2CCB" w:rsidP="001C2CCB">
      <w:pPr>
        <w:spacing w:after="232"/>
        <w:ind w:left="355"/>
      </w:pPr>
      <w:r>
        <w:t xml:space="preserve">The aim of this research is to amongst other things, to interrogate the correct extent to which national courts can intervene or intercede in the arbitral process so as to facilitate rather than inhibit the process. The research also aims to identify descriptive solutions for the conceptual and practical challenges that Nigerian judges confront when presented with actions that can potentially affect the practice of arbitration. Furthermore, through a combination your participation and the latest research into (International Commercial Arbitration), this research will add to body of academic understanding of (International Commercial Arbitration).  </w:t>
      </w:r>
    </w:p>
    <w:p w:rsidR="001C2CCB" w:rsidRDefault="001C2CCB" w:rsidP="001C2CCB">
      <w:pPr>
        <w:pStyle w:val="Heading1"/>
        <w:ind w:left="355"/>
      </w:pPr>
      <w:bookmarkStart w:id="92" w:name="_Toc80808301"/>
      <w:r>
        <w:t>Confirmation of particular requirements as highlighted in the Plain Language Statement</w:t>
      </w:r>
      <w:bookmarkEnd w:id="92"/>
      <w:r>
        <w:t xml:space="preserve"> </w:t>
      </w:r>
    </w:p>
    <w:p w:rsidR="001C2CCB" w:rsidRDefault="001C2CCB" w:rsidP="001C2CCB">
      <w:pPr>
        <w:spacing w:after="0" w:line="259" w:lineRule="auto"/>
        <w:ind w:left="355"/>
      </w:pPr>
      <w:r>
        <w:rPr>
          <w:rFonts w:ascii="Arial" w:eastAsia="Arial" w:hAnsi="Arial" w:cs="Arial"/>
          <w:i/>
        </w:rPr>
        <w:t xml:space="preserve"> </w:t>
      </w:r>
    </w:p>
    <w:p w:rsidR="001C2CCB" w:rsidRDefault="001C2CCB" w:rsidP="001C2CCB">
      <w:pPr>
        <w:spacing w:after="0"/>
        <w:ind w:left="355"/>
      </w:pPr>
      <w:r>
        <w:t xml:space="preserve">This project involves taking part in semi-structured interviews.  The interviews responses will be recorded, and seek to gather information on your experience of commercial arbitration. Questions are directed towards your thoughts on National courts involvement in Arbitration processes and how it has affected their practice and businesses as Arbitrators and litigants. I estimate the interviews will take no longer than 10 minutes to complete. </w:t>
      </w:r>
    </w:p>
    <w:p w:rsidR="001C2CCB" w:rsidRDefault="001C2CCB" w:rsidP="001C2CCB">
      <w:pPr>
        <w:spacing w:after="0" w:line="259" w:lineRule="auto"/>
        <w:ind w:left="355"/>
      </w:pPr>
      <w:r>
        <w:rPr>
          <w:rFonts w:ascii="Arial" w:eastAsia="Arial" w:hAnsi="Arial" w:cs="Arial"/>
          <w:i/>
        </w:rPr>
        <w:t xml:space="preserve"> </w:t>
      </w:r>
    </w:p>
    <w:p w:rsidR="001C2CCB" w:rsidRDefault="001C2CCB" w:rsidP="001C2CCB">
      <w:pPr>
        <w:spacing w:after="0" w:line="259" w:lineRule="auto"/>
        <w:ind w:left="365"/>
      </w:pPr>
      <w:r>
        <w:rPr>
          <w:rFonts w:ascii="Arial" w:eastAsia="Arial" w:hAnsi="Arial" w:cs="Arial"/>
          <w:b/>
          <w:u w:val="single" w:color="000000"/>
        </w:rPr>
        <w:t>Participant – please complete the following (Circle Yes or No for each question)</w:t>
      </w:r>
      <w:r>
        <w:rPr>
          <w:rFonts w:ascii="Arial" w:eastAsia="Arial" w:hAnsi="Arial" w:cs="Arial"/>
          <w:b/>
        </w:rPr>
        <w:t xml:space="preserve"> </w:t>
      </w:r>
    </w:p>
    <w:p w:rsidR="001C2CCB" w:rsidRDefault="001C2CCB" w:rsidP="001C2CCB">
      <w:pPr>
        <w:spacing w:after="0" w:line="259" w:lineRule="auto"/>
        <w:ind w:left="355"/>
      </w:pPr>
      <w:r>
        <w:t xml:space="preserve"> </w:t>
      </w:r>
    </w:p>
    <w:p w:rsidR="001C2CCB" w:rsidRDefault="001C2CCB" w:rsidP="001C2CCB">
      <w:pPr>
        <w:tabs>
          <w:tab w:val="center" w:pos="3214"/>
          <w:tab w:val="center" w:pos="6948"/>
        </w:tabs>
      </w:pPr>
      <w:r>
        <w:rPr>
          <w:rFonts w:ascii="Calibri" w:eastAsia="Calibri" w:hAnsi="Calibri" w:cs="Calibri"/>
          <w:sz w:val="22"/>
        </w:rPr>
        <w:tab/>
      </w:r>
      <w:r>
        <w:t xml:space="preserve">Have you read or had read to you the Plain Language Statement </w:t>
      </w:r>
      <w:r>
        <w:tab/>
        <w:t xml:space="preserve">     Yes/No </w:t>
      </w:r>
    </w:p>
    <w:p w:rsidR="001C2CCB" w:rsidRDefault="001C2CCB" w:rsidP="001C2CCB">
      <w:pPr>
        <w:tabs>
          <w:tab w:val="center" w:pos="2356"/>
          <w:tab w:val="center" w:pos="5042"/>
          <w:tab w:val="center" w:pos="5762"/>
          <w:tab w:val="center" w:pos="6948"/>
        </w:tabs>
      </w:pPr>
      <w:r>
        <w:rPr>
          <w:rFonts w:ascii="Calibri" w:eastAsia="Calibri" w:hAnsi="Calibri" w:cs="Calibri"/>
          <w:sz w:val="22"/>
        </w:rPr>
        <w:tab/>
      </w:r>
      <w:r>
        <w:t xml:space="preserve">Do you understand the information provided? </w:t>
      </w:r>
      <w:r>
        <w:tab/>
        <w:t xml:space="preserve"> </w:t>
      </w:r>
      <w:r>
        <w:tab/>
        <w:t xml:space="preserve"> </w:t>
      </w:r>
      <w:r>
        <w:tab/>
        <w:t xml:space="preserve">     Yes/No </w:t>
      </w:r>
    </w:p>
    <w:p w:rsidR="001C2CCB" w:rsidRDefault="001C2CCB" w:rsidP="001C2CCB">
      <w:pPr>
        <w:ind w:left="355"/>
      </w:pPr>
      <w:r>
        <w:t xml:space="preserve">Have you had an opportunity to ask questions and discuss this study?    Yes/No </w:t>
      </w:r>
    </w:p>
    <w:p w:rsidR="001C2CCB" w:rsidRDefault="001C2CCB" w:rsidP="001C2CCB">
      <w:pPr>
        <w:tabs>
          <w:tab w:val="center" w:pos="3092"/>
          <w:tab w:val="center" w:pos="6948"/>
        </w:tabs>
      </w:pPr>
      <w:r>
        <w:rPr>
          <w:rFonts w:ascii="Calibri" w:eastAsia="Calibri" w:hAnsi="Calibri" w:cs="Calibri"/>
          <w:sz w:val="22"/>
        </w:rPr>
        <w:lastRenderedPageBreak/>
        <w:tab/>
      </w:r>
      <w:r>
        <w:t xml:space="preserve">Have you received satisfactory answers to all your questions?  </w:t>
      </w:r>
      <w:r>
        <w:tab/>
        <w:t xml:space="preserve">     Yes/No </w:t>
      </w:r>
    </w:p>
    <w:p w:rsidR="001C2CCB" w:rsidRDefault="001C2CCB" w:rsidP="001C2CCB">
      <w:pPr>
        <w:tabs>
          <w:tab w:val="center" w:pos="2547"/>
          <w:tab w:val="center" w:pos="5042"/>
          <w:tab w:val="center" w:pos="5762"/>
          <w:tab w:val="center" w:pos="6948"/>
        </w:tabs>
        <w:spacing w:after="351"/>
      </w:pPr>
      <w:r>
        <w:rPr>
          <w:rFonts w:ascii="Calibri" w:eastAsia="Calibri" w:hAnsi="Calibri" w:cs="Calibri"/>
          <w:sz w:val="22"/>
        </w:rPr>
        <w:tab/>
      </w:r>
      <w:r>
        <w:t xml:space="preserve">Are you aware that interviews will be </w:t>
      </w:r>
      <w:proofErr w:type="spellStart"/>
      <w:r>
        <w:t>audiotaped</w:t>
      </w:r>
      <w:proofErr w:type="spellEnd"/>
      <w:r>
        <w:t xml:space="preserve">? </w:t>
      </w:r>
      <w:r>
        <w:tab/>
        <w:t xml:space="preserve"> </w:t>
      </w:r>
      <w:r>
        <w:tab/>
        <w:t xml:space="preserve"> </w:t>
      </w:r>
      <w:r>
        <w:tab/>
        <w:t xml:space="preserve">     Yes/No </w:t>
      </w:r>
    </w:p>
    <w:p w:rsidR="001C2CCB" w:rsidRDefault="001C2CCB" w:rsidP="001C2CCB">
      <w:pPr>
        <w:pStyle w:val="Heading1"/>
        <w:spacing w:after="230"/>
        <w:ind w:left="345" w:hanging="360"/>
      </w:pPr>
      <w:bookmarkStart w:id="93" w:name="_Toc80808302"/>
      <w:r>
        <w:t>Confirmation that involvement in the Research Study is voluntary</w:t>
      </w:r>
      <w:bookmarkEnd w:id="93"/>
      <w:r>
        <w:t xml:space="preserve"> </w:t>
      </w:r>
    </w:p>
    <w:p w:rsidR="001C2CCB" w:rsidRDefault="001C2CCB" w:rsidP="001C2CCB">
      <w:pPr>
        <w:spacing w:after="0" w:line="259" w:lineRule="auto"/>
      </w:pPr>
      <w:r>
        <w:rPr>
          <w:rFonts w:ascii="Arial" w:eastAsia="Arial" w:hAnsi="Arial" w:cs="Arial"/>
          <w:b/>
        </w:rPr>
        <w:t xml:space="preserve"> </w:t>
      </w:r>
    </w:p>
    <w:p w:rsidR="001C2CCB" w:rsidRDefault="001C2CCB" w:rsidP="001C2CCB">
      <w:pPr>
        <w:spacing w:after="232"/>
        <w:ind w:left="355"/>
      </w:pPr>
      <w:r>
        <w:t xml:space="preserve">Involvement in this Research Study is voluntary.  Participants who decide to take part may withdraw from the Research Study at any point.  There will be no penalty for withdrawing before all stages of the Research Study are complete. </w:t>
      </w:r>
    </w:p>
    <w:p w:rsidR="001C2CCB" w:rsidRDefault="001C2CCB" w:rsidP="001C2CCB">
      <w:pPr>
        <w:spacing w:after="102" w:line="259" w:lineRule="auto"/>
      </w:pPr>
      <w:r>
        <w:rPr>
          <w:rFonts w:ascii="Arial" w:eastAsia="Arial" w:hAnsi="Arial" w:cs="Arial"/>
          <w:b/>
        </w:rPr>
        <w:t xml:space="preserve"> </w:t>
      </w:r>
    </w:p>
    <w:p w:rsidR="001C2CCB" w:rsidRDefault="001C2CCB" w:rsidP="001C2CCB">
      <w:pPr>
        <w:pStyle w:val="Heading1"/>
        <w:spacing w:after="112"/>
        <w:ind w:left="355"/>
      </w:pPr>
      <w:bookmarkStart w:id="94" w:name="_Toc80808303"/>
      <w:r>
        <w:t>Advice as to arrangements to be made to protect confidentiality of data, including that confidentiality of information provided is subject to legal limitations</w:t>
      </w:r>
      <w:bookmarkEnd w:id="94"/>
      <w:r>
        <w:t xml:space="preserve">  </w:t>
      </w:r>
    </w:p>
    <w:p w:rsidR="001C2CCB" w:rsidRDefault="001C2CCB" w:rsidP="001C2CCB">
      <w:pPr>
        <w:spacing w:after="0" w:line="259" w:lineRule="auto"/>
      </w:pPr>
      <w:r>
        <w:rPr>
          <w:rFonts w:ascii="Arial" w:eastAsia="Arial" w:hAnsi="Arial" w:cs="Arial"/>
          <w:b/>
        </w:rPr>
        <w:t xml:space="preserve"> </w:t>
      </w:r>
    </w:p>
    <w:p w:rsidR="001C2CCB" w:rsidRDefault="001C2CCB" w:rsidP="001C2CCB">
      <w:pPr>
        <w:spacing w:after="0"/>
        <w:ind w:left="355"/>
      </w:pPr>
      <w: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w:t>
      </w:r>
    </w:p>
    <w:p w:rsidR="001C2CCB" w:rsidRDefault="001C2CCB" w:rsidP="001C2CCB">
      <w:pPr>
        <w:spacing w:after="229"/>
        <w:ind w:left="355"/>
      </w:pPr>
      <w:r>
        <w:t xml:space="preserve">Confidentiality of information provided is subject to legal limitations.    </w:t>
      </w:r>
    </w:p>
    <w:p w:rsidR="001C2CCB" w:rsidRDefault="001C2CCB" w:rsidP="001C2CCB">
      <w:pPr>
        <w:spacing w:after="102" w:line="259" w:lineRule="auto"/>
        <w:ind w:left="-5"/>
      </w:pPr>
      <w:r>
        <w:rPr>
          <w:rFonts w:ascii="Arial" w:eastAsia="Arial" w:hAnsi="Arial" w:cs="Arial"/>
          <w:b/>
        </w:rPr>
        <w:t xml:space="preserve">VI. </w:t>
      </w:r>
      <w:r>
        <w:rPr>
          <w:rFonts w:ascii="Arial" w:eastAsia="Arial" w:hAnsi="Arial" w:cs="Arial"/>
          <w:b/>
          <w:u w:val="single" w:color="000000"/>
        </w:rPr>
        <w:t>Participant Signature:</w:t>
      </w:r>
      <w:r>
        <w:rPr>
          <w:rFonts w:ascii="Arial" w:eastAsia="Arial" w:hAnsi="Arial" w:cs="Arial"/>
          <w:b/>
        </w:rPr>
        <w:t xml:space="preserve"> </w:t>
      </w:r>
    </w:p>
    <w:p w:rsidR="001C2CCB" w:rsidRDefault="001C2CCB" w:rsidP="001C2CCB">
      <w:pPr>
        <w:spacing w:after="372"/>
        <w:ind w:left="355"/>
      </w:pPr>
      <w:r>
        <w:rPr>
          <w:noProof/>
          <w:lang w:val="en-US"/>
        </w:rPr>
        <w:drawing>
          <wp:anchor distT="0" distB="0" distL="114300" distR="114300" simplePos="0" relativeHeight="251665408" behindDoc="0" locked="0" layoutInCell="1" allowOverlap="1">
            <wp:simplePos x="0" y="0"/>
            <wp:positionH relativeFrom="column">
              <wp:posOffset>1477010</wp:posOffset>
            </wp:positionH>
            <wp:positionV relativeFrom="paragraph">
              <wp:posOffset>-245110</wp:posOffset>
            </wp:positionV>
            <wp:extent cx="1647825" cy="1277620"/>
            <wp:effectExtent l="19050" t="0" r="9525" b="0"/>
            <wp:wrapNone/>
            <wp:docPr id="7" name="In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k 29"/>
                    <pic:cNvPicPr>
                      <a:picLocks noChangeAspect="1" noChangeArrowheads="1"/>
                    </pic:cNvPicPr>
                  </pic:nvPicPr>
                  <pic:blipFill>
                    <a:blip r:embed="rId27" cstate="print"/>
                    <a:srcRect/>
                    <a:stretch>
                      <a:fillRect/>
                    </a:stretch>
                  </pic:blipFill>
                  <pic:spPr bwMode="auto">
                    <a:xfrm>
                      <a:off x="0" y="0"/>
                      <a:ext cx="1647825" cy="1277620"/>
                    </a:xfrm>
                    <a:prstGeom prst="rect">
                      <a:avLst/>
                    </a:prstGeom>
                    <a:noFill/>
                  </pic:spPr>
                </pic:pic>
              </a:graphicData>
            </a:graphic>
          </wp:anchor>
        </w:drawing>
      </w:r>
      <w:r>
        <w:t xml:space="preserve">I have read and understood the information in this form.  My questions and concerns have been answered by the researcher, and I have a copy of this consent form.  Therefore, I consent to take part in this research project </w:t>
      </w:r>
    </w:p>
    <w:p w:rsidR="001C2CCB" w:rsidRDefault="001C2CCB" w:rsidP="001C2CCB">
      <w:pPr>
        <w:tabs>
          <w:tab w:val="center" w:pos="2881"/>
          <w:tab w:val="center" w:pos="3602"/>
          <w:tab w:val="center" w:pos="4322"/>
          <w:tab w:val="center" w:pos="5042"/>
          <w:tab w:val="center" w:pos="5762"/>
          <w:tab w:val="center" w:pos="6482"/>
          <w:tab w:val="center" w:pos="7203"/>
          <w:tab w:val="center" w:pos="7924"/>
        </w:tabs>
        <w:spacing w:after="347" w:line="259" w:lineRule="auto"/>
        <w:ind w:left="-15"/>
      </w:pPr>
      <w:r>
        <w:rPr>
          <w:rFonts w:ascii="Arial" w:eastAsia="Arial" w:hAnsi="Arial" w:cs="Arial"/>
          <w:b/>
          <w:sz w:val="22"/>
        </w:rPr>
        <w:t xml:space="preserve">Participants Signature: </w:t>
      </w:r>
      <w:r>
        <w:rPr>
          <w:rFonts w:ascii="Arial" w:eastAsia="Arial" w:hAnsi="Arial" w:cs="Arial"/>
          <w:b/>
          <w:sz w:val="22"/>
        </w:rPr>
        <w:tab/>
      </w:r>
      <w:r>
        <w:rPr>
          <w:rFonts w:ascii="Arial" w:eastAsia="Arial" w:hAnsi="Arial" w:cs="Arial"/>
          <w:b/>
          <w:sz w:val="22"/>
          <w:u w:val="single" w:color="000000"/>
        </w:rPr>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r>
      <w:r>
        <w:rPr>
          <w:rFonts w:ascii="Arial" w:eastAsia="Arial" w:hAnsi="Arial" w:cs="Arial"/>
          <w:b/>
          <w:sz w:val="22"/>
        </w:rPr>
        <w:t xml:space="preserve"> </w:t>
      </w:r>
    </w:p>
    <w:p w:rsidR="001C2CCB" w:rsidRDefault="001C2CCB" w:rsidP="001C2CCB">
      <w:pPr>
        <w:tabs>
          <w:tab w:val="center" w:pos="2881"/>
          <w:tab w:val="center" w:pos="3602"/>
          <w:tab w:val="center" w:pos="4322"/>
          <w:tab w:val="center" w:pos="5042"/>
          <w:tab w:val="center" w:pos="5762"/>
          <w:tab w:val="center" w:pos="6482"/>
          <w:tab w:val="center" w:pos="7203"/>
          <w:tab w:val="center" w:pos="7924"/>
        </w:tabs>
        <w:spacing w:after="347" w:line="259" w:lineRule="auto"/>
        <w:ind w:left="-15"/>
      </w:pPr>
      <w:r>
        <w:rPr>
          <w:rFonts w:ascii="Arial" w:eastAsia="Arial" w:hAnsi="Arial" w:cs="Arial"/>
          <w:b/>
          <w:sz w:val="22"/>
        </w:rPr>
        <w:t xml:space="preserve">Name in Block Capitals: </w:t>
      </w:r>
      <w:r>
        <w:rPr>
          <w:rFonts w:ascii="Arial" w:eastAsia="Arial" w:hAnsi="Arial" w:cs="Arial"/>
          <w:b/>
          <w:sz w:val="22"/>
        </w:rPr>
        <w:tab/>
      </w:r>
      <w:r>
        <w:rPr>
          <w:rFonts w:ascii="Arial" w:eastAsia="Arial" w:hAnsi="Arial" w:cs="Arial"/>
          <w:b/>
          <w:sz w:val="22"/>
          <w:u w:val="single" w:color="000000"/>
        </w:rPr>
        <w:t xml:space="preserve"> </w:t>
      </w:r>
      <w:r>
        <w:rPr>
          <w:rFonts w:ascii="Arial" w:eastAsia="Arial" w:hAnsi="Arial" w:cs="Arial"/>
          <w:b/>
          <w:sz w:val="22"/>
          <w:u w:val="single" w:color="000000"/>
        </w:rPr>
        <w:tab/>
        <w:t xml:space="preserve"> </w:t>
      </w:r>
      <w:r>
        <w:rPr>
          <w:b/>
          <w:sz w:val="22"/>
          <w:u w:val="single" w:color="000000"/>
        </w:rPr>
        <w:t>ORJI UKA</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t xml:space="preserve"> </w:t>
      </w:r>
      <w:r>
        <w:rPr>
          <w:rFonts w:ascii="Arial" w:eastAsia="Arial" w:hAnsi="Arial" w:cs="Arial"/>
          <w:b/>
          <w:sz w:val="22"/>
          <w:u w:val="single" w:color="000000"/>
        </w:rPr>
        <w:tab/>
      </w:r>
      <w:r>
        <w:rPr>
          <w:sz w:val="22"/>
        </w:rPr>
        <w:t xml:space="preserve"> </w:t>
      </w:r>
    </w:p>
    <w:p w:rsidR="001C2CCB" w:rsidRDefault="001C2CCB" w:rsidP="001C2CCB">
      <w:pPr>
        <w:tabs>
          <w:tab w:val="center" w:pos="1621"/>
          <w:tab w:val="center" w:pos="2161"/>
          <w:tab w:val="center" w:pos="2881"/>
          <w:tab w:val="center" w:pos="3602"/>
          <w:tab w:val="center" w:pos="4322"/>
          <w:tab w:val="center" w:pos="5042"/>
          <w:tab w:val="center" w:pos="5762"/>
          <w:tab w:val="center" w:pos="6482"/>
          <w:tab w:val="center" w:pos="7203"/>
          <w:tab w:val="center" w:pos="7924"/>
        </w:tabs>
        <w:spacing w:after="347" w:line="259" w:lineRule="auto"/>
        <w:ind w:left="-15"/>
      </w:pPr>
      <w:r>
        <w:rPr>
          <w:rFonts w:ascii="Arial" w:eastAsia="Arial" w:hAnsi="Arial" w:cs="Arial"/>
          <w:b/>
          <w:sz w:val="22"/>
        </w:rPr>
        <w:t xml:space="preserve">Witness:  </w:t>
      </w:r>
      <w:r>
        <w:rPr>
          <w:rFonts w:ascii="Arial" w:eastAsia="Arial" w:hAnsi="Arial" w:cs="Arial"/>
          <w:b/>
          <w:sz w:val="22"/>
        </w:rPr>
        <w:tab/>
        <w:t xml:space="preserve"> </w:t>
      </w:r>
      <w:r>
        <w:rPr>
          <w:rFonts w:ascii="Arial" w:eastAsia="Arial" w:hAnsi="Arial" w:cs="Arial"/>
          <w:b/>
          <w:sz w:val="22"/>
        </w:rPr>
        <w:tab/>
        <w:t xml:space="preserve"> </w:t>
      </w:r>
      <w:r>
        <w:rPr>
          <w:rFonts w:ascii="Arial" w:eastAsia="Arial" w:hAnsi="Arial" w:cs="Arial"/>
          <w:b/>
          <w:sz w:val="22"/>
        </w:rPr>
        <w:tab/>
      </w:r>
      <w:r>
        <w:rPr>
          <w:sz w:val="22"/>
          <w:u w:val="single" w:color="000000"/>
        </w:rPr>
        <w:t xml:space="preserve"> </w:t>
      </w:r>
      <w:r>
        <w:rPr>
          <w:sz w:val="22"/>
          <w:u w:val="single" w:color="000000"/>
        </w:rPr>
        <w:tab/>
        <w:t xml:space="preserve">SAMUEL ADEGBITE </w:t>
      </w:r>
      <w:r>
        <w:rPr>
          <w:sz w:val="22"/>
          <w:u w:val="single" w:color="000000"/>
        </w:rPr>
        <w:tab/>
        <w:t xml:space="preserve"> </w:t>
      </w:r>
      <w:r>
        <w:rPr>
          <w:sz w:val="22"/>
          <w:u w:val="single" w:color="000000"/>
        </w:rPr>
        <w:tab/>
        <w:t xml:space="preserve"> </w:t>
      </w:r>
      <w:r>
        <w:rPr>
          <w:sz w:val="22"/>
          <w:u w:val="single" w:color="000000"/>
        </w:rPr>
        <w:tab/>
        <w:t xml:space="preserve"> </w:t>
      </w:r>
      <w:r>
        <w:rPr>
          <w:sz w:val="22"/>
          <w:u w:val="single" w:color="000000"/>
        </w:rPr>
        <w:tab/>
      </w:r>
    </w:p>
    <w:p w:rsidR="001C2CCB" w:rsidRDefault="001C2CCB" w:rsidP="001C2CCB">
      <w:pPr>
        <w:tabs>
          <w:tab w:val="center" w:pos="1621"/>
          <w:tab w:val="center" w:pos="2161"/>
          <w:tab w:val="center" w:pos="2881"/>
          <w:tab w:val="center" w:pos="3602"/>
          <w:tab w:val="center" w:pos="4322"/>
          <w:tab w:val="center" w:pos="5042"/>
          <w:tab w:val="center" w:pos="5762"/>
          <w:tab w:val="center" w:pos="6482"/>
          <w:tab w:val="center" w:pos="7203"/>
          <w:tab w:val="center" w:pos="7924"/>
        </w:tabs>
        <w:spacing w:after="347" w:line="259" w:lineRule="auto"/>
        <w:ind w:left="-15"/>
      </w:pPr>
      <w:r>
        <w:rPr>
          <w:rFonts w:ascii="Arial" w:eastAsia="Arial" w:hAnsi="Arial" w:cs="Arial"/>
          <w:b/>
          <w:sz w:val="22"/>
        </w:rPr>
        <w:t xml:space="preserve">Date:     </w:t>
      </w:r>
      <w:r>
        <w:rPr>
          <w:rFonts w:ascii="Arial" w:eastAsia="Arial" w:hAnsi="Arial" w:cs="Arial"/>
          <w:b/>
          <w:sz w:val="22"/>
        </w:rPr>
        <w:tab/>
        <w:t xml:space="preserve"> </w:t>
      </w:r>
      <w:r>
        <w:rPr>
          <w:rFonts w:ascii="Arial" w:eastAsia="Arial" w:hAnsi="Arial" w:cs="Arial"/>
          <w:b/>
          <w:sz w:val="22"/>
        </w:rPr>
        <w:tab/>
        <w:t xml:space="preserve"> </w:t>
      </w:r>
      <w:r>
        <w:rPr>
          <w:rFonts w:ascii="Arial" w:eastAsia="Arial" w:hAnsi="Arial" w:cs="Arial"/>
          <w:b/>
          <w:sz w:val="22"/>
        </w:rPr>
        <w:tab/>
      </w:r>
      <w:r>
        <w:rPr>
          <w:sz w:val="22"/>
          <w:u w:val="single" w:color="000000"/>
        </w:rPr>
        <w:t xml:space="preserve"> </w:t>
      </w:r>
      <w:r>
        <w:rPr>
          <w:sz w:val="22"/>
          <w:u w:val="single" w:color="000000"/>
        </w:rPr>
        <w:tab/>
        <w:t>25</w:t>
      </w:r>
      <w:r w:rsidRPr="00D05F70">
        <w:rPr>
          <w:sz w:val="22"/>
          <w:u w:val="single" w:color="000000"/>
          <w:vertAlign w:val="superscript"/>
        </w:rPr>
        <w:t>th</w:t>
      </w:r>
      <w:r>
        <w:rPr>
          <w:sz w:val="22"/>
          <w:u w:val="single" w:color="000000"/>
        </w:rPr>
        <w:t xml:space="preserve"> August 25, 2021 </w:t>
      </w:r>
      <w:r>
        <w:rPr>
          <w:sz w:val="22"/>
          <w:u w:val="single" w:color="000000"/>
        </w:rPr>
        <w:tab/>
        <w:t xml:space="preserve"> </w:t>
      </w:r>
      <w:r>
        <w:rPr>
          <w:sz w:val="22"/>
          <w:u w:val="single" w:color="000000"/>
        </w:rPr>
        <w:tab/>
        <w:t xml:space="preserve"> </w:t>
      </w:r>
      <w:r>
        <w:rPr>
          <w:sz w:val="22"/>
          <w:u w:val="single" w:color="000000"/>
        </w:rPr>
        <w:tab/>
        <w:t xml:space="preserve"> </w:t>
      </w:r>
      <w:r>
        <w:rPr>
          <w:sz w:val="22"/>
          <w:u w:val="single" w:color="000000"/>
        </w:rPr>
        <w:tab/>
        <w:t xml:space="preserve"> </w:t>
      </w:r>
      <w:r>
        <w:rPr>
          <w:sz w:val="22"/>
          <w:u w:val="single" w:color="000000"/>
        </w:rPr>
        <w:tab/>
        <w:t xml:space="preserve"> </w:t>
      </w:r>
    </w:p>
    <w:p w:rsidR="001C2CCB" w:rsidRDefault="001C2CCB" w:rsidP="001C2CCB">
      <w:pPr>
        <w:spacing w:after="0" w:line="259" w:lineRule="auto"/>
      </w:pPr>
      <w:r>
        <w:rPr>
          <w:sz w:val="22"/>
        </w:rPr>
        <w:t xml:space="preserve"> </w:t>
      </w:r>
    </w:p>
    <w:p w:rsidR="001C2CCB" w:rsidRDefault="001C2CCB" w:rsidP="001C2CCB">
      <w:pPr>
        <w:spacing w:after="0" w:line="259" w:lineRule="auto"/>
      </w:pPr>
      <w:r>
        <w:rPr>
          <w:rFonts w:ascii="Times New Roman" w:eastAsia="Times New Roman" w:hAnsi="Times New Roman" w:cs="Times New Roman"/>
        </w:rPr>
        <w:t xml:space="preserve"> </w:t>
      </w:r>
    </w:p>
    <w:p w:rsidR="001C2CCB" w:rsidRDefault="001C2CCB" w:rsidP="001C2CCB">
      <w:pPr>
        <w:spacing w:after="0" w:line="259" w:lineRule="auto"/>
      </w:pPr>
      <w:r>
        <w:rPr>
          <w:rFonts w:ascii="Times New Roman" w:eastAsia="Times New Roman" w:hAnsi="Times New Roman" w:cs="Times New Roman"/>
        </w:rPr>
        <w:t xml:space="preserve"> </w:t>
      </w:r>
    </w:p>
    <w:p w:rsidR="001C2CCB" w:rsidRDefault="001C2CCB" w:rsidP="001C2CCB"/>
    <w:sectPr w:rsidR="001C2CCB" w:rsidSect="00F62DE9">
      <w:headerReference w:type="default" r:id="rId28"/>
      <w:footerReference w:type="default" r:id="rId29"/>
      <w:pgSz w:w="12240" w:h="15840"/>
      <w:pgMar w:top="1440" w:right="1440" w:bottom="1440" w:left="1440" w:header="720" w:footer="720" w:gutter="0"/>
      <w:pgNumType w:fmt="lowerRoman" w:start="1"/>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Roboto">
    <w:altName w:val="Times New Roman"/>
    <w:charset w:val="00"/>
    <w:family w:val="auto"/>
    <w:pitch w:val="variable"/>
    <w:sig w:usb0="00000001"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DE9" w:rsidRDefault="00F62DE9">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027508">
      <w:rPr>
        <w:caps/>
        <w:noProof/>
        <w:color w:val="4F81BD" w:themeColor="accent1"/>
      </w:rPr>
      <w:t>B</w:t>
    </w:r>
    <w:r>
      <w:rPr>
        <w:caps/>
        <w:noProof/>
        <w:color w:val="4F81BD" w:themeColor="accent1"/>
      </w:rPr>
      <w:fldChar w:fldCharType="end"/>
    </w:r>
  </w:p>
  <w:p w:rsidR="00F62DE9" w:rsidRDefault="00F62DE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DE9" w:rsidRDefault="00F62DE9">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1</w:t>
    </w:r>
    <w:r>
      <w:rPr>
        <w:caps/>
        <w:noProof/>
        <w:color w:val="4F81BD" w:themeColor="accent1"/>
      </w:rPr>
      <w:fldChar w:fldCharType="end"/>
    </w:r>
  </w:p>
  <w:p w:rsidR="00F62DE9" w:rsidRDefault="00F62DE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DE9" w:rsidRDefault="00F62DE9">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i</w:t>
    </w:r>
    <w:r>
      <w:rPr>
        <w:caps/>
        <w:noProof/>
        <w:color w:val="4F81BD" w:themeColor="accent1"/>
      </w:rPr>
      <w:fldChar w:fldCharType="end"/>
    </w:r>
  </w:p>
  <w:p w:rsidR="00F62DE9" w:rsidRDefault="00F62DE9">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DE9" w:rsidRDefault="00F62DE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DE9" w:rsidRDefault="00F62DE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10F4C"/>
    <w:multiLevelType w:val="multilevel"/>
    <w:tmpl w:val="F446AB0C"/>
    <w:lvl w:ilvl="0">
      <w:start w:val="1"/>
      <w:numFmt w:val="decimal"/>
      <w:lvlText w:val="%1."/>
      <w:lvlJc w:val="left"/>
      <w:pPr>
        <w:ind w:left="45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24B3019"/>
    <w:multiLevelType w:val="multilevel"/>
    <w:tmpl w:val="954C08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33B0C1B"/>
    <w:multiLevelType w:val="multilevel"/>
    <w:tmpl w:val="16F03B38"/>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3B61F48"/>
    <w:multiLevelType w:val="multilevel"/>
    <w:tmpl w:val="7B9EDF4E"/>
    <w:lvl w:ilvl="0">
      <w:start w:val="1"/>
      <w:numFmt w:val="decimal"/>
      <w:lvlText w:val="%1."/>
      <w:lvlJc w:val="left"/>
      <w:pPr>
        <w:ind w:left="450" w:hanging="360"/>
      </w:pPr>
      <w:rPr>
        <w:rFonts w:ascii="Times New Roman" w:hAnsi="Times New Roman" w:cs="Times New Roman" w:hint="default"/>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71B3CED"/>
    <w:multiLevelType w:val="hybridMultilevel"/>
    <w:tmpl w:val="346A127C"/>
    <w:lvl w:ilvl="0" w:tplc="68EC82A8">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284B46"/>
    <w:multiLevelType w:val="hybridMultilevel"/>
    <w:tmpl w:val="EF58867E"/>
    <w:lvl w:ilvl="0" w:tplc="BD341FA2">
      <w:start w:val="7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0E5D382E"/>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
    <w:nsid w:val="104671F3"/>
    <w:multiLevelType w:val="hybridMultilevel"/>
    <w:tmpl w:val="EC0AE7F2"/>
    <w:lvl w:ilvl="0" w:tplc="739A6F14">
      <w:start w:val="1"/>
      <w:numFmt w:val="upperRoman"/>
      <w:lvlText w:val="%1."/>
      <w:lvlJc w:val="left"/>
      <w:pPr>
        <w:ind w:left="2160" w:hanging="720"/>
      </w:pPr>
      <w:rPr>
        <w:rFonts w:eastAsia="Times New Roman"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13A052E"/>
    <w:multiLevelType w:val="multilevel"/>
    <w:tmpl w:val="FE466600"/>
    <w:lvl w:ilvl="0">
      <w:start w:val="1"/>
      <w:numFmt w:val="decimal"/>
      <w:lvlText w:val="%1."/>
      <w:lvlJc w:val="left"/>
      <w:pPr>
        <w:ind w:left="450" w:hanging="360"/>
      </w:pPr>
      <w:rPr>
        <w:rFonts w:ascii="Times New Roman" w:hAnsi="Times New Roman" w:cs="Times New Roman" w:hint="default"/>
        <w:b w:val="0"/>
        <w:bCs w:val="0"/>
        <w:i w:val="0"/>
        <w:i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2976298"/>
    <w:multiLevelType w:val="multilevel"/>
    <w:tmpl w:val="7B9EDF4E"/>
    <w:lvl w:ilvl="0">
      <w:start w:val="1"/>
      <w:numFmt w:val="decimal"/>
      <w:lvlText w:val="%1."/>
      <w:lvlJc w:val="left"/>
      <w:pPr>
        <w:ind w:left="450" w:hanging="360"/>
      </w:pPr>
      <w:rPr>
        <w:rFonts w:ascii="Times New Roman" w:hAnsi="Times New Roman" w:cs="Times New Roman" w:hint="default"/>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3D03A06"/>
    <w:multiLevelType w:val="multilevel"/>
    <w:tmpl w:val="FE466600"/>
    <w:lvl w:ilvl="0">
      <w:start w:val="1"/>
      <w:numFmt w:val="decimal"/>
      <w:lvlText w:val="%1."/>
      <w:lvlJc w:val="left"/>
      <w:pPr>
        <w:ind w:left="450" w:hanging="360"/>
      </w:pPr>
      <w:rPr>
        <w:rFonts w:ascii="Times New Roman" w:hAnsi="Times New Roman" w:cs="Times New Roman" w:hint="default"/>
        <w:b w:val="0"/>
        <w:bCs w:val="0"/>
        <w:i w:val="0"/>
        <w:i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54E016E"/>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2">
    <w:nsid w:val="1EA55E39"/>
    <w:multiLevelType w:val="multilevel"/>
    <w:tmpl w:val="F18ACE20"/>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3">
    <w:nsid w:val="22A95579"/>
    <w:multiLevelType w:val="hybridMultilevel"/>
    <w:tmpl w:val="8D00B00C"/>
    <w:lvl w:ilvl="0" w:tplc="20000005">
      <w:start w:val="1"/>
      <w:numFmt w:val="bullet"/>
      <w:lvlText w:val=""/>
      <w:lvlJc w:val="left"/>
      <w:pPr>
        <w:ind w:left="1287" w:hanging="360"/>
      </w:pPr>
      <w:rPr>
        <w:rFonts w:ascii="Wingdings" w:hAnsi="Wingdings" w:hint="default"/>
      </w:rPr>
    </w:lvl>
    <w:lvl w:ilvl="1" w:tplc="20000003">
      <w:start w:val="1"/>
      <w:numFmt w:val="bullet"/>
      <w:lvlText w:val="o"/>
      <w:lvlJc w:val="left"/>
      <w:pPr>
        <w:ind w:left="2007" w:hanging="360"/>
      </w:pPr>
      <w:rPr>
        <w:rFonts w:ascii="Courier New" w:hAnsi="Courier New" w:cs="Courier New" w:hint="default"/>
      </w:rPr>
    </w:lvl>
    <w:lvl w:ilvl="2" w:tplc="20000005">
      <w:start w:val="1"/>
      <w:numFmt w:val="bullet"/>
      <w:lvlText w:val=""/>
      <w:lvlJc w:val="left"/>
      <w:pPr>
        <w:ind w:left="2727" w:hanging="360"/>
      </w:pPr>
      <w:rPr>
        <w:rFonts w:ascii="Wingdings" w:hAnsi="Wingdings" w:hint="default"/>
      </w:rPr>
    </w:lvl>
    <w:lvl w:ilvl="3" w:tplc="20000001">
      <w:start w:val="1"/>
      <w:numFmt w:val="bullet"/>
      <w:lvlText w:val=""/>
      <w:lvlJc w:val="left"/>
      <w:pPr>
        <w:ind w:left="3447" w:hanging="360"/>
      </w:pPr>
      <w:rPr>
        <w:rFonts w:ascii="Symbol" w:hAnsi="Symbol" w:hint="default"/>
      </w:rPr>
    </w:lvl>
    <w:lvl w:ilvl="4" w:tplc="20000003">
      <w:start w:val="1"/>
      <w:numFmt w:val="bullet"/>
      <w:lvlText w:val="o"/>
      <w:lvlJc w:val="left"/>
      <w:pPr>
        <w:ind w:left="4167" w:hanging="360"/>
      </w:pPr>
      <w:rPr>
        <w:rFonts w:ascii="Courier New" w:hAnsi="Courier New" w:cs="Courier New" w:hint="default"/>
      </w:rPr>
    </w:lvl>
    <w:lvl w:ilvl="5" w:tplc="20000005">
      <w:start w:val="1"/>
      <w:numFmt w:val="bullet"/>
      <w:lvlText w:val=""/>
      <w:lvlJc w:val="left"/>
      <w:pPr>
        <w:ind w:left="4887" w:hanging="360"/>
      </w:pPr>
      <w:rPr>
        <w:rFonts w:ascii="Wingdings" w:hAnsi="Wingdings" w:hint="default"/>
      </w:rPr>
    </w:lvl>
    <w:lvl w:ilvl="6" w:tplc="20000001">
      <w:start w:val="1"/>
      <w:numFmt w:val="bullet"/>
      <w:lvlText w:val=""/>
      <w:lvlJc w:val="left"/>
      <w:pPr>
        <w:ind w:left="5607" w:hanging="360"/>
      </w:pPr>
      <w:rPr>
        <w:rFonts w:ascii="Symbol" w:hAnsi="Symbol" w:hint="default"/>
      </w:rPr>
    </w:lvl>
    <w:lvl w:ilvl="7" w:tplc="20000003">
      <w:start w:val="1"/>
      <w:numFmt w:val="bullet"/>
      <w:lvlText w:val="o"/>
      <w:lvlJc w:val="left"/>
      <w:pPr>
        <w:ind w:left="6327" w:hanging="360"/>
      </w:pPr>
      <w:rPr>
        <w:rFonts w:ascii="Courier New" w:hAnsi="Courier New" w:cs="Courier New" w:hint="default"/>
      </w:rPr>
    </w:lvl>
    <w:lvl w:ilvl="8" w:tplc="20000005">
      <w:start w:val="1"/>
      <w:numFmt w:val="bullet"/>
      <w:lvlText w:val=""/>
      <w:lvlJc w:val="left"/>
      <w:pPr>
        <w:ind w:left="7047" w:hanging="360"/>
      </w:pPr>
      <w:rPr>
        <w:rFonts w:ascii="Wingdings" w:hAnsi="Wingdings" w:hint="default"/>
      </w:rPr>
    </w:lvl>
  </w:abstractNum>
  <w:abstractNum w:abstractNumId="14">
    <w:nsid w:val="28242C11"/>
    <w:multiLevelType w:val="multilevel"/>
    <w:tmpl w:val="64B2700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ABE79C1"/>
    <w:multiLevelType w:val="multilevel"/>
    <w:tmpl w:val="7B70F9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2E7E4B03"/>
    <w:multiLevelType w:val="multilevel"/>
    <w:tmpl w:val="CC1CEE0C"/>
    <w:lvl w:ilvl="0">
      <w:start w:val="333"/>
      <w:numFmt w:val="decimal"/>
      <w:lvlText w:val="%1"/>
      <w:lvlJc w:val="left"/>
      <w:pPr>
        <w:ind w:left="660" w:hanging="660"/>
      </w:pPr>
      <w:rPr>
        <w:rFonts w:hint="default"/>
      </w:rPr>
    </w:lvl>
    <w:lvl w:ilvl="1">
      <w:start w:val="88"/>
      <w:numFmt w:val="decimal"/>
      <w:lvlText w:val="%1.%2"/>
      <w:lvlJc w:val="left"/>
      <w:pPr>
        <w:ind w:left="1380" w:hanging="6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2EBA4379"/>
    <w:multiLevelType w:val="multilevel"/>
    <w:tmpl w:val="8B92CD5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2116F82"/>
    <w:multiLevelType w:val="hybridMultilevel"/>
    <w:tmpl w:val="4796C190"/>
    <w:lvl w:ilvl="0" w:tplc="E42C0AB0">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D13419D"/>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0">
    <w:nsid w:val="40A54A48"/>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1">
    <w:nsid w:val="46D52A21"/>
    <w:multiLevelType w:val="multilevel"/>
    <w:tmpl w:val="F708B23E"/>
    <w:lvl w:ilvl="0">
      <w:start w:val="2"/>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1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4AB538CC"/>
    <w:multiLevelType w:val="hybridMultilevel"/>
    <w:tmpl w:val="F2ECD0B0"/>
    <w:lvl w:ilvl="0" w:tplc="2C2AA200">
      <w:start w:val="1"/>
      <w:numFmt w:val="lowerRoman"/>
      <w:lvlText w:val="%1."/>
      <w:lvlJc w:val="left"/>
      <w:pPr>
        <w:ind w:left="1440" w:hanging="720"/>
      </w:pPr>
      <w:rPr>
        <w:rFonts w:hint="default"/>
      </w:rPr>
    </w:lvl>
    <w:lvl w:ilvl="1" w:tplc="84BC8A5A">
      <w:start w:val="1"/>
      <w:numFmt w:val="decimal"/>
      <w:lvlText w:val="%2."/>
      <w:lvlJc w:val="left"/>
      <w:pPr>
        <w:ind w:left="1800" w:hanging="360"/>
      </w:pPr>
      <w:rPr>
        <w:rFonts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nsid w:val="4AEB4E6F"/>
    <w:multiLevelType w:val="multilevel"/>
    <w:tmpl w:val="FE466600"/>
    <w:lvl w:ilvl="0">
      <w:start w:val="1"/>
      <w:numFmt w:val="decimal"/>
      <w:lvlText w:val="%1."/>
      <w:lvlJc w:val="left"/>
      <w:pPr>
        <w:ind w:left="450" w:hanging="360"/>
      </w:pPr>
      <w:rPr>
        <w:rFonts w:ascii="Times New Roman" w:hAnsi="Times New Roman" w:cs="Times New Roman" w:hint="default"/>
        <w:b w:val="0"/>
        <w:bCs w:val="0"/>
        <w:i w:val="0"/>
        <w:i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4C761F91"/>
    <w:multiLevelType w:val="hybridMultilevel"/>
    <w:tmpl w:val="4CBAE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CE6FBE"/>
    <w:multiLevelType w:val="multilevel"/>
    <w:tmpl w:val="26A4DB36"/>
    <w:lvl w:ilvl="0">
      <w:start w:val="3"/>
      <w:numFmt w:val="decimal"/>
      <w:lvlText w:val="%1"/>
      <w:lvlJc w:val="left"/>
      <w:pPr>
        <w:ind w:left="420" w:hanging="420"/>
      </w:pPr>
      <w:rPr>
        <w:rFonts w:hint="default"/>
      </w:rPr>
    </w:lvl>
    <w:lvl w:ilvl="1">
      <w:start w:val="99"/>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EF01D2A"/>
    <w:multiLevelType w:val="multilevel"/>
    <w:tmpl w:val="D77C28E8"/>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10169F5"/>
    <w:multiLevelType w:val="hybridMultilevel"/>
    <w:tmpl w:val="35265C2A"/>
    <w:lvl w:ilvl="0" w:tplc="FFFFFFFF">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nsid w:val="51B26AD7"/>
    <w:multiLevelType w:val="hybridMultilevel"/>
    <w:tmpl w:val="FB60466A"/>
    <w:lvl w:ilvl="0" w:tplc="BD8C1CA2">
      <w:start w:val="1"/>
      <w:numFmt w:val="decimal"/>
      <w:lvlText w:val="%1."/>
      <w:lvlJc w:val="left"/>
      <w:pPr>
        <w:ind w:left="608" w:hanging="499"/>
      </w:pPr>
      <w:rPr>
        <w:rFonts w:ascii="Roboto" w:eastAsia="Roboto" w:hAnsi="Roboto" w:cs="Roboto" w:hint="default"/>
        <w:color w:val="202024"/>
        <w:w w:val="99"/>
        <w:sz w:val="24"/>
        <w:szCs w:val="24"/>
        <w:lang w:val="en-US" w:eastAsia="en-US" w:bidi="ar-SA"/>
      </w:rPr>
    </w:lvl>
    <w:lvl w:ilvl="1" w:tplc="C8B44152">
      <w:numFmt w:val="bullet"/>
      <w:lvlText w:val="•"/>
      <w:lvlJc w:val="left"/>
      <w:pPr>
        <w:ind w:left="1400" w:hanging="499"/>
      </w:pPr>
      <w:rPr>
        <w:rFonts w:hint="default"/>
        <w:lang w:val="en-US" w:eastAsia="en-US" w:bidi="ar-SA"/>
      </w:rPr>
    </w:lvl>
    <w:lvl w:ilvl="2" w:tplc="6C743CFE">
      <w:numFmt w:val="bullet"/>
      <w:lvlText w:val="•"/>
      <w:lvlJc w:val="left"/>
      <w:pPr>
        <w:ind w:left="1480" w:hanging="499"/>
      </w:pPr>
      <w:rPr>
        <w:rFonts w:hint="default"/>
        <w:lang w:val="en-US" w:eastAsia="en-US" w:bidi="ar-SA"/>
      </w:rPr>
    </w:lvl>
    <w:lvl w:ilvl="3" w:tplc="499EA9B2">
      <w:numFmt w:val="bullet"/>
      <w:lvlText w:val="•"/>
      <w:lvlJc w:val="left"/>
      <w:pPr>
        <w:ind w:left="1520" w:hanging="499"/>
      </w:pPr>
      <w:rPr>
        <w:rFonts w:hint="default"/>
        <w:lang w:val="en-US" w:eastAsia="en-US" w:bidi="ar-SA"/>
      </w:rPr>
    </w:lvl>
    <w:lvl w:ilvl="4" w:tplc="B1E2BAF0">
      <w:numFmt w:val="bullet"/>
      <w:lvlText w:val="•"/>
      <w:lvlJc w:val="left"/>
      <w:pPr>
        <w:ind w:left="2740" w:hanging="499"/>
      </w:pPr>
      <w:rPr>
        <w:rFonts w:hint="default"/>
        <w:lang w:val="en-US" w:eastAsia="en-US" w:bidi="ar-SA"/>
      </w:rPr>
    </w:lvl>
    <w:lvl w:ilvl="5" w:tplc="045212CA">
      <w:numFmt w:val="bullet"/>
      <w:lvlText w:val="•"/>
      <w:lvlJc w:val="left"/>
      <w:pPr>
        <w:ind w:left="3960" w:hanging="499"/>
      </w:pPr>
      <w:rPr>
        <w:rFonts w:hint="default"/>
        <w:lang w:val="en-US" w:eastAsia="en-US" w:bidi="ar-SA"/>
      </w:rPr>
    </w:lvl>
    <w:lvl w:ilvl="6" w:tplc="1A70A6DE">
      <w:numFmt w:val="bullet"/>
      <w:lvlText w:val="•"/>
      <w:lvlJc w:val="left"/>
      <w:pPr>
        <w:ind w:left="5180" w:hanging="499"/>
      </w:pPr>
      <w:rPr>
        <w:rFonts w:hint="default"/>
        <w:lang w:val="en-US" w:eastAsia="en-US" w:bidi="ar-SA"/>
      </w:rPr>
    </w:lvl>
    <w:lvl w:ilvl="7" w:tplc="3198081A">
      <w:numFmt w:val="bullet"/>
      <w:lvlText w:val="•"/>
      <w:lvlJc w:val="left"/>
      <w:pPr>
        <w:ind w:left="6400" w:hanging="499"/>
      </w:pPr>
      <w:rPr>
        <w:rFonts w:hint="default"/>
        <w:lang w:val="en-US" w:eastAsia="en-US" w:bidi="ar-SA"/>
      </w:rPr>
    </w:lvl>
    <w:lvl w:ilvl="8" w:tplc="4260EB76">
      <w:numFmt w:val="bullet"/>
      <w:lvlText w:val="•"/>
      <w:lvlJc w:val="left"/>
      <w:pPr>
        <w:ind w:left="7620" w:hanging="499"/>
      </w:pPr>
      <w:rPr>
        <w:rFonts w:hint="default"/>
        <w:lang w:val="en-US" w:eastAsia="en-US" w:bidi="ar-SA"/>
      </w:rPr>
    </w:lvl>
  </w:abstractNum>
  <w:abstractNum w:abstractNumId="29">
    <w:nsid w:val="535F36F3"/>
    <w:multiLevelType w:val="hybridMultilevel"/>
    <w:tmpl w:val="BB508A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5FC7A61"/>
    <w:multiLevelType w:val="hybridMultilevel"/>
    <w:tmpl w:val="CC8A5522"/>
    <w:lvl w:ilvl="0" w:tplc="9236B770">
      <w:start w:val="1"/>
      <w:numFmt w:val="upperRoman"/>
      <w:lvlText w:val="%1."/>
      <w:lvlJc w:val="left"/>
      <w:pPr>
        <w:ind w:left="2160" w:hanging="720"/>
      </w:pPr>
      <w:rPr>
        <w:rFonts w:eastAsia="Times New Roman"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568314DC"/>
    <w:multiLevelType w:val="multilevel"/>
    <w:tmpl w:val="F99EC446"/>
    <w:lvl w:ilvl="0">
      <w:start w:val="3"/>
      <w:numFmt w:val="decimal"/>
      <w:lvlText w:val="%1"/>
      <w:lvlJc w:val="left"/>
      <w:pPr>
        <w:ind w:left="420" w:hanging="420"/>
      </w:pPr>
      <w:rPr>
        <w:rFonts w:hint="default"/>
      </w:rPr>
    </w:lvl>
    <w:lvl w:ilvl="1">
      <w:start w:val="99"/>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5B8D6B3D"/>
    <w:multiLevelType w:val="multilevel"/>
    <w:tmpl w:val="34667788"/>
    <w:lvl w:ilvl="0">
      <w:start w:val="1"/>
      <w:numFmt w:val="upperRoman"/>
      <w:lvlText w:val="%1."/>
      <w:lvlJc w:val="left"/>
      <w:pPr>
        <w:ind w:left="1800" w:hanging="72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33">
    <w:nsid w:val="5CF97D57"/>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4">
    <w:nsid w:val="5E227D57"/>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5">
    <w:nsid w:val="5EF77151"/>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6">
    <w:nsid w:val="5F453657"/>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7">
    <w:nsid w:val="61F007F4"/>
    <w:multiLevelType w:val="hybridMultilevel"/>
    <w:tmpl w:val="76FE6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4420703"/>
    <w:multiLevelType w:val="hybridMultilevel"/>
    <w:tmpl w:val="4CAE17E2"/>
    <w:lvl w:ilvl="0" w:tplc="DE306984">
      <w:start w:val="1"/>
      <w:numFmt w:val="lowerLetter"/>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9">
    <w:nsid w:val="64B83210"/>
    <w:multiLevelType w:val="hybridMultilevel"/>
    <w:tmpl w:val="725A6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4BE29C9"/>
    <w:multiLevelType w:val="multilevel"/>
    <w:tmpl w:val="7B9EDF4E"/>
    <w:lvl w:ilvl="0">
      <w:start w:val="1"/>
      <w:numFmt w:val="decimal"/>
      <w:lvlText w:val="%1."/>
      <w:lvlJc w:val="left"/>
      <w:pPr>
        <w:ind w:left="450" w:hanging="360"/>
      </w:pPr>
      <w:rPr>
        <w:rFonts w:ascii="Times New Roman" w:hAnsi="Times New Roman" w:cs="Times New Roman" w:hint="default"/>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6850214A"/>
    <w:multiLevelType w:val="multilevel"/>
    <w:tmpl w:val="5FB4D72C"/>
    <w:lvl w:ilvl="0">
      <w:start w:val="4"/>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42">
    <w:nsid w:val="68887C26"/>
    <w:multiLevelType w:val="hybridMultilevel"/>
    <w:tmpl w:val="0BC6F01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3">
    <w:nsid w:val="6ABF7DF8"/>
    <w:multiLevelType w:val="multilevel"/>
    <w:tmpl w:val="E312CBAE"/>
    <w:lvl w:ilvl="0">
      <w:start w:val="2"/>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nsid w:val="6AC55608"/>
    <w:multiLevelType w:val="multilevel"/>
    <w:tmpl w:val="7C5A22C8"/>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6D3E32B9"/>
    <w:multiLevelType w:val="multilevel"/>
    <w:tmpl w:val="847AC852"/>
    <w:lvl w:ilvl="0">
      <w:start w:val="2"/>
      <w:numFmt w:val="decimal"/>
      <w:lvlText w:val="%1"/>
      <w:lvlJc w:val="left"/>
      <w:pPr>
        <w:ind w:left="792" w:hanging="360"/>
      </w:pPr>
      <w:rPr>
        <w:rFonts w:hint="default"/>
      </w:rPr>
    </w:lvl>
    <w:lvl w:ilvl="1">
      <w:start w:val="1"/>
      <w:numFmt w:val="decimal"/>
      <w:isLgl/>
      <w:lvlText w:val="%1.%2"/>
      <w:lvlJc w:val="left"/>
      <w:pPr>
        <w:ind w:left="792"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152" w:hanging="72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512"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72" w:hanging="1440"/>
      </w:pPr>
      <w:rPr>
        <w:rFonts w:hint="default"/>
      </w:rPr>
    </w:lvl>
    <w:lvl w:ilvl="8">
      <w:start w:val="1"/>
      <w:numFmt w:val="decimal"/>
      <w:isLgl/>
      <w:lvlText w:val="%1.%2.%3.%4.%5.%6.%7.%8.%9"/>
      <w:lvlJc w:val="left"/>
      <w:pPr>
        <w:ind w:left="2232" w:hanging="1800"/>
      </w:pPr>
      <w:rPr>
        <w:rFonts w:hint="default"/>
      </w:rPr>
    </w:lvl>
  </w:abstractNum>
  <w:abstractNum w:abstractNumId="46">
    <w:nsid w:val="72EA41D9"/>
    <w:multiLevelType w:val="hybridMultilevel"/>
    <w:tmpl w:val="C45475D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7">
    <w:nsid w:val="73A42C1E"/>
    <w:multiLevelType w:val="multilevel"/>
    <w:tmpl w:val="7B9EDF4E"/>
    <w:lvl w:ilvl="0">
      <w:start w:val="1"/>
      <w:numFmt w:val="decimal"/>
      <w:lvlText w:val="%1."/>
      <w:lvlJc w:val="left"/>
      <w:pPr>
        <w:ind w:left="450" w:hanging="360"/>
      </w:pPr>
      <w:rPr>
        <w:rFonts w:ascii="Times New Roman" w:hAnsi="Times New Roman" w:cs="Times New Roman" w:hint="default"/>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7F9123AD"/>
    <w:multiLevelType w:val="hybridMultilevel"/>
    <w:tmpl w:val="A40622EC"/>
    <w:lvl w:ilvl="0" w:tplc="26840256">
      <w:start w:val="1"/>
      <w:numFmt w:val="lowerLetter"/>
      <w:lvlText w:val="(%1)"/>
      <w:lvlJc w:val="left"/>
      <w:pPr>
        <w:ind w:left="720" w:hanging="360"/>
      </w:pPr>
      <w:rPr>
        <w:rFonts w:ascii="Times New Roman" w:eastAsiaTheme="minorEastAsia" w:hAnsi="Times New Roman"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
  </w:num>
  <w:num w:numId="2">
    <w:abstractNumId w:val="48"/>
  </w:num>
  <w:num w:numId="3">
    <w:abstractNumId w:val="23"/>
  </w:num>
  <w:num w:numId="4">
    <w:abstractNumId w:val="38"/>
  </w:num>
  <w:num w:numId="5">
    <w:abstractNumId w:val="4"/>
  </w:num>
  <w:num w:numId="6">
    <w:abstractNumId w:val="45"/>
  </w:num>
  <w:num w:numId="7">
    <w:abstractNumId w:val="33"/>
  </w:num>
  <w:num w:numId="8">
    <w:abstractNumId w:val="43"/>
  </w:num>
  <w:num w:numId="9">
    <w:abstractNumId w:val="14"/>
  </w:num>
  <w:num w:numId="10">
    <w:abstractNumId w:val="22"/>
  </w:num>
  <w:num w:numId="11">
    <w:abstractNumId w:val="26"/>
  </w:num>
  <w:num w:numId="12">
    <w:abstractNumId w:val="0"/>
  </w:num>
  <w:num w:numId="13">
    <w:abstractNumId w:val="39"/>
  </w:num>
  <w:num w:numId="14">
    <w:abstractNumId w:val="27"/>
  </w:num>
  <w:num w:numId="15">
    <w:abstractNumId w:val="40"/>
  </w:num>
  <w:num w:numId="16">
    <w:abstractNumId w:val="29"/>
  </w:num>
  <w:num w:numId="17">
    <w:abstractNumId w:val="47"/>
  </w:num>
  <w:num w:numId="18">
    <w:abstractNumId w:val="3"/>
  </w:num>
  <w:num w:numId="19">
    <w:abstractNumId w:val="15"/>
  </w:num>
  <w:num w:numId="20">
    <w:abstractNumId w:val="9"/>
  </w:num>
  <w:num w:numId="21">
    <w:abstractNumId w:val="21"/>
  </w:num>
  <w:num w:numId="22">
    <w:abstractNumId w:val="44"/>
  </w:num>
  <w:num w:numId="23">
    <w:abstractNumId w:val="2"/>
  </w:num>
  <w:num w:numId="24">
    <w:abstractNumId w:val="12"/>
  </w:num>
  <w:num w:numId="25">
    <w:abstractNumId w:val="17"/>
  </w:num>
  <w:num w:numId="26">
    <w:abstractNumId w:val="34"/>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13"/>
  </w:num>
  <w:num w:numId="30">
    <w:abstractNumId w:val="16"/>
  </w:num>
  <w:num w:numId="31">
    <w:abstractNumId w:val="31"/>
  </w:num>
  <w:num w:numId="32">
    <w:abstractNumId w:val="25"/>
  </w:num>
  <w:num w:numId="33">
    <w:abstractNumId w:val="5"/>
  </w:num>
  <w:num w:numId="34">
    <w:abstractNumId w:val="8"/>
  </w:num>
  <w:num w:numId="35">
    <w:abstractNumId w:val="10"/>
  </w:num>
  <w:num w:numId="36">
    <w:abstractNumId w:val="41"/>
  </w:num>
  <w:num w:numId="37">
    <w:abstractNumId w:val="20"/>
  </w:num>
  <w:num w:numId="38">
    <w:abstractNumId w:val="11"/>
  </w:num>
  <w:num w:numId="39">
    <w:abstractNumId w:val="36"/>
  </w:num>
  <w:num w:numId="40">
    <w:abstractNumId w:val="35"/>
  </w:num>
  <w:num w:numId="41">
    <w:abstractNumId w:val="6"/>
  </w:num>
  <w:num w:numId="42">
    <w:abstractNumId w:val="32"/>
  </w:num>
  <w:num w:numId="43">
    <w:abstractNumId w:val="18"/>
  </w:num>
  <w:num w:numId="44">
    <w:abstractNumId w:val="46"/>
  </w:num>
  <w:num w:numId="45">
    <w:abstractNumId w:val="30"/>
  </w:num>
  <w:num w:numId="46">
    <w:abstractNumId w:val="7"/>
  </w:num>
  <w:num w:numId="47">
    <w:abstractNumId w:val="19"/>
  </w:num>
  <w:num w:numId="48">
    <w:abstractNumId w:val="24"/>
  </w:num>
  <w:num w:numId="4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C2CCB"/>
    <w:rsid w:val="00027508"/>
    <w:rsid w:val="000B22EA"/>
    <w:rsid w:val="001265B6"/>
    <w:rsid w:val="001C2CCB"/>
    <w:rsid w:val="001D1E72"/>
    <w:rsid w:val="002F6DCB"/>
    <w:rsid w:val="003067B6"/>
    <w:rsid w:val="00374825"/>
    <w:rsid w:val="003C3305"/>
    <w:rsid w:val="0048080A"/>
    <w:rsid w:val="004E6117"/>
    <w:rsid w:val="00557C83"/>
    <w:rsid w:val="0065124E"/>
    <w:rsid w:val="00654198"/>
    <w:rsid w:val="00673506"/>
    <w:rsid w:val="00682450"/>
    <w:rsid w:val="007D75BF"/>
    <w:rsid w:val="008A6BA1"/>
    <w:rsid w:val="009F7CFB"/>
    <w:rsid w:val="00A61476"/>
    <w:rsid w:val="00AA7F25"/>
    <w:rsid w:val="00AD6BF5"/>
    <w:rsid w:val="00AE7976"/>
    <w:rsid w:val="00B0426D"/>
    <w:rsid w:val="00BB17F4"/>
    <w:rsid w:val="00C61A32"/>
    <w:rsid w:val="00D9768A"/>
    <w:rsid w:val="00DB6F8E"/>
    <w:rsid w:val="00EB0631"/>
    <w:rsid w:val="00F13170"/>
    <w:rsid w:val="00F62DE9"/>
    <w:rsid w:val="00F74CA6"/>
    <w:rsid w:val="00F80C4F"/>
    <w:rsid w:val="00FD33E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CCB"/>
    <w:pPr>
      <w:spacing w:before="100"/>
    </w:pPr>
    <w:rPr>
      <w:rFonts w:eastAsiaTheme="minorEastAsia"/>
      <w:sz w:val="20"/>
      <w:szCs w:val="20"/>
      <w:lang w:val="en-IE"/>
    </w:rPr>
  </w:style>
  <w:style w:type="paragraph" w:styleId="Heading1">
    <w:name w:val="heading 1"/>
    <w:basedOn w:val="Normal"/>
    <w:next w:val="Normal"/>
    <w:link w:val="Heading1Char"/>
    <w:uiPriority w:val="9"/>
    <w:qFormat/>
    <w:rsid w:val="001C2CCB"/>
    <w:pPr>
      <w:keepNext/>
      <w:keepLines/>
      <w:numPr>
        <w:numId w:val="7"/>
      </w:numPr>
      <w:spacing w:before="480" w:after="0"/>
      <w:outlineLvl w:val="0"/>
    </w:pPr>
    <w:rPr>
      <w:rFonts w:ascii="Times New Roman" w:eastAsiaTheme="majorEastAsia" w:hAnsi="Times New Roman" w:cstheme="majorBidi"/>
      <w:b/>
      <w:bCs/>
      <w:color w:val="000000" w:themeColor="text1"/>
      <w:sz w:val="24"/>
      <w:szCs w:val="28"/>
      <w:lang w:val="en-GB"/>
    </w:rPr>
  </w:style>
  <w:style w:type="paragraph" w:styleId="Heading2">
    <w:name w:val="heading 2"/>
    <w:basedOn w:val="TOCHeading"/>
    <w:next w:val="Normal"/>
    <w:link w:val="Heading2Char"/>
    <w:uiPriority w:val="9"/>
    <w:unhideWhenUsed/>
    <w:qFormat/>
    <w:rsid w:val="001C2CCB"/>
    <w:pPr>
      <w:numPr>
        <w:ilvl w:val="1"/>
      </w:numPr>
      <w:outlineLvl w:val="1"/>
    </w:pPr>
  </w:style>
  <w:style w:type="paragraph" w:styleId="Heading3">
    <w:name w:val="heading 3"/>
    <w:basedOn w:val="Normal"/>
    <w:next w:val="Normal"/>
    <w:link w:val="Heading3Char"/>
    <w:autoRedefine/>
    <w:uiPriority w:val="9"/>
    <w:unhideWhenUsed/>
    <w:qFormat/>
    <w:rsid w:val="001C2CCB"/>
    <w:pPr>
      <w:keepNext/>
      <w:keepLines/>
      <w:numPr>
        <w:ilvl w:val="2"/>
        <w:numId w:val="11"/>
      </w:numPr>
      <w:spacing w:before="0" w:after="0"/>
      <w:outlineLvl w:val="2"/>
    </w:pPr>
    <w:rPr>
      <w:rFonts w:ascii="Times New Roman" w:eastAsiaTheme="majorEastAsia" w:hAnsi="Times New Roman" w:cstheme="majorBidi"/>
      <w:b/>
      <w:sz w:val="24"/>
      <w:szCs w:val="24"/>
      <w:lang w:val="en-GB"/>
    </w:rPr>
  </w:style>
  <w:style w:type="paragraph" w:styleId="Heading4">
    <w:name w:val="heading 4"/>
    <w:basedOn w:val="Normal"/>
    <w:next w:val="Normal"/>
    <w:link w:val="Heading4Char"/>
    <w:uiPriority w:val="9"/>
    <w:semiHidden/>
    <w:unhideWhenUsed/>
    <w:qFormat/>
    <w:rsid w:val="001C2CCB"/>
    <w:pPr>
      <w:keepNext/>
      <w:keepLines/>
      <w:numPr>
        <w:ilvl w:val="3"/>
        <w:numId w:val="7"/>
      </w:numPr>
      <w:spacing w:before="200" w:after="0"/>
      <w:outlineLvl w:val="3"/>
    </w:pPr>
    <w:rPr>
      <w:rFonts w:asciiTheme="majorHAnsi" w:eastAsiaTheme="majorEastAsia" w:hAnsiTheme="majorHAnsi" w:cstheme="majorBidi"/>
      <w:b/>
      <w:bCs/>
      <w:i/>
      <w:iCs/>
      <w:color w:val="4F81BD" w:themeColor="accent1"/>
      <w:lang w:val="en-GB"/>
    </w:rPr>
  </w:style>
  <w:style w:type="paragraph" w:styleId="Heading5">
    <w:name w:val="heading 5"/>
    <w:basedOn w:val="Normal"/>
    <w:next w:val="Normal"/>
    <w:link w:val="Heading5Char"/>
    <w:uiPriority w:val="9"/>
    <w:unhideWhenUsed/>
    <w:qFormat/>
    <w:rsid w:val="001C2CCB"/>
    <w:pPr>
      <w:keepNext/>
      <w:keepLines/>
      <w:numPr>
        <w:ilvl w:val="4"/>
        <w:numId w:val="7"/>
      </w:numPr>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semiHidden/>
    <w:unhideWhenUsed/>
    <w:qFormat/>
    <w:rsid w:val="001C2CCB"/>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lang w:val="en-GB"/>
    </w:rPr>
  </w:style>
  <w:style w:type="paragraph" w:styleId="Heading7">
    <w:name w:val="heading 7"/>
    <w:basedOn w:val="Normal"/>
    <w:next w:val="Normal"/>
    <w:link w:val="Heading7Char"/>
    <w:uiPriority w:val="9"/>
    <w:unhideWhenUsed/>
    <w:qFormat/>
    <w:rsid w:val="001C2CCB"/>
    <w:pPr>
      <w:keepNext/>
      <w:keepLines/>
      <w:numPr>
        <w:ilvl w:val="6"/>
        <w:numId w:val="7"/>
      </w:numPr>
      <w:spacing w:before="200" w:after="0"/>
      <w:outlineLvl w:val="6"/>
    </w:pPr>
    <w:rPr>
      <w:rFonts w:asciiTheme="majorHAnsi" w:eastAsiaTheme="majorEastAsia" w:hAnsiTheme="majorHAnsi" w:cstheme="majorBidi"/>
      <w:i/>
      <w:iCs/>
      <w:color w:val="404040" w:themeColor="text1" w:themeTint="BF"/>
      <w:lang w:val="en-GB"/>
    </w:rPr>
  </w:style>
  <w:style w:type="paragraph" w:styleId="Heading8">
    <w:name w:val="heading 8"/>
    <w:basedOn w:val="Normal"/>
    <w:next w:val="Normal"/>
    <w:link w:val="Heading8Char"/>
    <w:uiPriority w:val="9"/>
    <w:semiHidden/>
    <w:unhideWhenUsed/>
    <w:qFormat/>
    <w:rsid w:val="001C2CCB"/>
    <w:pPr>
      <w:keepNext/>
      <w:keepLines/>
      <w:numPr>
        <w:ilvl w:val="7"/>
        <w:numId w:val="7"/>
      </w:numPr>
      <w:spacing w:before="200" w:after="0"/>
      <w:outlineLvl w:val="7"/>
    </w:pPr>
    <w:rPr>
      <w:rFonts w:asciiTheme="majorHAnsi" w:eastAsiaTheme="majorEastAsia" w:hAnsiTheme="majorHAnsi" w:cstheme="majorBidi"/>
      <w:color w:val="404040" w:themeColor="text1" w:themeTint="BF"/>
      <w:lang w:val="en-GB"/>
    </w:rPr>
  </w:style>
  <w:style w:type="paragraph" w:styleId="Heading9">
    <w:name w:val="heading 9"/>
    <w:basedOn w:val="Normal"/>
    <w:next w:val="Normal"/>
    <w:link w:val="Heading9Char"/>
    <w:uiPriority w:val="9"/>
    <w:semiHidden/>
    <w:unhideWhenUsed/>
    <w:qFormat/>
    <w:rsid w:val="001C2CCB"/>
    <w:pPr>
      <w:keepNext/>
      <w:keepLines/>
      <w:numPr>
        <w:ilvl w:val="8"/>
        <w:numId w:val="7"/>
      </w:numPr>
      <w:spacing w:before="200" w:after="0"/>
      <w:outlineLvl w:val="8"/>
    </w:pPr>
    <w:rPr>
      <w:rFonts w:asciiTheme="majorHAnsi" w:eastAsiaTheme="majorEastAsia" w:hAnsiTheme="majorHAnsi" w:cstheme="majorBidi"/>
      <w:i/>
      <w:iCs/>
      <w:color w:val="404040" w:themeColor="text1" w:themeTint="B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2CCB"/>
    <w:rPr>
      <w:rFonts w:ascii="Times New Roman" w:eastAsiaTheme="majorEastAsia" w:hAnsi="Times New Roman" w:cstheme="majorBidi"/>
      <w:b/>
      <w:bCs/>
      <w:color w:val="000000" w:themeColor="text1"/>
      <w:sz w:val="24"/>
      <w:szCs w:val="28"/>
      <w:lang w:val="en-GB"/>
    </w:rPr>
  </w:style>
  <w:style w:type="paragraph" w:styleId="TOCHeading">
    <w:name w:val="TOC Heading"/>
    <w:basedOn w:val="Heading1"/>
    <w:next w:val="Normal"/>
    <w:uiPriority w:val="39"/>
    <w:unhideWhenUsed/>
    <w:qFormat/>
    <w:rsid w:val="001C2CCB"/>
    <w:pPr>
      <w:outlineLvl w:val="9"/>
    </w:pPr>
    <w:rPr>
      <w:lang w:val="en-US"/>
    </w:rPr>
  </w:style>
  <w:style w:type="character" w:customStyle="1" w:styleId="Heading2Char">
    <w:name w:val="Heading 2 Char"/>
    <w:basedOn w:val="DefaultParagraphFont"/>
    <w:link w:val="Heading2"/>
    <w:uiPriority w:val="9"/>
    <w:rsid w:val="001C2CCB"/>
    <w:rPr>
      <w:rFonts w:ascii="Times New Roman" w:eastAsiaTheme="majorEastAsia" w:hAnsi="Times New Roman" w:cstheme="majorBidi"/>
      <w:b/>
      <w:bCs/>
      <w:color w:val="000000" w:themeColor="text1"/>
      <w:sz w:val="24"/>
      <w:szCs w:val="28"/>
    </w:rPr>
  </w:style>
  <w:style w:type="character" w:customStyle="1" w:styleId="Heading3Char">
    <w:name w:val="Heading 3 Char"/>
    <w:basedOn w:val="DefaultParagraphFont"/>
    <w:link w:val="Heading3"/>
    <w:uiPriority w:val="9"/>
    <w:rsid w:val="001C2CCB"/>
    <w:rPr>
      <w:rFonts w:ascii="Times New Roman" w:eastAsiaTheme="majorEastAsia" w:hAnsi="Times New Roman" w:cstheme="majorBidi"/>
      <w:b/>
      <w:sz w:val="24"/>
      <w:szCs w:val="24"/>
      <w:lang w:val="en-GB"/>
    </w:rPr>
  </w:style>
  <w:style w:type="character" w:customStyle="1" w:styleId="Heading4Char">
    <w:name w:val="Heading 4 Char"/>
    <w:basedOn w:val="DefaultParagraphFont"/>
    <w:link w:val="Heading4"/>
    <w:uiPriority w:val="9"/>
    <w:semiHidden/>
    <w:rsid w:val="001C2CCB"/>
    <w:rPr>
      <w:rFonts w:asciiTheme="majorHAnsi" w:eastAsiaTheme="majorEastAsia" w:hAnsiTheme="majorHAnsi" w:cstheme="majorBidi"/>
      <w:b/>
      <w:bCs/>
      <w:i/>
      <w:iCs/>
      <w:color w:val="4F81BD" w:themeColor="accent1"/>
      <w:sz w:val="20"/>
      <w:szCs w:val="20"/>
      <w:lang w:val="en-GB"/>
    </w:rPr>
  </w:style>
  <w:style w:type="character" w:customStyle="1" w:styleId="Heading5Char">
    <w:name w:val="Heading 5 Char"/>
    <w:basedOn w:val="DefaultParagraphFont"/>
    <w:link w:val="Heading5"/>
    <w:uiPriority w:val="9"/>
    <w:rsid w:val="001C2CCB"/>
    <w:rPr>
      <w:rFonts w:asciiTheme="majorHAnsi" w:eastAsiaTheme="majorEastAsia" w:hAnsiTheme="majorHAnsi" w:cstheme="majorBidi"/>
      <w:color w:val="243F60" w:themeColor="accent1" w:themeShade="7F"/>
      <w:sz w:val="20"/>
      <w:szCs w:val="20"/>
      <w:lang w:val="en-GB"/>
    </w:rPr>
  </w:style>
  <w:style w:type="character" w:customStyle="1" w:styleId="Heading6Char">
    <w:name w:val="Heading 6 Char"/>
    <w:basedOn w:val="DefaultParagraphFont"/>
    <w:link w:val="Heading6"/>
    <w:uiPriority w:val="9"/>
    <w:semiHidden/>
    <w:rsid w:val="001C2CCB"/>
    <w:rPr>
      <w:rFonts w:asciiTheme="majorHAnsi" w:eastAsiaTheme="majorEastAsia" w:hAnsiTheme="majorHAnsi" w:cstheme="majorBidi"/>
      <w:i/>
      <w:iCs/>
      <w:color w:val="243F60" w:themeColor="accent1" w:themeShade="7F"/>
      <w:sz w:val="20"/>
      <w:szCs w:val="20"/>
      <w:lang w:val="en-GB"/>
    </w:rPr>
  </w:style>
  <w:style w:type="character" w:customStyle="1" w:styleId="Heading7Char">
    <w:name w:val="Heading 7 Char"/>
    <w:basedOn w:val="DefaultParagraphFont"/>
    <w:link w:val="Heading7"/>
    <w:uiPriority w:val="9"/>
    <w:rsid w:val="001C2CCB"/>
    <w:rPr>
      <w:rFonts w:asciiTheme="majorHAnsi" w:eastAsiaTheme="majorEastAsia" w:hAnsiTheme="majorHAnsi" w:cstheme="majorBidi"/>
      <w:i/>
      <w:iCs/>
      <w:color w:val="404040" w:themeColor="text1" w:themeTint="BF"/>
      <w:sz w:val="20"/>
      <w:szCs w:val="20"/>
      <w:lang w:val="en-GB"/>
    </w:rPr>
  </w:style>
  <w:style w:type="character" w:customStyle="1" w:styleId="Heading8Char">
    <w:name w:val="Heading 8 Char"/>
    <w:basedOn w:val="DefaultParagraphFont"/>
    <w:link w:val="Heading8"/>
    <w:uiPriority w:val="9"/>
    <w:semiHidden/>
    <w:rsid w:val="001C2CCB"/>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1C2CCB"/>
    <w:rPr>
      <w:rFonts w:asciiTheme="majorHAnsi" w:eastAsiaTheme="majorEastAsia" w:hAnsiTheme="majorHAnsi" w:cstheme="majorBidi"/>
      <w:i/>
      <w:iCs/>
      <w:color w:val="404040" w:themeColor="text1" w:themeTint="BF"/>
      <w:sz w:val="20"/>
      <w:szCs w:val="20"/>
      <w:lang w:val="en-GB"/>
    </w:rPr>
  </w:style>
  <w:style w:type="paragraph" w:customStyle="1" w:styleId="Default">
    <w:name w:val="Default"/>
    <w:rsid w:val="001C2CCB"/>
    <w:pPr>
      <w:autoSpaceDE w:val="0"/>
      <w:autoSpaceDN w:val="0"/>
      <w:adjustRightInd w:val="0"/>
      <w:spacing w:after="0" w:line="240" w:lineRule="auto"/>
    </w:pPr>
    <w:rPr>
      <w:rFonts w:ascii="Century Gothic" w:hAnsi="Century Gothic" w:cs="Century Gothic"/>
      <w:color w:val="000000"/>
      <w:sz w:val="24"/>
      <w:szCs w:val="24"/>
    </w:rPr>
  </w:style>
  <w:style w:type="paragraph" w:styleId="Header">
    <w:name w:val="header"/>
    <w:basedOn w:val="Normal"/>
    <w:link w:val="HeaderChar"/>
    <w:uiPriority w:val="99"/>
    <w:unhideWhenUsed/>
    <w:rsid w:val="001C2CCB"/>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1C2CCB"/>
    <w:rPr>
      <w:rFonts w:eastAsiaTheme="minorEastAsia"/>
      <w:sz w:val="20"/>
      <w:szCs w:val="20"/>
      <w:lang w:val="en-IE"/>
    </w:rPr>
  </w:style>
  <w:style w:type="paragraph" w:styleId="Footer">
    <w:name w:val="footer"/>
    <w:basedOn w:val="Normal"/>
    <w:link w:val="FooterChar"/>
    <w:uiPriority w:val="99"/>
    <w:unhideWhenUsed/>
    <w:rsid w:val="001C2CCB"/>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1C2CCB"/>
    <w:rPr>
      <w:rFonts w:eastAsiaTheme="minorEastAsia"/>
      <w:sz w:val="20"/>
      <w:szCs w:val="20"/>
      <w:lang w:val="en-IE"/>
    </w:rPr>
  </w:style>
  <w:style w:type="paragraph" w:styleId="ListParagraph">
    <w:name w:val="List Paragraph"/>
    <w:basedOn w:val="Normal"/>
    <w:uiPriority w:val="34"/>
    <w:qFormat/>
    <w:rsid w:val="001C2CCB"/>
    <w:pPr>
      <w:ind w:left="720"/>
      <w:contextualSpacing/>
    </w:pPr>
    <w:rPr>
      <w:lang w:val="en-GB"/>
    </w:rPr>
  </w:style>
  <w:style w:type="character" w:styleId="Hyperlink">
    <w:name w:val="Hyperlink"/>
    <w:basedOn w:val="DefaultParagraphFont"/>
    <w:uiPriority w:val="99"/>
    <w:unhideWhenUsed/>
    <w:rsid w:val="001C2CCB"/>
    <w:rPr>
      <w:color w:val="0000FF" w:themeColor="hyperlink"/>
      <w:u w:val="single"/>
    </w:rPr>
  </w:style>
  <w:style w:type="paragraph" w:styleId="TOC2">
    <w:name w:val="toc 2"/>
    <w:basedOn w:val="Normal"/>
    <w:next w:val="Normal"/>
    <w:autoRedefine/>
    <w:uiPriority w:val="39"/>
    <w:unhideWhenUsed/>
    <w:qFormat/>
    <w:rsid w:val="001C2CCB"/>
    <w:pPr>
      <w:spacing w:before="0" w:after="0"/>
    </w:pPr>
    <w:rPr>
      <w:rFonts w:cstheme="minorHAnsi"/>
      <w:b/>
      <w:bCs/>
      <w:smallCaps/>
      <w:sz w:val="22"/>
      <w:szCs w:val="22"/>
      <w:lang w:val="en-GB"/>
    </w:rPr>
  </w:style>
  <w:style w:type="paragraph" w:styleId="TOC3">
    <w:name w:val="toc 3"/>
    <w:basedOn w:val="Normal"/>
    <w:next w:val="Normal"/>
    <w:autoRedefine/>
    <w:uiPriority w:val="39"/>
    <w:unhideWhenUsed/>
    <w:qFormat/>
    <w:rsid w:val="001C2CCB"/>
    <w:pPr>
      <w:spacing w:before="0" w:after="0"/>
    </w:pPr>
    <w:rPr>
      <w:rFonts w:cstheme="minorHAnsi"/>
      <w:smallCaps/>
      <w:sz w:val="22"/>
      <w:szCs w:val="22"/>
      <w:lang w:val="en-GB"/>
    </w:rPr>
  </w:style>
  <w:style w:type="paragraph" w:styleId="Bibliography">
    <w:name w:val="Bibliography"/>
    <w:basedOn w:val="Normal"/>
    <w:next w:val="Normal"/>
    <w:uiPriority w:val="37"/>
    <w:unhideWhenUsed/>
    <w:rsid w:val="001C2CCB"/>
    <w:pPr>
      <w:spacing w:after="0" w:line="240" w:lineRule="auto"/>
      <w:ind w:left="720" w:hanging="720"/>
    </w:pPr>
    <w:rPr>
      <w:lang w:val="en-GB"/>
    </w:rPr>
  </w:style>
  <w:style w:type="paragraph" w:styleId="BalloonText">
    <w:name w:val="Balloon Text"/>
    <w:basedOn w:val="Normal"/>
    <w:link w:val="BalloonTextChar"/>
    <w:uiPriority w:val="99"/>
    <w:semiHidden/>
    <w:unhideWhenUsed/>
    <w:rsid w:val="001C2CCB"/>
    <w:pPr>
      <w:spacing w:before="0" w:after="0" w:line="240" w:lineRule="auto"/>
    </w:pPr>
    <w:rPr>
      <w:rFonts w:ascii="Tahoma" w:hAnsi="Tahoma" w:cs="Tahoma"/>
      <w:sz w:val="16"/>
      <w:szCs w:val="16"/>
      <w:lang w:val="en-GB"/>
    </w:rPr>
  </w:style>
  <w:style w:type="character" w:customStyle="1" w:styleId="BalloonTextChar">
    <w:name w:val="Balloon Text Char"/>
    <w:basedOn w:val="DefaultParagraphFont"/>
    <w:link w:val="BalloonText"/>
    <w:uiPriority w:val="99"/>
    <w:semiHidden/>
    <w:rsid w:val="001C2CCB"/>
    <w:rPr>
      <w:rFonts w:ascii="Tahoma" w:eastAsiaTheme="minorEastAsia" w:hAnsi="Tahoma" w:cs="Tahoma"/>
      <w:sz w:val="16"/>
      <w:szCs w:val="16"/>
      <w:lang w:val="en-GB"/>
    </w:rPr>
  </w:style>
  <w:style w:type="paragraph" w:styleId="FootnoteText">
    <w:name w:val="footnote text"/>
    <w:basedOn w:val="Normal"/>
    <w:link w:val="FootnoteTextChar"/>
    <w:uiPriority w:val="99"/>
    <w:unhideWhenUsed/>
    <w:rsid w:val="001C2CCB"/>
    <w:pPr>
      <w:spacing w:before="0" w:after="0" w:line="240" w:lineRule="auto"/>
    </w:pPr>
    <w:rPr>
      <w:rFonts w:ascii="Calibri" w:eastAsia="Calibri" w:hAnsi="Calibri" w:cs="Times New Roman"/>
      <w:lang w:val="en-GB"/>
    </w:rPr>
  </w:style>
  <w:style w:type="character" w:customStyle="1" w:styleId="FootnoteTextChar">
    <w:name w:val="Footnote Text Char"/>
    <w:basedOn w:val="DefaultParagraphFont"/>
    <w:link w:val="FootnoteText"/>
    <w:uiPriority w:val="99"/>
    <w:rsid w:val="001C2CCB"/>
    <w:rPr>
      <w:rFonts w:ascii="Calibri" w:eastAsia="Calibri" w:hAnsi="Calibri" w:cs="Times New Roman"/>
      <w:sz w:val="20"/>
      <w:szCs w:val="20"/>
      <w:lang w:val="en-GB"/>
    </w:rPr>
  </w:style>
  <w:style w:type="character" w:styleId="FootnoteReference">
    <w:name w:val="footnote reference"/>
    <w:basedOn w:val="DefaultParagraphFont"/>
    <w:uiPriority w:val="99"/>
    <w:semiHidden/>
    <w:unhideWhenUsed/>
    <w:rsid w:val="001C2CCB"/>
    <w:rPr>
      <w:vertAlign w:val="superscript"/>
    </w:rPr>
  </w:style>
  <w:style w:type="paragraph" w:styleId="TOC1">
    <w:name w:val="toc 1"/>
    <w:basedOn w:val="Normal"/>
    <w:next w:val="Normal"/>
    <w:autoRedefine/>
    <w:uiPriority w:val="39"/>
    <w:unhideWhenUsed/>
    <w:rsid w:val="001C2CCB"/>
    <w:pPr>
      <w:spacing w:after="100"/>
    </w:pPr>
    <w:rPr>
      <w:lang w:val="en-GB"/>
    </w:rPr>
  </w:style>
  <w:style w:type="character" w:customStyle="1" w:styleId="CommentTextChar">
    <w:name w:val="Comment Text Char"/>
    <w:basedOn w:val="DefaultParagraphFont"/>
    <w:link w:val="CommentText"/>
    <w:uiPriority w:val="99"/>
    <w:semiHidden/>
    <w:rsid w:val="001C2CCB"/>
    <w:rPr>
      <w:rFonts w:eastAsiaTheme="minorEastAsia"/>
      <w:sz w:val="20"/>
      <w:szCs w:val="20"/>
      <w:lang w:val="en-GB"/>
    </w:rPr>
  </w:style>
  <w:style w:type="paragraph" w:styleId="CommentText">
    <w:name w:val="annotation text"/>
    <w:basedOn w:val="Normal"/>
    <w:link w:val="CommentTextChar"/>
    <w:uiPriority w:val="99"/>
    <w:semiHidden/>
    <w:unhideWhenUsed/>
    <w:rsid w:val="001C2CCB"/>
    <w:pPr>
      <w:spacing w:line="240" w:lineRule="auto"/>
    </w:pPr>
    <w:rPr>
      <w:lang w:val="en-GB"/>
    </w:rPr>
  </w:style>
  <w:style w:type="character" w:customStyle="1" w:styleId="CommentTextChar1">
    <w:name w:val="Comment Text Char1"/>
    <w:basedOn w:val="DefaultParagraphFont"/>
    <w:link w:val="CommentText"/>
    <w:uiPriority w:val="99"/>
    <w:semiHidden/>
    <w:rsid w:val="001C2CCB"/>
    <w:rPr>
      <w:rFonts w:eastAsiaTheme="minorEastAsia"/>
      <w:sz w:val="20"/>
      <w:szCs w:val="20"/>
      <w:lang w:val="en-IE"/>
    </w:rPr>
  </w:style>
  <w:style w:type="character" w:customStyle="1" w:styleId="CommentSubjectChar">
    <w:name w:val="Comment Subject Char"/>
    <w:basedOn w:val="CommentTextChar"/>
    <w:link w:val="CommentSubject"/>
    <w:uiPriority w:val="99"/>
    <w:semiHidden/>
    <w:rsid w:val="001C2CCB"/>
    <w:rPr>
      <w:b/>
      <w:bCs/>
    </w:rPr>
  </w:style>
  <w:style w:type="paragraph" w:styleId="CommentSubject">
    <w:name w:val="annotation subject"/>
    <w:basedOn w:val="CommentText"/>
    <w:next w:val="CommentText"/>
    <w:link w:val="CommentSubjectChar"/>
    <w:uiPriority w:val="99"/>
    <w:semiHidden/>
    <w:unhideWhenUsed/>
    <w:rsid w:val="001C2CCB"/>
    <w:rPr>
      <w:b/>
      <w:bCs/>
    </w:rPr>
  </w:style>
  <w:style w:type="character" w:customStyle="1" w:styleId="CommentSubjectChar1">
    <w:name w:val="Comment Subject Char1"/>
    <w:basedOn w:val="CommentTextChar1"/>
    <w:link w:val="CommentSubject"/>
    <w:uiPriority w:val="99"/>
    <w:semiHidden/>
    <w:rsid w:val="001C2CCB"/>
    <w:rPr>
      <w:b/>
      <w:bCs/>
    </w:rPr>
  </w:style>
  <w:style w:type="character" w:styleId="Emphasis">
    <w:name w:val="Emphasis"/>
    <w:basedOn w:val="DefaultParagraphFont"/>
    <w:uiPriority w:val="20"/>
    <w:qFormat/>
    <w:rsid w:val="001C2CCB"/>
    <w:rPr>
      <w:i/>
      <w:iCs/>
    </w:rPr>
  </w:style>
  <w:style w:type="paragraph" w:styleId="NormalWeb">
    <w:name w:val="Normal (Web)"/>
    <w:basedOn w:val="Normal"/>
    <w:uiPriority w:val="99"/>
    <w:unhideWhenUsed/>
    <w:rsid w:val="001C2CCB"/>
    <w:pPr>
      <w:spacing w:beforeAutospacing="1" w:after="100" w:afterAutospacing="1" w:line="240" w:lineRule="auto"/>
    </w:pPr>
    <w:rPr>
      <w:rFonts w:ascii="Times New Roman" w:eastAsia="Times New Roman" w:hAnsi="Times New Roman" w:cs="Times New Roman"/>
      <w:sz w:val="24"/>
      <w:szCs w:val="24"/>
      <w:lang w:val="en-US"/>
    </w:rPr>
  </w:style>
  <w:style w:type="paragraph" w:styleId="BodyText">
    <w:name w:val="Body Text"/>
    <w:basedOn w:val="Normal"/>
    <w:link w:val="BodyTextChar"/>
    <w:rsid w:val="001C2CCB"/>
    <w:pPr>
      <w:tabs>
        <w:tab w:val="left" w:pos="6521"/>
      </w:tabs>
      <w:overflowPunct w:val="0"/>
      <w:autoSpaceDE w:val="0"/>
      <w:autoSpaceDN w:val="0"/>
      <w:adjustRightInd w:val="0"/>
      <w:spacing w:before="0" w:after="0" w:line="240" w:lineRule="auto"/>
      <w:ind w:right="20"/>
      <w:textAlignment w:val="baseline"/>
    </w:pPr>
    <w:rPr>
      <w:rFonts w:ascii="Times" w:eastAsia="Times New Roman" w:hAnsi="Times" w:cs="Times New Roman"/>
      <w:b/>
      <w:sz w:val="36"/>
      <w:lang w:val="en-US" w:eastAsia="en-GB"/>
    </w:rPr>
  </w:style>
  <w:style w:type="character" w:customStyle="1" w:styleId="BodyTextChar">
    <w:name w:val="Body Text Char"/>
    <w:basedOn w:val="DefaultParagraphFont"/>
    <w:link w:val="BodyText"/>
    <w:rsid w:val="001C2CCB"/>
    <w:rPr>
      <w:rFonts w:ascii="Times" w:eastAsia="Times New Roman" w:hAnsi="Times" w:cs="Times New Roman"/>
      <w:b/>
      <w:sz w:val="36"/>
      <w:szCs w:val="20"/>
      <w:lang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header" Target="header1.xml"/><Relationship Id="rId26" Type="http://schemas.openxmlformats.org/officeDocument/2006/relationships/hyperlink" Target="http://www.griffith.ie/" TargetMode="Externa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image" Target="media/image2.png"/><Relationship Id="rId12" Type="http://schemas.openxmlformats.org/officeDocument/2006/relationships/hyperlink" Target="mailto:emekaemmanson.okoroafor@student.griffith" TargetMode="External"/><Relationship Id="rId17" Type="http://schemas.openxmlformats.org/officeDocument/2006/relationships/hyperlink" Target="https://uk.practicallaw.thomsonreuters.com/8-386-8895?transitionType=Default&amp;contextData=(sc.Default)&amp;firstPage=true" TargetMode="External"/><Relationship Id="rId25" Type="http://schemas.openxmlformats.org/officeDocument/2006/relationships/hyperlink" Target="file:///C:/Users/ryang/OneDrive/Documents/Camtasia%20Studio/OneDrive/Documents/DCU%20GR/PHD%20DOCS/Final%20Doctorate%20Thesis%20documents%202014/Appendix/garrett.ryan@griffith.ie"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0.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oter" Target="footer1.xml"/><Relationship Id="rId24" Type="http://schemas.openxmlformats.org/officeDocument/2006/relationships/package" Target="embeddings/Microsoft_Office_Word_Document1.docx"/><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emf"/><Relationship Id="rId28" Type="http://schemas.openxmlformats.org/officeDocument/2006/relationships/header" Target="header2.xml"/><Relationship Id="rId10" Type="http://schemas.openxmlformats.org/officeDocument/2006/relationships/image" Target="media/image5.png"/><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image" Target="media/image14.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Ogu02</b:Tag>
    <b:SourceType>Book</b:SourceType>
    <b:Guid>{33BFCC3F-9879-42C2-8C06-7FF700FE8C45}</b:Guid>
    <b:Title>Ogunwale v Syrian Arab Republic</b:Title>
    <b:Year>2002</b:Year>
    <b:RefOrder>1</b:RefOrder>
  </b:Source>
  <b:Source>
    <b:Tag>Lag12</b:Tag>
    <b:SourceType>Book</b:SourceType>
    <b:Guid>{82A92806-6ACE-4752-921E-AD35B7E1D85E}</b:Guid>
    <b:Title>Lagos State v P.H.C.N</b:Title>
    <b:Year>2012</b:Year>
    <b:RefOrder>2</b:RefOrder>
  </b:Source>
</b:Sources>
</file>

<file path=customXml/itemProps1.xml><?xml version="1.0" encoding="utf-8"?>
<ds:datastoreItem xmlns:ds="http://schemas.openxmlformats.org/officeDocument/2006/customXml" ds:itemID="{8771B11E-C8A0-4568-8ADD-09F1A9813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124</Pages>
  <Words>52599</Words>
  <Characters>299815</Characters>
  <Application>Microsoft Office Word</Application>
  <DocSecurity>0</DocSecurity>
  <Lines>2498</Lines>
  <Paragraphs>703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2021-08-26T01:06:00Z</dcterms:created>
  <dcterms:modified xsi:type="dcterms:W3CDTF">2021-08-26T01:39:00Z</dcterms:modified>
</cp:coreProperties>
</file>